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 w:leftChars="-16" w:hanging="37" w:hangingChars="20"/>
        <w:jc w:val="center"/>
        <w:rPr>
          <w:rFonts w:hint="default" w:ascii="Times New Roman" w:hAnsi="Times New Roman" w:eastAsia="方正仿宋_GBK" w:cs="Times New Roman"/>
          <w:sz w:val="32"/>
          <w:szCs w:val="32"/>
        </w:rPr>
      </w:pPr>
      <w:r>
        <w:rPr>
          <w:rFonts w:eastAsia="方正大标宋简体"/>
          <w:color w:val="FF0000"/>
          <w:spacing w:val="-6"/>
          <w:sz w:val="20"/>
          <w:szCs w:val="10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891540</wp:posOffset>
                </wp:positionV>
                <wp:extent cx="57150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9pt;margin-top:70.2pt;height:0pt;width:450pt;z-index:251658240;mso-width-relative:page;mso-height-relative:page;" filled="f" stroked="t" coordsize="21600,21600" o:gfxdata="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SVZvTXAAAACwEAAA8AAAAAAAAAAQAgAAAAOAAAAGRycy9kb3ducmV2LnhtbFBL&#10;AQIUABQAAAAIAIdO4kA9At3C4QEAAKgDAAAOAAAAAAAAAAEAIAAAADwBAABkcnMvZTJvRG9jLnht&#10;bFBLBQYAAAAABgAGAFkBAACPBQAAAAA=&#10;">
                <v:path arrowok="t"/>
                <v:fill on="f" focussize="0,0"/>
                <v:stroke weight="2pt" color="#FF0000" joinstyle="round"/>
                <v:imagedata o:title=""/>
                <o:lock v:ext="edit" aspectratio="f"/>
              </v:line>
            </w:pict>
          </mc:Fallback>
        </mc:AlternateContent>
      </w:r>
      <w:r>
        <w:rPr>
          <w:rFonts w:hint="eastAsia" w:eastAsia="方正大标宋简体"/>
          <w:color w:val="FF0000"/>
          <w:spacing w:val="-10"/>
          <w:w w:val="52"/>
          <w:sz w:val="104"/>
          <w:szCs w:val="104"/>
        </w:rPr>
        <w:t>重庆市万州区人民政府办公室电子公文</w:t>
      </w: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bookmarkStart w:id="0" w:name="_GoBack"/>
      <w:bookmarkEnd w:id="0"/>
    </w:p>
    <w:p>
      <w:pPr>
        <w:spacing w:line="590" w:lineRule="exact"/>
        <w:jc w:val="center"/>
        <w:rPr>
          <w:rFonts w:hint="eastAsia" w:ascii="方正仿宋_GBK" w:eastAsia="方正仿宋_GBK"/>
          <w:sz w:val="32"/>
          <w:szCs w:val="32"/>
        </w:rPr>
      </w:pPr>
      <w:r>
        <w:rPr>
          <w:rFonts w:hint="eastAsia" w:ascii="方正仿宋_GBK" w:eastAsia="方正仿宋_GBK"/>
          <w:sz w:val="32"/>
          <w:szCs w:val="32"/>
        </w:rPr>
        <w:t>万州府办发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81</w:t>
      </w:r>
      <w:r>
        <w:rPr>
          <w:rFonts w:hint="eastAsia" w:ascii="方正仿宋_GBK" w:eastAsia="方正仿宋_GBK"/>
          <w:sz w:val="32"/>
          <w:szCs w:val="32"/>
        </w:rPr>
        <w:t>号</w:t>
      </w:r>
    </w:p>
    <w:p>
      <w:pPr>
        <w:snapToGrid w:val="0"/>
        <w:spacing w:line="590" w:lineRule="exact"/>
        <w:jc w:val="center"/>
        <w:rPr>
          <w:rFonts w:hint="eastAsia" w:ascii="方正仿宋_GBK" w:eastAsia="方正仿宋_GBK"/>
          <w:sz w:val="32"/>
          <w:szCs w:val="20"/>
        </w:rPr>
      </w:pPr>
      <w:r>
        <w:rPr>
          <w:rFonts w:ascii="方正仿宋_GBK" w:eastAsia="方正仿宋_GBK"/>
          <w:sz w:val="32"/>
          <w:szCs w:val="20"/>
        </w:rPr>
        <w:t xml:space="preserve">   </w:t>
      </w:r>
    </w:p>
    <w:p>
      <w:pPr>
        <w:snapToGrid w:val="0"/>
        <w:spacing w:line="590" w:lineRule="exact"/>
        <w:jc w:val="center"/>
        <w:rPr>
          <w:rFonts w:hint="eastAsia" w:ascii="方正仿宋_GBK"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highlight w:val="none"/>
          <w:lang w:eastAsia="zh-CN"/>
        </w:rPr>
      </w:pPr>
      <w:r>
        <w:rPr>
          <w:rFonts w:hint="eastAsia" w:ascii="Times New Roman" w:hAnsi="Times New Roman" w:eastAsia="方正小标宋_GBK"/>
          <w:sz w:val="44"/>
          <w:szCs w:val="44"/>
          <w:highlight w:val="none"/>
          <w:lang w:eastAsia="zh-CN"/>
        </w:rPr>
        <w:t>重庆市万州区人民政府办公室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highlight w:val="none"/>
          <w:lang w:eastAsia="zh-CN"/>
        </w:rPr>
        <w:t>关于印发《</w:t>
      </w:r>
      <w:r>
        <w:rPr>
          <w:rFonts w:hint="eastAsia" w:ascii="Times New Roman" w:hAnsi="Times New Roman" w:eastAsia="方正小标宋_GBK"/>
          <w:sz w:val="44"/>
          <w:szCs w:val="44"/>
        </w:rPr>
        <w:t>万州区工业企业</w:t>
      </w:r>
      <w:r>
        <w:rPr>
          <w:rFonts w:ascii="Times New Roman" w:hAnsi="Times New Roman" w:eastAsia="方正小标宋_GBK"/>
          <w:sz w:val="44"/>
          <w:szCs w:val="44"/>
        </w:rPr>
        <w:t>智能化赋能</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highlight w:val="none"/>
          <w:lang w:eastAsia="zh-CN"/>
        </w:rPr>
      </w:pPr>
      <w:r>
        <w:rPr>
          <w:rFonts w:ascii="Times New Roman" w:hAnsi="Times New Roman" w:eastAsia="方正小标宋_GBK"/>
          <w:sz w:val="44"/>
          <w:szCs w:val="44"/>
        </w:rPr>
        <w:t>行动计划</w:t>
      </w:r>
      <w:r>
        <w:rPr>
          <w:rFonts w:ascii="Times New Roman" w:hAnsi="方正小标宋_GBK" w:eastAsia="方正小标宋_GBK" w:cs="Times New Roman"/>
          <w:sz w:val="44"/>
          <w:szCs w:val="44"/>
        </w:rPr>
        <w:t>（</w:t>
      </w:r>
      <w:r>
        <w:rPr>
          <w:rFonts w:ascii="Times New Roman" w:hAnsi="Times New Roman" w:eastAsia="方正小标宋_GBK" w:cs="Times New Roman"/>
          <w:sz w:val="44"/>
          <w:szCs w:val="44"/>
        </w:rPr>
        <w:t>2022</w:t>
      </w:r>
      <w:r>
        <w:rPr>
          <w:rFonts w:hint="eastAsia" w:ascii="汉仪方隶简" w:hAnsi="汉仪方隶简" w:eastAsia="汉仪方隶简" w:cs="汉仪方隶简"/>
          <w:sz w:val="44"/>
          <w:szCs w:val="44"/>
        </w:rPr>
        <w:t>－</w:t>
      </w:r>
      <w:r>
        <w:rPr>
          <w:rFonts w:ascii="Times New Roman" w:hAnsi="Times New Roman" w:eastAsia="方正小标宋_GBK" w:cs="Times New Roman"/>
          <w:sz w:val="44"/>
          <w:szCs w:val="44"/>
        </w:rPr>
        <w:t>2025</w:t>
      </w:r>
      <w:r>
        <w:rPr>
          <w:rFonts w:ascii="Times New Roman" w:hAnsi="方正小标宋_GBK" w:eastAsia="方正小标宋_GBK" w:cs="Times New Roman"/>
          <w:sz w:val="44"/>
          <w:szCs w:val="44"/>
        </w:rPr>
        <w:t>年）</w:t>
      </w:r>
      <w:r>
        <w:rPr>
          <w:rFonts w:hint="eastAsia" w:ascii="Times New Roman" w:hAnsi="Times New Roman" w:eastAsia="方正小标宋_GBK"/>
          <w:sz w:val="44"/>
          <w:szCs w:val="44"/>
          <w:highlight w:val="none"/>
          <w:lang w:eastAsia="zh-CN"/>
        </w:rPr>
        <w:t>》的通知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rPr>
        <w:t>各镇乡（民族乡）人民政府，各街道办事处，区政府</w:t>
      </w:r>
      <w:r>
        <w:rPr>
          <w:rFonts w:hint="eastAsia" w:ascii="Times New Roman" w:hAnsi="Times New Roman" w:eastAsia="方正仿宋_GBK"/>
          <w:sz w:val="32"/>
          <w:szCs w:val="32"/>
          <w:highlight w:val="none"/>
          <w:lang w:eastAsia="zh-CN"/>
        </w:rPr>
        <w:t>有关</w:t>
      </w:r>
      <w:r>
        <w:rPr>
          <w:rFonts w:hint="eastAsia" w:ascii="Times New Roman" w:hAnsi="Times New Roman" w:eastAsia="方正仿宋_GBK"/>
          <w:sz w:val="32"/>
          <w:szCs w:val="32"/>
          <w:highlight w:val="none"/>
        </w:rPr>
        <w:t>部门，有关单位：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sz w:val="32"/>
          <w:szCs w:val="32"/>
          <w:highlight w:val="none"/>
          <w:lang w:eastAsia="zh-CN"/>
        </w:rPr>
        <w:t>《万州区工业企业智能化赋能行动计划（2022</w:t>
      </w:r>
      <w:r>
        <w:rPr>
          <w:rFonts w:hint="eastAsia" w:ascii="汉仪方隶简" w:hAnsi="汉仪方隶简" w:eastAsia="汉仪方隶简" w:cs="汉仪方隶简"/>
          <w:sz w:val="32"/>
          <w:szCs w:val="32"/>
          <w:highlight w:val="none"/>
          <w:lang w:eastAsia="zh-CN"/>
        </w:rPr>
        <w:t>－</w:t>
      </w:r>
      <w:r>
        <w:rPr>
          <w:rFonts w:hint="eastAsia" w:ascii="Times New Roman" w:hAnsi="Times New Roman" w:eastAsia="方正仿宋_GBK"/>
          <w:sz w:val="32"/>
          <w:szCs w:val="32"/>
          <w:highlight w:val="none"/>
          <w:lang w:eastAsia="zh-CN"/>
        </w:rPr>
        <w:t>2025年》</w:t>
      </w:r>
      <w:r>
        <w:rPr>
          <w:rFonts w:hint="default" w:ascii="Times New Roman" w:hAnsi="Times New Roman" w:eastAsia="方正仿宋_GBK" w:cs="Times New Roman"/>
          <w:sz w:val="32"/>
          <w:szCs w:val="32"/>
          <w:highlight w:val="none"/>
        </w:rPr>
        <w:t>已经区</w:t>
      </w:r>
      <w:r>
        <w:rPr>
          <w:rFonts w:hint="eastAsia" w:ascii="Times New Roman" w:hAnsi="Times New Roman" w:eastAsia="方正仿宋_GBK" w:cs="Times New Roman"/>
          <w:sz w:val="32"/>
          <w:szCs w:val="32"/>
          <w:highlight w:val="none"/>
          <w:lang w:eastAsia="zh-CN"/>
        </w:rPr>
        <w:t>第六届人民</w:t>
      </w:r>
      <w:r>
        <w:rPr>
          <w:rFonts w:hint="default" w:ascii="Times New Roman" w:hAnsi="Times New Roman" w:eastAsia="方正仿宋_GBK" w:cs="Times New Roman"/>
          <w:sz w:val="32"/>
          <w:szCs w:val="32"/>
          <w:highlight w:val="none"/>
        </w:rPr>
        <w:t>政府</w:t>
      </w:r>
      <w:r>
        <w:rPr>
          <w:rFonts w:hint="eastAsia" w:ascii="Times New Roman" w:hAnsi="Times New Roman" w:eastAsia="方正仿宋_GBK" w:cs="Times New Roman"/>
          <w:sz w:val="32"/>
          <w:szCs w:val="32"/>
          <w:highlight w:val="none"/>
          <w:lang w:eastAsia="zh-CN"/>
        </w:rPr>
        <w:t>第</w:t>
      </w:r>
      <w:r>
        <w:rPr>
          <w:rFonts w:hint="eastAsia" w:ascii="Times New Roman" w:hAnsi="Times New Roman" w:eastAsia="方正仿宋_GBK" w:cs="Times New Roman"/>
          <w:sz w:val="32"/>
          <w:szCs w:val="32"/>
          <w:highlight w:val="none"/>
          <w:lang w:val="en-US" w:eastAsia="zh-CN"/>
        </w:rPr>
        <w:t>16次常务会议审议通过</w:t>
      </w:r>
      <w:r>
        <w:rPr>
          <w:rFonts w:hint="default" w:ascii="Times New Roman" w:hAnsi="Times New Roman" w:eastAsia="方正仿宋_GBK" w:cs="Times New Roman"/>
          <w:sz w:val="32"/>
          <w:szCs w:val="32"/>
          <w:highlight w:val="none"/>
        </w:rPr>
        <w:t>，现印发给你们，请认真贯彻执行。</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 xml:space="preserve">                   </w:t>
      </w:r>
      <w:r>
        <w:rPr>
          <w:rFonts w:hint="eastAsia" w:eastAsia="方正仿宋_GBK"/>
          <w:sz w:val="32"/>
          <w:szCs w:val="32"/>
          <w:highlight w:val="none"/>
          <w:lang w:val="en-US" w:eastAsia="zh-CN"/>
        </w:rPr>
        <w:t xml:space="preserve"> </w:t>
      </w:r>
      <w:r>
        <w:rPr>
          <w:rFonts w:hint="eastAsia" w:ascii="Times New Roman" w:hAnsi="Times New Roman" w:eastAsia="方正仿宋_GBK"/>
          <w:sz w:val="32"/>
          <w:szCs w:val="32"/>
          <w:highlight w:val="none"/>
          <w:lang w:val="en-US" w:eastAsia="zh-CN"/>
        </w:rPr>
        <w:t xml:space="preserve"> </w:t>
      </w:r>
      <w:r>
        <w:rPr>
          <w:rFonts w:hint="eastAsia" w:eastAsia="方正仿宋_GBK"/>
          <w:sz w:val="32"/>
          <w:szCs w:val="32"/>
          <w:highlight w:val="none"/>
          <w:lang w:val="en-US" w:eastAsia="zh-CN"/>
        </w:rPr>
        <w:t xml:space="preserve"> </w:t>
      </w:r>
      <w:r>
        <w:rPr>
          <w:rFonts w:hint="eastAsia" w:ascii="Times New Roman" w:hAnsi="Times New Roman" w:eastAsia="方正仿宋_GBK"/>
          <w:sz w:val="32"/>
          <w:szCs w:val="32"/>
          <w:highlight w:val="none"/>
          <w:lang w:val="en-US" w:eastAsia="zh-CN"/>
        </w:rPr>
        <w:t xml:space="preserve"> 重庆市万州区人民政府办公室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 xml:space="preserve">                          </w:t>
      </w:r>
      <w:r>
        <w:rPr>
          <w:rFonts w:hint="eastAsia" w:eastAsia="方正仿宋_GBK"/>
          <w:sz w:val="32"/>
          <w:szCs w:val="32"/>
          <w:highlight w:val="none"/>
          <w:lang w:val="en-US" w:eastAsia="zh-CN"/>
        </w:rPr>
        <w:t xml:space="preserve">  </w:t>
      </w:r>
      <w:r>
        <w:rPr>
          <w:rFonts w:hint="eastAsia" w:ascii="Times New Roman" w:hAnsi="Times New Roman" w:eastAsia="方正仿宋_GBK"/>
          <w:sz w:val="32"/>
          <w:szCs w:val="32"/>
          <w:highlight w:val="none"/>
          <w:lang w:val="en-US" w:eastAsia="zh-CN"/>
        </w:rPr>
        <w:t>2022年8月29日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（此件公开发布）</w:t>
      </w:r>
    </w:p>
    <w:p>
      <w:pPr>
        <w:adjustRightInd w:val="0"/>
        <w:snapToGrid w:val="0"/>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万州区工业企业</w:t>
      </w:r>
      <w:r>
        <w:rPr>
          <w:rFonts w:ascii="Times New Roman" w:hAnsi="Times New Roman" w:eastAsia="方正小标宋_GBK"/>
          <w:sz w:val="44"/>
          <w:szCs w:val="44"/>
        </w:rPr>
        <w:t>智能化赋能行动计划</w:t>
      </w:r>
    </w:p>
    <w:p>
      <w:pPr>
        <w:adjustRightInd w:val="0"/>
        <w:snapToGri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（2022</w:t>
      </w:r>
      <w:r>
        <w:rPr>
          <w:rFonts w:hint="eastAsia" w:ascii="汉仪方隶简" w:hAnsi="汉仪方隶简" w:eastAsia="汉仪方隶简" w:cs="汉仪方隶简"/>
          <w:sz w:val="44"/>
          <w:szCs w:val="44"/>
        </w:rPr>
        <w:t>－</w:t>
      </w:r>
      <w:r>
        <w:rPr>
          <w:rFonts w:ascii="Times New Roman" w:hAnsi="Times New Roman" w:eastAsia="方正小标宋_GBK"/>
          <w:sz w:val="44"/>
          <w:szCs w:val="44"/>
        </w:rPr>
        <w:t>2025年）</w:t>
      </w:r>
    </w:p>
    <w:p>
      <w:pPr>
        <w:adjustRightInd w:val="0"/>
        <w:snapToGrid w:val="0"/>
        <w:spacing w:line="600" w:lineRule="exact"/>
        <w:jc w:val="center"/>
        <w:rPr>
          <w:rFonts w:ascii="Times New Roman" w:hAnsi="Times New Roman" w:eastAsia="方正小标宋_GBK"/>
          <w:sz w:val="44"/>
          <w:szCs w:val="44"/>
        </w:rPr>
      </w:pP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rPr>
      </w:pPr>
      <w:r>
        <w:rPr>
          <w:rFonts w:ascii="Times New Roman" w:hAnsi="Times New Roman" w:eastAsia="方正仿宋_GBK"/>
          <w:sz w:val="32"/>
          <w:szCs w:val="32"/>
        </w:rPr>
        <w:t>为贯彻落实市委、市政府关于深化新一代信息技术与制造业融合发展的决策部署，加快推动制造业数字化、网络化、智能化发展，</w:t>
      </w:r>
      <w:r>
        <w:rPr>
          <w:rFonts w:ascii="Times New Roman" w:eastAsia="方正仿宋_GBK"/>
          <w:color w:val="000000"/>
          <w:kern w:val="0"/>
          <w:sz w:val="32"/>
          <w:szCs w:val="32"/>
        </w:rPr>
        <w:t>促进传统产业升级改造</w:t>
      </w:r>
      <w:r>
        <w:rPr>
          <w:rFonts w:ascii="Times New Roman" w:hAnsi="Times New Roman" w:eastAsia="方正仿宋_GBK"/>
          <w:sz w:val="32"/>
          <w:szCs w:val="32"/>
        </w:rPr>
        <w:t>，推动万州工业经济高质量发展，结合我区实际，制定本</w:t>
      </w:r>
      <w:r>
        <w:rPr>
          <w:rFonts w:hint="eastAsia" w:ascii="Times New Roman" w:hAnsi="Times New Roman" w:eastAsia="方正仿宋_GBK"/>
          <w:sz w:val="32"/>
          <w:szCs w:val="32"/>
        </w:rPr>
        <w:t>行动计划</w:t>
      </w:r>
      <w:r>
        <w:rPr>
          <w:rFonts w:ascii="Times New Roman" w:hAnsi="Times New Roman" w:eastAsia="方正仿宋_GBK"/>
          <w:sz w:val="32"/>
          <w:szCs w:val="32"/>
        </w:rPr>
        <w:t>。</w:t>
      </w:r>
    </w:p>
    <w:p>
      <w:pPr>
        <w:keepNext w:val="0"/>
        <w:keepLines w:val="0"/>
        <w:pageBreakBefore w:val="0"/>
        <w:numPr>
          <w:ilvl w:val="0"/>
          <w:numId w:val="1"/>
        </w:numPr>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总体思路</w:t>
      </w:r>
    </w:p>
    <w:p>
      <w:pPr>
        <w:pStyle w:val="9"/>
        <w:keepNext w:val="0"/>
        <w:keepLines w:val="0"/>
        <w:pageBreakBefore w:val="0"/>
        <w:widowControl/>
        <w:kinsoku/>
        <w:wordWrap/>
        <w:overflowPunct/>
        <w:topLinePunct w:val="0"/>
        <w:autoSpaceDE/>
        <w:autoSpaceDN/>
        <w:bidi w:val="0"/>
        <w:adjustRightInd w:val="0"/>
        <w:snapToGrid w:val="0"/>
        <w:spacing w:line="620" w:lineRule="exact"/>
        <w:ind w:firstLine="64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以智能制造为主攻方向，加快工业互联网创新发展，加快制造业发展模式和企业形态根本性变革，加快提升新型基础设施支撑服务能力，夯实制造业数字化发展基础，拓展融合创新应用场景，完善产业发展生态，推动数字化、网络化、智能化转型，大力推进我区新一代信息技术与制造业融合发展，为制造业高质量发展提供支撑。</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二、主要目标</w:t>
      </w:r>
    </w:p>
    <w:p>
      <w:pPr>
        <w:pStyle w:val="9"/>
        <w:keepNext w:val="0"/>
        <w:keepLines w:val="0"/>
        <w:pageBreakBefore w:val="0"/>
        <w:widowControl/>
        <w:kinsoku/>
        <w:wordWrap/>
        <w:overflowPunct/>
        <w:topLinePunct w:val="0"/>
        <w:autoSpaceDE/>
        <w:autoSpaceDN/>
        <w:bidi w:val="0"/>
        <w:adjustRightInd w:val="0"/>
        <w:snapToGrid w:val="0"/>
        <w:spacing w:line="620" w:lineRule="exact"/>
        <w:ind w:firstLine="640"/>
        <w:textAlignment w:val="auto"/>
        <w:rPr>
          <w:rFonts w:ascii="Times New Roman" w:hAnsi="Times New Roman" w:eastAsia="方正黑体_GBK"/>
          <w:sz w:val="32"/>
          <w:szCs w:val="32"/>
        </w:rPr>
      </w:pPr>
      <w:r>
        <w:rPr>
          <w:rFonts w:ascii="Times New Roman" w:hAnsi="Times New Roman" w:eastAsia="方正仿宋_GBK"/>
          <w:color w:val="000000"/>
          <w:sz w:val="32"/>
          <w:szCs w:val="32"/>
        </w:rPr>
        <w:t>到2025年，信息基础设施进一步夯实，工业互联网平台应用逐步深化，企业数字化网络化水平加速提升，新一代信息技术和制造业融合应用深入拓展，赋能生态体系更加完善。规模以上制造业企业全面进入数字化普及阶段，有研发活动规模</w:t>
      </w:r>
      <w:r>
        <w:rPr>
          <w:rFonts w:hint="eastAsia" w:ascii="Times New Roman" w:hAnsi="Times New Roman" w:eastAsia="方正仿宋_GBK"/>
          <w:color w:val="000000"/>
          <w:sz w:val="32"/>
          <w:szCs w:val="32"/>
          <w:lang w:eastAsia="zh-CN"/>
        </w:rPr>
        <w:t>以上</w:t>
      </w:r>
      <w:r>
        <w:rPr>
          <w:rFonts w:ascii="Times New Roman" w:hAnsi="Times New Roman" w:eastAsia="方正仿宋_GBK"/>
          <w:color w:val="000000"/>
          <w:sz w:val="32"/>
          <w:szCs w:val="32"/>
        </w:rPr>
        <w:t>工业企业数字化研发设计工具普及率达到85%，大中型工业企业关键工序数控化率达到80%，两化融合发展总体水平显著提升，实现工业园区和重点企业有线光纤、5G网络“双千兆”覆盖，新建5个智能工厂、</w:t>
      </w:r>
      <w:r>
        <w:rPr>
          <w:rFonts w:hint="eastAsia" w:ascii="Times New Roman" w:hAnsi="Times New Roman" w:eastAsia="方正仿宋_GBK"/>
          <w:color w:val="000000"/>
          <w:sz w:val="32"/>
          <w:szCs w:val="32"/>
        </w:rPr>
        <w:t>25</w:t>
      </w:r>
      <w:r>
        <w:rPr>
          <w:rFonts w:ascii="Times New Roman" w:hAnsi="Times New Roman" w:eastAsia="方正仿宋_GBK"/>
          <w:color w:val="000000"/>
          <w:sz w:val="32"/>
          <w:szCs w:val="32"/>
        </w:rPr>
        <w:t>个数字化车间。</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三、重点工作</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color w:val="000000"/>
          <w:spacing w:val="-4"/>
        </w:rPr>
      </w:pPr>
      <w:r>
        <w:rPr>
          <w:rFonts w:ascii="Times New Roman" w:hAnsi="Times New Roman" w:eastAsia="方正楷体_GBK"/>
          <w:sz w:val="32"/>
          <w:szCs w:val="32"/>
        </w:rPr>
        <w:t>（一）加快新型信息基础设施建设。</w:t>
      </w:r>
      <w:r>
        <w:rPr>
          <w:rFonts w:ascii="Times New Roman" w:hAnsi="Times New Roman" w:eastAsia="方正仿宋_GBK"/>
          <w:color w:val="000000"/>
          <w:sz w:val="32"/>
          <w:szCs w:val="32"/>
        </w:rPr>
        <w:t>加大工业外网升级，加</w:t>
      </w:r>
      <w:r>
        <w:rPr>
          <w:rFonts w:hint="eastAsia" w:ascii="Times New Roman" w:hAnsi="Times New Roman" w:eastAsia="方正仿宋_GBK"/>
          <w:color w:val="000000"/>
          <w:sz w:val="32"/>
          <w:szCs w:val="32"/>
          <w:lang w:eastAsia="zh-CN"/>
        </w:rPr>
        <w:t>大</w:t>
      </w:r>
      <w:r>
        <w:rPr>
          <w:rFonts w:ascii="Times New Roman" w:hAnsi="Times New Roman" w:eastAsia="方正仿宋_GBK"/>
          <w:color w:val="000000"/>
          <w:sz w:val="32"/>
          <w:szCs w:val="32"/>
        </w:rPr>
        <w:t>园区、重点企业5G基站建设力度，电信企业、各园区积极推动建设高性能、高可靠、高安全的网络，到2025年实现园区5G网络全覆盖。加快工业设备网络化改造，提升工业设备网络互联能力，支撑多元工业数据采集，推动工业设备跨协议互通和跨系统互操作。推动5G应用从外围辅助环节向核心生产环节渗透，打造“5G+工业互联网”示范场景，加快典型场景推广应用。力争到2025年，打造3个“5G+工业互联网”先导应用示范场景。</w:t>
      </w:r>
    </w:p>
    <w:p>
      <w:pPr>
        <w:pStyle w:val="9"/>
        <w:keepNext w:val="0"/>
        <w:keepLines w:val="0"/>
        <w:pageBreakBefore w:val="0"/>
        <w:widowControl/>
        <w:kinsoku/>
        <w:wordWrap/>
        <w:overflowPunct/>
        <w:topLinePunct w:val="0"/>
        <w:autoSpaceDE/>
        <w:autoSpaceDN/>
        <w:bidi w:val="0"/>
        <w:adjustRightInd w:val="0"/>
        <w:snapToGrid w:val="0"/>
        <w:spacing w:line="620" w:lineRule="exact"/>
        <w:ind w:firstLine="640"/>
        <w:textAlignment w:val="auto"/>
        <w:rPr>
          <w:rFonts w:ascii="Times New Roman" w:hAnsi="Times New Roman" w:eastAsia="方正仿宋_GBK"/>
          <w:color w:val="000000"/>
          <w:sz w:val="32"/>
          <w:szCs w:val="32"/>
        </w:rPr>
      </w:pPr>
      <w:r>
        <w:rPr>
          <w:rFonts w:ascii="Times New Roman" w:hAnsi="Times New Roman" w:eastAsia="方正楷体_GBK"/>
          <w:sz w:val="32"/>
          <w:szCs w:val="32"/>
        </w:rPr>
        <w:t>（二）提升工业互联网平台核心能力。</w:t>
      </w:r>
      <w:r>
        <w:rPr>
          <w:rFonts w:ascii="Times New Roman" w:hAnsi="Times New Roman" w:eastAsia="方正仿宋_GBK"/>
          <w:color w:val="000000"/>
          <w:sz w:val="32"/>
          <w:szCs w:val="32"/>
        </w:rPr>
        <w:t>实施工业互联网平台培育工程。支持工业互联网平台服务企业增强研发实力、建设人才团队、提升本地化实施服务能力，突破新技术新产品，加强市场拓展和服务，持续培育跨行业跨领域工业互联网平台；面向重点行业和区域建设特色型工业互联网平台，并向产业链上下游延伸；面向特定工业场景和专业领域建设专业型工业互联网平台。不断提升平台的技术供给质量，扩大平台对工业企业渗透率和覆盖率，打造“平台+5G”“平台+人工智能”“平台+区块链”等新技术解决方案。加速已有工业软件云化迁移，形成覆盖工业全流程的微服务资源池，推动基础工艺、控制方法、运行机理等的软件化、模型化。</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仿宋_GBK"/>
          <w:bCs/>
          <w:sz w:val="32"/>
          <w:szCs w:val="32"/>
        </w:rPr>
      </w:pPr>
      <w:r>
        <w:rPr>
          <w:rFonts w:ascii="Times New Roman" w:hAnsi="Times New Roman" w:eastAsia="方正楷体_GBK"/>
          <w:sz w:val="32"/>
          <w:szCs w:val="32"/>
        </w:rPr>
        <w:t>（三）加速工业互联网标识解析推广应用。</w:t>
      </w:r>
      <w:r>
        <w:rPr>
          <w:rFonts w:ascii="Times New Roman" w:hAnsi="Times New Roman" w:eastAsia="方正仿宋_GBK"/>
          <w:bCs/>
          <w:sz w:val="32"/>
          <w:szCs w:val="32"/>
        </w:rPr>
        <w:t>围绕</w:t>
      </w:r>
      <w:r>
        <w:rPr>
          <w:rFonts w:hint="eastAsia" w:ascii="Times New Roman" w:hAnsi="Times New Roman" w:eastAsia="方正仿宋_GBK"/>
          <w:bCs/>
          <w:sz w:val="32"/>
          <w:szCs w:val="32"/>
        </w:rPr>
        <w:t>食品医药、</w:t>
      </w:r>
      <w:r>
        <w:rPr>
          <w:rFonts w:hint="eastAsia" w:ascii="Times New Roman" w:hAnsi="Times New Roman" w:eastAsia="方正仿宋_GBK"/>
          <w:bCs/>
          <w:sz w:val="32"/>
          <w:szCs w:val="32"/>
          <w:lang w:eastAsia="zh-CN"/>
        </w:rPr>
        <w:t>智能</w:t>
      </w:r>
      <w:r>
        <w:rPr>
          <w:rFonts w:hint="eastAsia" w:ascii="Times New Roman" w:hAnsi="Times New Roman" w:eastAsia="方正仿宋_GBK"/>
          <w:bCs/>
          <w:sz w:val="32"/>
          <w:szCs w:val="32"/>
        </w:rPr>
        <w:t>装备</w:t>
      </w:r>
      <w:r>
        <w:rPr>
          <w:rFonts w:ascii="Times New Roman" w:hAnsi="Times New Roman" w:eastAsia="方正仿宋_GBK"/>
          <w:bCs/>
          <w:sz w:val="32"/>
          <w:szCs w:val="32"/>
        </w:rPr>
        <w:t>等</w:t>
      </w:r>
      <w:r>
        <w:rPr>
          <w:rFonts w:hint="eastAsia" w:ascii="Times New Roman" w:hAnsi="Times New Roman" w:eastAsia="方正仿宋_GBK"/>
          <w:bCs/>
          <w:sz w:val="32"/>
          <w:szCs w:val="32"/>
        </w:rPr>
        <w:t>行业</w:t>
      </w:r>
      <w:r>
        <w:rPr>
          <w:rFonts w:ascii="Times New Roman" w:hAnsi="Times New Roman" w:eastAsia="方正仿宋_GBK"/>
          <w:bCs/>
          <w:sz w:val="32"/>
          <w:szCs w:val="32"/>
        </w:rPr>
        <w:t>，提供整体追溯体系、设备管理、性能管理、客户满意度管理等信息化工具，打通产业数字化及数字产业化的堵点，加快建设工业互联网标识解析综合型二级节点，完善平台功能，接入更多企业节点。加快主动标识载体规模化部署，推进工业设备和产品标识。深化标识在设计、生产、服务等环节的应用，推动工业设备产品用标识解析系统与工业互联网平台、工业APP的融合发展。加快解析服务在各行业规模应用，促进跨企业数据交换，提升产品全生命周期追溯和质量管理水平。力争到2025年，培育2个以上在全市或行业有影响力的标识解析二级节点，标识应用创新和应用场景不断丰富。</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仿宋_GBK"/>
          <w:bCs/>
          <w:sz w:val="32"/>
          <w:szCs w:val="32"/>
        </w:rPr>
      </w:pPr>
      <w:r>
        <w:rPr>
          <w:rFonts w:ascii="Times New Roman" w:hAnsi="Times New Roman" w:eastAsia="方正楷体_GBK"/>
          <w:sz w:val="32"/>
          <w:szCs w:val="32"/>
        </w:rPr>
        <w:t>（四）推动制造业智能化数字化改造。</w:t>
      </w:r>
      <w:r>
        <w:rPr>
          <w:rFonts w:ascii="Times New Roman" w:hAnsi="Times New Roman" w:eastAsia="方正仿宋_GBK"/>
          <w:sz w:val="32"/>
          <w:szCs w:val="32"/>
        </w:rPr>
        <w:t>加快智能生产设备、智能检测设备等智能设备普及及运用，引导企业更新数字化装备或利用智能化技术改造非数字化装备，部署在线监控（检测）和连线控制系统，推进生产设备、制造单元的系统集成和互联互通，加快装备、生产线、车间和工厂向自动化数字化迈进。</w:t>
      </w:r>
      <w:r>
        <w:rPr>
          <w:rFonts w:ascii="Times New Roman" w:hAnsi="Times New Roman" w:eastAsia="方正仿宋_GBK"/>
          <w:bCs/>
          <w:sz w:val="32"/>
          <w:szCs w:val="32"/>
        </w:rPr>
        <w:t>引导产业链供应链重点企业</w:t>
      </w:r>
      <w:r>
        <w:rPr>
          <w:rFonts w:ascii="Times New Roman" w:hAnsi="Times New Roman" w:eastAsia="方正仿宋_GBK"/>
          <w:color w:val="000000"/>
          <w:sz w:val="32"/>
          <w:szCs w:val="32"/>
        </w:rPr>
        <w:t>集成应用研发设计、工艺仿真、数据采集分析、企业资源计划（ERP）、制造执行（MES）等信息系统，推动企业典型场景和核心环节的智能制造，打通系统间、设备间数据孤岛，建设数据驱动的数字化车间和</w:t>
      </w:r>
      <w:r>
        <w:rPr>
          <w:rFonts w:ascii="Times New Roman" w:hAnsi="Times New Roman" w:eastAsia="方正仿宋_GBK"/>
          <w:bCs/>
          <w:sz w:val="32"/>
          <w:szCs w:val="32"/>
        </w:rPr>
        <w:t>智能工厂。力争到2025年，累计实施智能化改造项目200个。</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rPr>
      </w:pPr>
      <w:r>
        <w:rPr>
          <w:rFonts w:ascii="Times New Roman" w:hAnsi="Times New Roman" w:eastAsia="方正楷体_GBK"/>
          <w:sz w:val="32"/>
          <w:szCs w:val="32"/>
        </w:rPr>
        <w:t>（五）推动两化融合管理体系贯标。</w:t>
      </w:r>
      <w:r>
        <w:rPr>
          <w:rFonts w:ascii="Times New Roman" w:hAnsi="Times New Roman" w:eastAsia="方正仿宋_GBK"/>
          <w:sz w:val="32"/>
          <w:szCs w:val="32"/>
        </w:rPr>
        <w:t>大力开展国家两化融合管理体系（2.0版）认证，促进贯标工作从大中型企业向中小微企业延伸。加强诊断咨询服务，推进相关标准在工业产业的应用。扩大贯标评定结果分级采信试点，</w:t>
      </w:r>
      <w:r>
        <w:rPr>
          <w:rFonts w:hint="eastAsia" w:ascii="Times New Roman" w:hAnsi="Times New Roman" w:eastAsia="方正仿宋_GBK"/>
          <w:sz w:val="32"/>
          <w:szCs w:val="32"/>
          <w:lang w:eastAsia="zh-CN"/>
        </w:rPr>
        <w:t>将</w:t>
      </w:r>
      <w:r>
        <w:rPr>
          <w:rFonts w:ascii="Times New Roman" w:hAnsi="Times New Roman" w:eastAsia="方正仿宋_GBK"/>
          <w:sz w:val="32"/>
          <w:szCs w:val="32"/>
        </w:rPr>
        <w:t>评定结果与供应商选择、招投标、投融资授信相结合，促进采信结果广泛使用。</w:t>
      </w:r>
      <w:r>
        <w:rPr>
          <w:rFonts w:ascii="Times New Roman" w:hAnsi="Times New Roman" w:eastAsia="方正仿宋_GBK"/>
          <w:bCs/>
          <w:sz w:val="32"/>
          <w:szCs w:val="32"/>
        </w:rPr>
        <w:t>力争到2025年，通过国家两化融合贯标认证企业达到20家。</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（六）培育融合发展新模式新业态。</w:t>
      </w:r>
      <w:r>
        <w:rPr>
          <w:rFonts w:ascii="Times New Roman" w:hAnsi="Times New Roman" w:eastAsia="方正仿宋_GBK"/>
          <w:sz w:val="32"/>
          <w:szCs w:val="32"/>
        </w:rPr>
        <w:t>支持龙头企业打造贯通供应链、覆盖多领域的网络化配置体系，发展协同设计、众包众创、共享制造、分布式制造等网络化协同新模式。鼓励企业基于用户数据分析挖掘个性需求，打造模块化组合、大规模混线生产等柔性生产体系，促进消费互联网与工业互联网打通，推广需求驱动、供应链协同等个性化定制新模式。支持企业开展基于数字孪生、人工智能、区块链等技术的模型构建与数据分析，打造设备预测性维护、装备能效优化、产品衍生服务等制造业服务化延伸新模式。推动企业打通内部各管理环节，打造数据驱动、敏捷高效的经营管理体系，推进可视化管理模式普及，开展动态市场响应、资源配置优化、智能战略决策等数字化管理新模式。</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rPr>
      </w:pPr>
      <w:r>
        <w:rPr>
          <w:rFonts w:ascii="Times New Roman" w:hAnsi="Times New Roman" w:eastAsia="方正楷体_GBK"/>
          <w:sz w:val="32"/>
          <w:szCs w:val="32"/>
        </w:rPr>
        <w:t>（七）实施企业“上云”专项行动。</w:t>
      </w:r>
      <w:r>
        <w:rPr>
          <w:rFonts w:ascii="Times New Roman" w:hAnsi="Times New Roman" w:eastAsia="方正仿宋_GBK"/>
          <w:sz w:val="32"/>
          <w:szCs w:val="32"/>
        </w:rPr>
        <w:t>制定企业“上云”服务目录，完善企业“上云”工作指南。引导行业龙头企业加快业务系统云化改造，带动产业链上下游中小企业业务系统云端迁移。加快推动工业设备“上云”。推动中小企业应用第三方平台“上云”，提升企业信息化水平。建立“政府补一点、服务商优惠一点、企业出一点”的联合激励机制，支持企业“上云”。</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（八）加快大中小企业和一二三产业融通发展。</w:t>
      </w:r>
      <w:r>
        <w:rPr>
          <w:rFonts w:ascii="Times New Roman" w:hAnsi="Times New Roman" w:eastAsia="方正仿宋_GBK"/>
          <w:sz w:val="32"/>
          <w:szCs w:val="32"/>
        </w:rPr>
        <w:t>鼓励龙头企业推广供应链体系和网络化组织平台，打造符合中小企业需求的数字化平台、系统解决方案、产品和服务，</w:t>
      </w:r>
      <w:r>
        <w:rPr>
          <w:rFonts w:hint="eastAsia" w:ascii="Times New Roman" w:hAnsi="Times New Roman" w:eastAsia="方正仿宋_GBK"/>
          <w:sz w:val="32"/>
          <w:szCs w:val="32"/>
          <w:lang w:eastAsia="zh-CN"/>
        </w:rPr>
        <w:t>促进</w:t>
      </w:r>
      <w:r>
        <w:rPr>
          <w:rFonts w:ascii="Times New Roman" w:hAnsi="Times New Roman" w:eastAsia="方正仿宋_GBK"/>
          <w:sz w:val="32"/>
          <w:szCs w:val="32"/>
        </w:rPr>
        <w:t>中小企业数字化能力提升和订单、产能、资源等共享，提升产业链供应链的稳定性和竞争力。支持第一产业、第三产业推广基于工业互联网的先进生产模式、资源组织方式、创新管理和服务能力，打造跨产业数据与服务平台。加大对“专精特新”</w:t>
      </w:r>
      <w:r>
        <w:rPr>
          <w:rFonts w:hint="eastAsia" w:ascii="Times New Roman" w:hAnsi="Times New Roman" w:eastAsia="方正仿宋_GBK"/>
          <w:sz w:val="32"/>
          <w:szCs w:val="32"/>
          <w:lang w:eastAsia="zh-CN"/>
        </w:rPr>
        <w:t>中小企业</w:t>
      </w:r>
      <w:r>
        <w:rPr>
          <w:rFonts w:ascii="Times New Roman" w:hAnsi="Times New Roman" w:eastAsia="方正仿宋_GBK"/>
          <w:sz w:val="32"/>
          <w:szCs w:val="32"/>
        </w:rPr>
        <w:t>、</w:t>
      </w:r>
      <w:r>
        <w:rPr>
          <w:rFonts w:hint="default" w:ascii="Times New Roman" w:hAnsi="Times New Roman" w:eastAsia="方正仿宋_GBK" w:cs="Times New Roman"/>
          <w:sz w:val="32"/>
          <w:szCs w:val="32"/>
        </w:rPr>
        <w:t>专精特新“小巨人”</w:t>
      </w:r>
      <w:r>
        <w:rPr>
          <w:rFonts w:ascii="Times New Roman" w:hAnsi="Times New Roman" w:eastAsia="方正仿宋_GBK"/>
          <w:sz w:val="32"/>
          <w:szCs w:val="32"/>
        </w:rPr>
        <w:t>企业等的培育力度，推动中小企业主动融入新一代信息技术，实现转型升级、融合发展。</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楷体_GBK"/>
          <w:sz w:val="32"/>
          <w:szCs w:val="32"/>
        </w:rPr>
        <w:t>（九）推进新型“智慧园区”建设。</w:t>
      </w:r>
      <w:r>
        <w:rPr>
          <w:rFonts w:ascii="Times New Roman" w:hAnsi="Times New Roman" w:eastAsia="方正仿宋_GBK"/>
          <w:sz w:val="32"/>
          <w:szCs w:val="32"/>
        </w:rPr>
        <w:t>加快建成功能集成完善、运行调度有力、管理精准到位、企业服务高效的智慧园区管理平台和公共服务平台，综合运用大数据、人工智能、物联网等技术手段深度优化园区建设、运营与服务，促进园区数字化、网络化、智能化转型，赋能入园企业融合发展。</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四、保障措施</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（一）加强组织协调。</w:t>
      </w:r>
      <w:r>
        <w:rPr>
          <w:rFonts w:ascii="Times New Roman" w:hAnsi="Times New Roman" w:eastAsia="方正仿宋_GBK"/>
          <w:sz w:val="32"/>
          <w:szCs w:val="32"/>
        </w:rPr>
        <w:t>区经济信息委牵头负责推进实施，</w:t>
      </w:r>
      <w:r>
        <w:rPr>
          <w:rFonts w:hint="eastAsia" w:ascii="Times New Roman" w:hAnsi="Times New Roman" w:eastAsia="方正仿宋_GBK"/>
          <w:sz w:val="32"/>
          <w:szCs w:val="32"/>
        </w:rPr>
        <w:t>万州经开区</w:t>
      </w:r>
      <w:r>
        <w:rPr>
          <w:rFonts w:hint="eastAsia" w:ascii="Times New Roman" w:hAnsi="Times New Roman" w:eastAsia="方正仿宋_GBK"/>
          <w:sz w:val="32"/>
          <w:szCs w:val="32"/>
          <w:lang w:eastAsia="zh-CN"/>
        </w:rPr>
        <w:t>经济发展局</w:t>
      </w:r>
      <w:r>
        <w:rPr>
          <w:rFonts w:hint="eastAsia" w:ascii="Times New Roman" w:hAnsi="Times New Roman" w:eastAsia="方正仿宋_GBK"/>
          <w:sz w:val="32"/>
          <w:szCs w:val="32"/>
        </w:rPr>
        <w:t>、有关</w:t>
      </w:r>
      <w:r>
        <w:rPr>
          <w:rFonts w:hint="eastAsia" w:ascii="Times New Roman" w:hAnsi="Times New Roman" w:eastAsia="方正仿宋_GBK"/>
          <w:sz w:val="32"/>
          <w:szCs w:val="32"/>
          <w:lang w:eastAsia="zh-CN"/>
        </w:rPr>
        <w:t>乡镇（街道）</w:t>
      </w:r>
      <w:r>
        <w:rPr>
          <w:rFonts w:ascii="Times New Roman" w:hAnsi="Times New Roman" w:eastAsia="方正仿宋_GBK"/>
          <w:sz w:val="32"/>
          <w:szCs w:val="32"/>
        </w:rPr>
        <w:t>要</w:t>
      </w:r>
      <w:r>
        <w:rPr>
          <w:rFonts w:ascii="Times New Roman" w:hAnsi="Times New Roman" w:eastAsia="方正仿宋_GBK"/>
          <w:color w:val="000000"/>
          <w:sz w:val="32"/>
          <w:szCs w:val="32"/>
        </w:rPr>
        <w:t>科学制定年度工作计划，做好任务清单化管理，统筹推进各项工作</w:t>
      </w:r>
      <w:r>
        <w:rPr>
          <w:rFonts w:hint="eastAsia" w:ascii="Times New Roman" w:hAnsi="Times New Roman" w:eastAsia="方正仿宋_GBK"/>
          <w:kern w:val="0"/>
          <w:sz w:val="32"/>
          <w:szCs w:val="32"/>
        </w:rPr>
        <w:t>，</w:t>
      </w:r>
      <w:r>
        <w:rPr>
          <w:rFonts w:hint="eastAsia" w:ascii="Times New Roman" w:hAnsi="Times New Roman" w:eastAsia="方正仿宋_GBK"/>
          <w:sz w:val="32"/>
          <w:szCs w:val="32"/>
        </w:rPr>
        <w:t>形成</w:t>
      </w:r>
      <w:r>
        <w:rPr>
          <w:rFonts w:ascii="Times New Roman" w:hAnsi="Times New Roman" w:eastAsia="方正仿宋_GBK"/>
          <w:sz w:val="32"/>
          <w:szCs w:val="32"/>
        </w:rPr>
        <w:t>部门协同、上下联动的工作局面。</w:t>
      </w:r>
    </w:p>
    <w:p>
      <w:pPr>
        <w:keepNext w:val="0"/>
        <w:keepLines w:val="0"/>
        <w:pageBreakBefore w:val="0"/>
        <w:kinsoku/>
        <w:wordWrap/>
        <w:overflowPunct/>
        <w:topLinePunct w:val="0"/>
        <w:autoSpaceDE/>
        <w:autoSpaceDN/>
        <w:bidi w:val="0"/>
        <w:spacing w:line="62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（二）加强督</w:t>
      </w:r>
      <w:r>
        <w:rPr>
          <w:rFonts w:hint="eastAsia" w:ascii="Times New Roman" w:hAnsi="Times New Roman" w:eastAsia="方正楷体_GBK"/>
          <w:sz w:val="32"/>
          <w:szCs w:val="32"/>
          <w:lang w:eastAsia="zh-CN"/>
        </w:rPr>
        <w:t>查</w:t>
      </w:r>
      <w:r>
        <w:rPr>
          <w:rFonts w:ascii="Times New Roman" w:hAnsi="Times New Roman" w:eastAsia="方正楷体_GBK"/>
          <w:sz w:val="32"/>
          <w:szCs w:val="32"/>
        </w:rPr>
        <w:t>考核。</w:t>
      </w:r>
      <w:r>
        <w:rPr>
          <w:rFonts w:ascii="Times New Roman" w:hAnsi="Times New Roman" w:eastAsia="方正仿宋_GBK"/>
          <w:color w:val="000000"/>
          <w:sz w:val="32"/>
          <w:szCs w:val="32"/>
        </w:rPr>
        <w:t>将推动新一代信息技术与制造业融合发展工作纳入</w:t>
      </w:r>
      <w:r>
        <w:rPr>
          <w:rFonts w:hint="eastAsia" w:ascii="Times New Roman" w:hAnsi="Times New Roman" w:eastAsia="方正仿宋_GBK"/>
          <w:color w:val="000000"/>
          <w:sz w:val="32"/>
          <w:szCs w:val="32"/>
        </w:rPr>
        <w:t>工业发展质效考核内容</w:t>
      </w:r>
      <w:r>
        <w:rPr>
          <w:rFonts w:ascii="Times New Roman" w:hAnsi="Times New Roman" w:eastAsia="方正仿宋_GBK"/>
          <w:color w:val="000000"/>
          <w:sz w:val="32"/>
          <w:szCs w:val="32"/>
        </w:rPr>
        <w:t>。区政府</w:t>
      </w:r>
      <w:r>
        <w:rPr>
          <w:rFonts w:hint="eastAsia" w:ascii="Times New Roman" w:hAnsi="Times New Roman" w:eastAsia="方正仿宋_GBK"/>
          <w:color w:val="000000"/>
          <w:sz w:val="32"/>
          <w:szCs w:val="32"/>
          <w:lang w:eastAsia="zh-CN"/>
        </w:rPr>
        <w:t>办公室</w:t>
      </w:r>
      <w:r>
        <w:rPr>
          <w:rFonts w:ascii="Times New Roman" w:hAnsi="Times New Roman" w:eastAsia="方正仿宋_GBK"/>
          <w:color w:val="000000"/>
          <w:sz w:val="32"/>
          <w:szCs w:val="32"/>
        </w:rPr>
        <w:t>会同区经济信息委制定完善新一代信息技术与制造业融合发展目标考核办法，加强日常督查，定期通报情况，</w:t>
      </w:r>
      <w:r>
        <w:rPr>
          <w:rFonts w:hint="eastAsia" w:ascii="Times New Roman" w:hAnsi="Times New Roman" w:eastAsia="方正仿宋_GBK"/>
          <w:color w:val="000000"/>
          <w:sz w:val="32"/>
          <w:szCs w:val="32"/>
          <w:lang w:eastAsia="zh-CN"/>
        </w:rPr>
        <w:t>强化考核结果运用，以强有力的督查考核倒逼发展目标落实</w:t>
      </w:r>
      <w:r>
        <w:rPr>
          <w:rFonts w:ascii="Times New Roman" w:hAnsi="Times New Roman" w:eastAsia="方正仿宋_GBK"/>
          <w:color w:val="000000"/>
          <w:sz w:val="32"/>
          <w:szCs w:val="32"/>
        </w:rPr>
        <w:t>。</w:t>
      </w:r>
    </w:p>
    <w:p>
      <w:pPr>
        <w:keepNext w:val="0"/>
        <w:keepLines w:val="0"/>
        <w:pageBreakBefore w:val="0"/>
        <w:kinsoku/>
        <w:wordWrap/>
        <w:overflowPunct/>
        <w:topLinePunct w:val="0"/>
        <w:autoSpaceDE/>
        <w:autoSpaceDN/>
        <w:bidi w:val="0"/>
        <w:spacing w:line="62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（三）加强政策支持。</w:t>
      </w:r>
      <w:r>
        <w:rPr>
          <w:rFonts w:ascii="Times New Roman" w:hAnsi="Times New Roman" w:eastAsia="方正仿宋_GBK"/>
          <w:color w:val="000000"/>
          <w:sz w:val="32"/>
          <w:szCs w:val="32"/>
        </w:rPr>
        <w:t>积极收集和储备一批具有较好基础的项目，加强对企业项目的指导和服务，各职能部门</w:t>
      </w:r>
      <w:r>
        <w:rPr>
          <w:rFonts w:hint="eastAsia" w:ascii="Times New Roman" w:hAnsi="Times New Roman" w:eastAsia="方正仿宋_GBK"/>
          <w:color w:val="000000"/>
          <w:sz w:val="32"/>
          <w:szCs w:val="32"/>
        </w:rPr>
        <w:t>加强与</w:t>
      </w:r>
      <w:r>
        <w:rPr>
          <w:rFonts w:ascii="Times New Roman" w:hAnsi="Times New Roman" w:eastAsia="方正仿宋_GBK"/>
          <w:color w:val="000000"/>
          <w:sz w:val="32"/>
          <w:szCs w:val="32"/>
        </w:rPr>
        <w:t>上级部门的沟通对接，全力争取上级部门政策资金支持。</w:t>
      </w:r>
      <w:r>
        <w:rPr>
          <w:rFonts w:ascii="Times New Roman" w:hAnsi="Times New Roman" w:eastAsia="方正仿宋_GBK"/>
          <w:sz w:val="32"/>
          <w:szCs w:val="32"/>
        </w:rPr>
        <w:t>在区级工业发展专项资金中设立智能制造投资补助、两化融合、制造业智能化赋能认定、“上云上平台”等奖励，给予企业相关项目扶持。</w:t>
      </w:r>
    </w:p>
    <w:p>
      <w:pPr>
        <w:keepNext w:val="0"/>
        <w:keepLines w:val="0"/>
        <w:pageBreakBefore w:val="0"/>
        <w:kinsoku/>
        <w:wordWrap/>
        <w:overflowPunct/>
        <w:topLinePunct w:val="0"/>
        <w:autoSpaceDE/>
        <w:autoSpaceDN/>
        <w:bidi w:val="0"/>
        <w:spacing w:line="620" w:lineRule="exact"/>
        <w:ind w:firstLine="640" w:firstLineChars="200"/>
        <w:textAlignment w:val="auto"/>
        <w:rPr>
          <w:rFonts w:ascii="Times New Roman" w:hAnsi="Times New Roman"/>
        </w:rPr>
      </w:pPr>
      <w:r>
        <w:rPr>
          <w:rFonts w:ascii="Times New Roman" w:hAnsi="Times New Roman" w:eastAsia="方正楷体_GBK"/>
          <w:sz w:val="32"/>
          <w:szCs w:val="32"/>
        </w:rPr>
        <w:t>（四）加强人才培养。</w:t>
      </w:r>
      <w:r>
        <w:rPr>
          <w:rFonts w:ascii="Times New Roman" w:hAnsi="Times New Roman" w:eastAsia="方正仿宋_GBK"/>
          <w:sz w:val="32"/>
          <w:szCs w:val="32"/>
        </w:rPr>
        <w:t>鼓励企业与高等院校、科研院所共建实验室，加强共享型工程实习基地建设，培养高素质应用型、复合型、创新型智能化领域技术技能人才。加快智能制造、大数据和区块链工程技术人员培养。通过巡回展示活动、专题培训班等形式，加大对企业人才和党政干部的培训力度。</w:t>
      </w:r>
    </w:p>
    <w:p>
      <w:pPr>
        <w:keepNext w:val="0"/>
        <w:keepLines w:val="0"/>
        <w:pageBreakBefore w:val="0"/>
        <w:kinsoku/>
        <w:wordWrap/>
        <w:overflowPunct/>
        <w:topLinePunct w:val="0"/>
        <w:autoSpaceDE/>
        <w:autoSpaceDN/>
        <w:bidi w:val="0"/>
        <w:spacing w:line="62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（五）加强示范宣传。</w:t>
      </w:r>
      <w:r>
        <w:rPr>
          <w:rFonts w:ascii="Times New Roman" w:hAnsi="Times New Roman" w:eastAsia="方正仿宋_GBK"/>
          <w:sz w:val="32"/>
          <w:szCs w:val="32"/>
        </w:rPr>
        <w:t>加大制造业智能化赋能行动试点示范项目建设力度，编制智能化赋能优秀项目案例集，加强宣传展示和推广应用。加强新闻媒体对制造业智能化领域的宣传报道</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进一步营造良好氛围。</w:t>
      </w:r>
    </w:p>
    <w:p>
      <w:pPr>
        <w:spacing w:line="590" w:lineRule="exact"/>
        <w:ind w:firstLine="645"/>
        <w:rPr>
          <w:rFonts w:hint="eastAsia" w:ascii="方正仿宋_GBK" w:eastAsia="方正仿宋_GBK"/>
          <w:sz w:val="32"/>
          <w:szCs w:val="32"/>
        </w:rPr>
      </w:pPr>
    </w:p>
    <w:p>
      <w:pPr>
        <w:spacing w:line="590" w:lineRule="exact"/>
        <w:ind w:firstLine="645"/>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pStyle w:val="2"/>
        <w:rPr>
          <w:rFonts w:hint="eastAsia" w:ascii="方正仿宋_GBK" w:eastAsia="方正仿宋_GBK"/>
          <w:sz w:val="32"/>
        </w:rPr>
      </w:pPr>
    </w:p>
    <w:p>
      <w:pPr>
        <w:widowControl/>
        <w:pBdr>
          <w:bottom w:val="single" w:color="auto" w:sz="8" w:space="1"/>
        </w:pBdr>
        <w:snapToGrid w:val="0"/>
        <w:spacing w:line="590" w:lineRule="exact"/>
        <w:jc w:val="left"/>
        <w:rPr>
          <w:rFonts w:hint="eastAsia" w:ascii="方正仿宋_GBK" w:hAnsi="宋体" w:eastAsia="方正仿宋_GBK" w:cs="宋体"/>
          <w:kern w:val="0"/>
          <w:sz w:val="28"/>
        </w:rPr>
      </w:pPr>
    </w:p>
    <w:p>
      <w:pPr>
        <w:spacing w:line="590" w:lineRule="exact"/>
        <w:ind w:firstLine="280" w:firstLineChars="100"/>
        <w:rPr>
          <w:rFonts w:hint="eastAsia" w:ascii="方正仿宋_GBK" w:eastAsia="方正仿宋_GBK"/>
          <w:sz w:val="28"/>
        </w:rPr>
      </w:pPr>
      <w:r>
        <w:rPr>
          <w:rFonts w:hint="eastAsia" w:ascii="方正仿宋_GBK" w:hAnsi="宋体" w:eastAsia="方正仿宋_GBK" w:cs="宋体"/>
          <w:kern w:val="0"/>
          <w:sz w:val="28"/>
          <w:szCs w:val="28"/>
        </w:rPr>
        <w:t>抄送：</w:t>
      </w:r>
      <w:r>
        <w:rPr>
          <w:rFonts w:hint="eastAsia" w:ascii="方正仿宋_GBK" w:eastAsia="方正仿宋_GBK"/>
          <w:sz w:val="28"/>
        </w:rPr>
        <w:t>区委</w:t>
      </w:r>
      <w:r>
        <w:rPr>
          <w:rFonts w:hint="eastAsia" w:ascii="方正仿宋_GBK" w:eastAsia="方正仿宋_GBK"/>
          <w:sz w:val="28"/>
          <w:lang w:eastAsia="zh-CN"/>
        </w:rPr>
        <w:t>办公室</w:t>
      </w:r>
      <w:r>
        <w:rPr>
          <w:rFonts w:hint="eastAsia" w:ascii="方正仿宋_GBK" w:eastAsia="方正仿宋_GBK"/>
          <w:sz w:val="28"/>
        </w:rPr>
        <w:t>，区人大</w:t>
      </w:r>
      <w:r>
        <w:rPr>
          <w:rFonts w:hint="eastAsia" w:ascii="方正仿宋_GBK" w:eastAsia="方正仿宋_GBK"/>
          <w:sz w:val="28"/>
          <w:lang w:eastAsia="zh-CN"/>
        </w:rPr>
        <w:t>常委会</w:t>
      </w:r>
      <w:r>
        <w:rPr>
          <w:rFonts w:hint="eastAsia" w:ascii="方正仿宋_GBK" w:eastAsia="方正仿宋_GBK"/>
          <w:sz w:val="28"/>
        </w:rPr>
        <w:t>办公室，区政协办公室，万州经开区</w:t>
      </w:r>
    </w:p>
    <w:p>
      <w:pPr>
        <w:spacing w:line="590" w:lineRule="exact"/>
        <w:ind w:firstLine="1120" w:firstLineChars="400"/>
        <w:rPr>
          <w:rFonts w:ascii="方正仿宋_GBK" w:hAnsi="宋体" w:eastAsia="方正仿宋_GBK" w:cs="宋体"/>
          <w:kern w:val="0"/>
          <w:sz w:val="28"/>
          <w:szCs w:val="28"/>
        </w:rPr>
      </w:pPr>
      <w:r>
        <w:rPr>
          <w:rFonts w:hint="eastAsia" w:ascii="方正仿宋_GBK" w:eastAsia="方正仿宋_GBK"/>
          <w:sz w:val="28"/>
        </w:rPr>
        <w:t>办公室，区法院，区检察院，区人武部</w:t>
      </w:r>
      <w:r>
        <w:rPr>
          <w:rFonts w:hint="eastAsia" w:ascii="方正仿宋_GBK" w:hAnsi="宋体" w:eastAsia="方正仿宋_GBK" w:cs="宋体"/>
          <w:kern w:val="0"/>
          <w:sz w:val="28"/>
          <w:szCs w:val="28"/>
        </w:rPr>
        <w:t>。</w:t>
      </w:r>
    </w:p>
    <w:p>
      <w:pPr>
        <w:widowControl/>
        <w:pBdr>
          <w:top w:val="single" w:color="auto" w:sz="4" w:space="1"/>
          <w:bottom w:val="single" w:color="auto" w:sz="8" w:space="1"/>
        </w:pBdr>
        <w:snapToGrid w:val="0"/>
        <w:spacing w:line="590" w:lineRule="exact"/>
        <w:jc w:val="left"/>
        <w:rPr>
          <w:rFonts w:hint="eastAsia" w:ascii="方正仿宋_GBK" w:hAnsi="宋体" w:eastAsia="方正仿宋_GBK" w:cs="宋体"/>
          <w:kern w:val="0"/>
          <w:sz w:val="28"/>
          <w:szCs w:val="28"/>
        </w:rPr>
      </w:pPr>
      <w:r>
        <w:rPr>
          <w:rFonts w:ascii="方正仿宋_GBK" w:hAnsi="宋体" w:eastAsia="方正仿宋_GBK" w:cs="宋体"/>
          <w:kern w:val="0"/>
          <w:sz w:val="28"/>
          <w:szCs w:val="28"/>
        </w:rPr>
        <w:t xml:space="preserve">  </w:t>
      </w:r>
      <w:r>
        <w:rPr>
          <w:rFonts w:hint="eastAsia" w:ascii="方正仿宋_GBK" w:eastAsia="方正仿宋_GBK"/>
          <w:sz w:val="28"/>
        </w:rPr>
        <w:t>重庆市万州区人民政府办公室</w:t>
      </w:r>
      <w:r>
        <w:rPr>
          <w:rFonts w:ascii="方正仿宋_GBK" w:hAnsi="宋体" w:eastAsia="方正仿宋_GBK" w:cs="宋体"/>
          <w:kern w:val="0"/>
          <w:sz w:val="28"/>
          <w:szCs w:val="28"/>
        </w:rPr>
        <w:t xml:space="preserve">             </w:t>
      </w:r>
      <w:r>
        <w:rPr>
          <w:rFonts w:hint="default" w:ascii="Times New Roman" w:hAnsi="Times New Roman" w:eastAsia="方正仿宋_GBK" w:cs="Times New Roman"/>
          <w:kern w:val="0"/>
          <w:sz w:val="28"/>
          <w:szCs w:val="28"/>
        </w:rPr>
        <w:t>20</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8</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31</w:t>
      </w:r>
      <w:r>
        <w:rPr>
          <w:rFonts w:hint="default" w:ascii="Times New Roman" w:hAnsi="Times New Roman" w:eastAsia="方正仿宋_GBK" w:cs="Times New Roman"/>
          <w:kern w:val="0"/>
          <w:sz w:val="28"/>
          <w:szCs w:val="28"/>
        </w:rPr>
        <w:t>日</w:t>
      </w:r>
      <w:r>
        <w:rPr>
          <w:rFonts w:hint="eastAsia" w:ascii="方正仿宋_GBK" w:hAnsi="宋体" w:eastAsia="方正仿宋_GBK" w:cs="宋体"/>
          <w:kern w:val="0"/>
          <w:sz w:val="28"/>
          <w:szCs w:val="28"/>
        </w:rPr>
        <w:t>印发</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汉仪方隶简">
    <w:panose1 w:val="02010600000101010101"/>
    <w:charset w:val="86"/>
    <w:family w:val="auto"/>
    <w:pitch w:val="default"/>
    <w:sig w:usb0="00000001" w:usb1="080E0800" w:usb2="00000002"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方正大标宋简体">
    <w:altName w:val="方正书宋_GBK"/>
    <w:panose1 w:val="02010601030101010101"/>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86212"/>
    <w:multiLevelType w:val="singleLevel"/>
    <w:tmpl w:val="6CC862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70D5A"/>
    <w:rsid w:val="000F7BD6"/>
    <w:rsid w:val="0023719E"/>
    <w:rsid w:val="002479C6"/>
    <w:rsid w:val="00284852"/>
    <w:rsid w:val="002B52B8"/>
    <w:rsid w:val="002F15B4"/>
    <w:rsid w:val="00376A9B"/>
    <w:rsid w:val="003C7D5D"/>
    <w:rsid w:val="004858E5"/>
    <w:rsid w:val="004D297B"/>
    <w:rsid w:val="005D49BB"/>
    <w:rsid w:val="00874FF4"/>
    <w:rsid w:val="009233F7"/>
    <w:rsid w:val="00B03121"/>
    <w:rsid w:val="00C51F45"/>
    <w:rsid w:val="00C713EE"/>
    <w:rsid w:val="00C73634"/>
    <w:rsid w:val="00CC73FD"/>
    <w:rsid w:val="00E055B2"/>
    <w:rsid w:val="00EC340D"/>
    <w:rsid w:val="00F13BE8"/>
    <w:rsid w:val="04E81283"/>
    <w:rsid w:val="1EF461B9"/>
    <w:rsid w:val="476B5DE4"/>
    <w:rsid w:val="47DFDBB4"/>
    <w:rsid w:val="4E86528F"/>
    <w:rsid w:val="65FFB44E"/>
    <w:rsid w:val="7FFB1CBA"/>
    <w:rsid w:val="FDDF471C"/>
    <w:rsid w:val="FDF70D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List Paragraph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20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万州府办发2022.wpt</Template>
  <Pages>2</Pages>
  <Words>166</Words>
  <Characters>175</Characters>
  <Lines>1</Lines>
  <Paragraphs>1</Paragraphs>
  <TotalTime>0</TotalTime>
  <ScaleCrop>false</ScaleCrop>
  <LinksUpToDate>false</LinksUpToDate>
  <CharactersWithSpaces>238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2022-09-01T16:54:00Z</dcterms:created>
  <dc:creator>user</dc:creator>
  <cp:lastModifiedBy>user</cp:lastModifiedBy>
  <dcterms:modified xsi:type="dcterms:W3CDTF">2022-09-01T10:09:05Z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