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
        <w:rPr>
          <w:rFonts w:ascii="Times New Roman"/>
          <w:sz w:val="21"/>
        </w:rPr>
      </w:pPr>
    </w:p>
    <w:p>
      <w:pPr>
        <w:pStyle w:val="4"/>
      </w:pPr>
      <w:r>
        <w:rPr>
          <w:color w:val="FF0000"/>
          <w:spacing w:val="54"/>
          <w:w w:val="50"/>
        </w:rPr>
        <w:t>重庆市高级人民法院文件</w:t>
      </w:r>
    </w:p>
    <w:p>
      <w:pPr>
        <w:pStyle w:val="3"/>
        <w:rPr>
          <w:rFonts w:ascii="Microsoft JhengHei"/>
          <w:b/>
          <w:sz w:val="26"/>
        </w:rPr>
      </w:pPr>
    </w:p>
    <w:p>
      <w:pPr>
        <w:pStyle w:val="3"/>
        <w:spacing w:before="65"/>
        <w:ind w:left="601" w:right="758"/>
        <w:jc w:val="center"/>
      </w:pPr>
      <w:r>
        <w:rPr>
          <w:w w:val="95"/>
        </w:rPr>
        <w:t>渝高法〔</w:t>
      </w:r>
      <w:r>
        <w:rPr>
          <w:rFonts w:ascii="Times New Roman" w:eastAsia="Times New Roman"/>
          <w:w w:val="95"/>
        </w:rPr>
        <w:t>2023</w:t>
      </w:r>
      <w:r>
        <w:rPr>
          <w:w w:val="95"/>
        </w:rPr>
        <w:t>〕</w:t>
      </w:r>
      <w:r>
        <w:rPr>
          <w:rFonts w:ascii="Times New Roman" w:eastAsia="Times New Roman"/>
          <w:w w:val="95"/>
        </w:rPr>
        <w:t>29</w:t>
      </w:r>
      <w:r>
        <w:rPr>
          <w:rFonts w:ascii="Times New Roman" w:eastAsia="Times New Roman"/>
          <w:spacing w:val="67"/>
          <w:w w:val="150"/>
        </w:rPr>
        <w:t xml:space="preserve"> </w:t>
      </w:r>
      <w:r>
        <w:rPr>
          <w:spacing w:val="-10"/>
          <w:w w:val="95"/>
        </w:rPr>
        <w:t>号</w:t>
      </w:r>
    </w:p>
    <w:p>
      <w:pPr>
        <w:pStyle w:val="3"/>
        <w:spacing w:before="5"/>
        <w:rPr>
          <w:sz w:val="15"/>
        </w:rPr>
      </w:pPr>
      <w:r>
        <w:pict>
          <v:rect id="docshape3" o:spid="_x0000_s1026" o:spt="1" style="position:absolute;left:0pt;margin-left:73.65pt;margin-top:11.05pt;height:2.25pt;width:447.8pt;mso-position-horizontal-relative:page;mso-wrap-distance-bottom:0pt;mso-wrap-distance-top:0pt;z-index:-15728640;mso-width-relative:page;mso-height-relative:page;" fillcolor="#FF0000" filled="t" stroked="f" coordsize="21600,21600">
            <v:path/>
            <v:fill on="t" focussize="0,0"/>
            <v:stroke on="f"/>
            <v:imagedata o:title=""/>
            <o:lock v:ext="edit"/>
            <w10:wrap type="topAndBottom"/>
          </v:rect>
        </w:pict>
      </w:r>
    </w:p>
    <w:p>
      <w:pPr>
        <w:pStyle w:val="3"/>
      </w:pPr>
    </w:p>
    <w:p>
      <w:pPr>
        <w:pStyle w:val="3"/>
        <w:spacing w:before="151" w:line="326" w:lineRule="auto"/>
        <w:ind w:left="104" w:right="159" w:firstLine="640"/>
      </w:pPr>
    </w:p>
    <w:p>
      <w:pPr>
        <w:pStyle w:val="2"/>
        <w:spacing w:before="82" w:line="252" w:lineRule="auto"/>
        <w:ind w:left="2523" w:right="1982" w:hanging="680"/>
        <w:jc w:val="left"/>
      </w:pPr>
      <w:r>
        <w:rPr>
          <w:rFonts w:ascii="Times New Roman" w:eastAsia="Times New Roman"/>
          <w:spacing w:val="-18"/>
        </w:rPr>
        <w:t xml:space="preserve">2023 </w:t>
      </w:r>
      <w:r>
        <w:rPr>
          <w:spacing w:val="-18"/>
        </w:rPr>
        <w:t>年全市法院对标国际规则</w:t>
      </w:r>
      <w:r>
        <w:rPr>
          <w:spacing w:val="-2"/>
        </w:rPr>
        <w:t>优化营商环境工作方案</w:t>
      </w:r>
    </w:p>
    <w:p>
      <w:pPr>
        <w:pStyle w:val="3"/>
        <w:spacing w:before="12"/>
        <w:rPr>
          <w:sz w:val="55"/>
        </w:rPr>
      </w:pPr>
    </w:p>
    <w:p>
      <w:pPr>
        <w:pStyle w:val="3"/>
        <w:spacing w:line="348" w:lineRule="auto"/>
        <w:ind w:left="104" w:right="103" w:firstLine="640"/>
      </w:pPr>
      <w:r>
        <w:rPr>
          <w:w w:val="99"/>
        </w:rPr>
        <w:t>为</w:t>
      </w:r>
      <w:r>
        <w:rPr>
          <w:spacing w:val="-2"/>
        </w:rPr>
        <w:t>深入贯彻党的二十大关于优化营商环境的部署，全面落实市委工作安排和最高人民法院要求，稳步提高重庆法院优化营商环境的能力和实效，做好迎接世界银行新一轮营商环境评估工作，结合法院工作实际，制定本工作方</w:t>
      </w:r>
      <w:r>
        <w:rPr>
          <w:spacing w:val="-2"/>
          <w:w w:val="99"/>
        </w:rPr>
        <w:t>案。</w:t>
      </w:r>
    </w:p>
    <w:p>
      <w:pPr>
        <w:pStyle w:val="3"/>
        <w:spacing w:line="408" w:lineRule="exact"/>
        <w:ind w:left="745"/>
      </w:pPr>
      <w:r>
        <w:rPr>
          <w:w w:val="95"/>
        </w:rPr>
        <w:t>一、总体要</w:t>
      </w:r>
      <w:r>
        <w:rPr>
          <w:spacing w:val="-10"/>
          <w:w w:val="95"/>
        </w:rPr>
        <w:t>求</w:t>
      </w:r>
    </w:p>
    <w:p>
      <w:pPr>
        <w:pStyle w:val="3"/>
        <w:spacing w:before="183" w:line="348" w:lineRule="auto"/>
        <w:ind w:left="104" w:right="242" w:firstLine="623"/>
        <w:jc w:val="both"/>
      </w:pPr>
      <w:r>
        <w:rPr>
          <w:spacing w:val="-2"/>
        </w:rPr>
        <w:t>（一）明确工作思路。坚持以习近平新时代中国特色社会主义思想为指引，深入贯彻党的二十大精神，全面落实习近平法治思想和习近平总书记关于优化营商环境重要论述，认真落实市委六届二次全会、六届市委全面深化改革委员会第三次会议对优化营商环境的具体部署，认真落实最高人民法院关于优化营商环境的工作要求，按照管长远的“</w:t>
      </w:r>
      <w:r>
        <w:rPr>
          <w:rFonts w:ascii="Times New Roman" w:hAnsi="Times New Roman" w:eastAsia="Times New Roman"/>
          <w:spacing w:val="-2"/>
        </w:rPr>
        <w:t>60</w:t>
      </w:r>
      <w:r>
        <w:rPr>
          <w:rFonts w:ascii="Times New Roman" w:hAnsi="Times New Roman" w:eastAsia="Times New Roman"/>
          <w:spacing w:val="-18"/>
        </w:rPr>
        <w:t xml:space="preserve"> </w:t>
      </w:r>
      <w:r>
        <w:rPr>
          <w:spacing w:val="-2"/>
        </w:rPr>
        <w:t>条”意见和当下干的“</w:t>
      </w:r>
      <w:r>
        <w:rPr>
          <w:rFonts w:ascii="Times New Roman" w:hAnsi="Times New Roman" w:eastAsia="Times New Roman"/>
          <w:spacing w:val="-2"/>
        </w:rPr>
        <w:t>40</w:t>
      </w:r>
      <w:r>
        <w:rPr>
          <w:rFonts w:ascii="Times New Roman" w:hAnsi="Times New Roman" w:eastAsia="Times New Roman"/>
          <w:spacing w:val="-18"/>
        </w:rPr>
        <w:t xml:space="preserve"> </w:t>
      </w:r>
      <w:r>
        <w:rPr>
          <w:spacing w:val="-2"/>
        </w:rPr>
        <w:t>条”要</w:t>
      </w:r>
      <w:r>
        <w:rPr>
          <w:w w:val="95"/>
        </w:rPr>
        <w:t>点</w:t>
      </w:r>
      <w:r>
        <w:rPr>
          <w:spacing w:val="-22"/>
          <w:w w:val="95"/>
        </w:rPr>
        <w:t>的要求，在</w:t>
      </w:r>
      <w:r>
        <w:rPr>
          <w:spacing w:val="20"/>
        </w:rPr>
        <w:t xml:space="preserve"> </w:t>
      </w:r>
      <w:r>
        <w:rPr>
          <w:rFonts w:ascii="Times New Roman" w:hAnsi="Times New Roman" w:eastAsia="Times New Roman"/>
          <w:w w:val="95"/>
        </w:rPr>
        <w:t>2020</w:t>
      </w:r>
      <w:r>
        <w:rPr>
          <w:rFonts w:ascii="Times New Roman" w:hAnsi="Times New Roman" w:eastAsia="Times New Roman"/>
          <w:spacing w:val="63"/>
          <w:w w:val="150"/>
        </w:rPr>
        <w:t xml:space="preserve"> </w:t>
      </w:r>
      <w:r>
        <w:rPr>
          <w:w w:val="95"/>
        </w:rPr>
        <w:t>年接受世界银行营商环境咨询评估取得优异成绩的基础</w:t>
      </w:r>
      <w:r>
        <w:rPr>
          <w:spacing w:val="6"/>
          <w:w w:val="95"/>
        </w:rPr>
        <w:t>上，</w:t>
      </w:r>
      <w:r>
        <w:rPr>
          <w:w w:val="95"/>
        </w:rPr>
        <w:t>重点围绕世界银行</w:t>
      </w:r>
      <w:r>
        <w:rPr>
          <w:spacing w:val="12"/>
          <w:w w:val="95"/>
        </w:rPr>
        <w:t>营</w:t>
      </w:r>
      <w:r>
        <w:rPr>
          <w:w w:val="95"/>
        </w:rPr>
        <w:t xml:space="preserve">商环境新评估体系（ </w:t>
      </w:r>
      <w:r>
        <w:rPr>
          <w:rFonts w:ascii="Times New Roman" w:hAnsi="Times New Roman" w:eastAsia="Times New Roman"/>
          <w:i/>
          <w:w w:val="95"/>
        </w:rPr>
        <w:t xml:space="preserve">Business </w:t>
      </w:r>
      <w:r>
        <w:rPr>
          <w:rFonts w:ascii="Times New Roman" w:hAnsi="Times New Roman" w:eastAsia="Times New Roman"/>
          <w:i/>
          <w:spacing w:val="-4"/>
        </w:rPr>
        <w:t>Ready</w:t>
      </w:r>
      <w:r>
        <w:rPr>
          <w:spacing w:val="-4"/>
        </w:rPr>
        <w:t>），持续以高度的责任感和使命感做好优化环境工作，以全</w:t>
      </w:r>
      <w:r>
        <w:rPr>
          <w:spacing w:val="-2"/>
        </w:rPr>
        <w:t>新姿态迎接新一轮世界银行营商环境评估，充分展示中国、重庆营商环境良好形象。</w:t>
      </w:r>
    </w:p>
    <w:p>
      <w:pPr>
        <w:pStyle w:val="3"/>
        <w:spacing w:line="348" w:lineRule="auto"/>
        <w:ind w:left="104" w:right="103" w:firstLine="640"/>
        <w:rPr>
          <w:w w:val="99"/>
        </w:rPr>
      </w:pPr>
      <w:r>
        <w:rPr>
          <w:w w:val="99"/>
        </w:rPr>
        <w:t>（二）确定工作目标。对标国际先进规则，等高对接北京、上海等样本城市先进经验，持续推进营商环境制度机制创新，建立优化营商环境任务闭环抓落实机制，确保高质高效完成各项任务，争取取得更优成绩。在世界银行新一轮营商环境评估和中国营商环境评价中，确立重庆法院牵头的“解决商业纠纷”“办理破产”指标以及配合指标中涉法院测评点不低于全国均值的底线目标；力争牵头指标成为我市 10 项指标中的排头兵指标，配合指标中涉法院测评点在指标内保持前列；努力争取用 2-3 年时间使牵头指标和配合指标涉法院测评点取得更好成绩，保持全国前列、国际先进水平。</w:t>
      </w:r>
    </w:p>
    <w:p>
      <w:pPr>
        <w:pStyle w:val="3"/>
        <w:spacing w:line="348" w:lineRule="auto"/>
        <w:ind w:left="104" w:right="103" w:firstLine="640"/>
        <w:rPr>
          <w:w w:val="99"/>
        </w:rPr>
      </w:pPr>
      <w:r>
        <w:rPr>
          <w:w w:val="99"/>
        </w:rPr>
        <w:t>（三）提高思想认识。党的十八大以来，以习近平同志为核心的党中央高度重视优化营商环境。党的二十大报告明确提出“优化营商环境”“营造市场化、法治化、国际化一流的营商环境”。袁家</w:t>
      </w:r>
      <w:r>
        <w:rPr>
          <w:spacing w:val="1"/>
          <w:w w:val="99"/>
        </w:rPr>
        <w:t>军书记在六届市委全面深化改革委员会第三次会议上要求，“</w:t>
      </w:r>
      <w:r>
        <w:rPr>
          <w:w w:val="99"/>
        </w:rPr>
        <w:t>按照西部一流目标，切实增强紧迫感、使命感、责任感，打造西部地区营商环境排头兵”。全市法院要深刻认识优化营商环境工作是一项重要的政治任务，也是破解法院工作难题的重大机遇。自 2023 年起，世界银行新一轮营商环境评估正式启动，评估结果不仅反映重庆营商环境，更代表中国营商环境的良好形象，要充分认识营商环境评估不是提高排名的精进之“术”，而是推动高质量发展的长远之“道”。</w:t>
      </w:r>
    </w:p>
    <w:p>
      <w:pPr>
        <w:pStyle w:val="3"/>
        <w:spacing w:line="348" w:lineRule="auto"/>
        <w:ind w:left="104" w:right="103" w:firstLine="640"/>
        <w:rPr>
          <w:w w:val="99"/>
        </w:rPr>
      </w:pPr>
      <w:r>
        <w:rPr>
          <w:w w:val="99"/>
        </w:rPr>
        <w:t>二、组织领导</w:t>
      </w:r>
    </w:p>
    <w:p>
      <w:pPr>
        <w:pStyle w:val="3"/>
        <w:spacing w:line="348" w:lineRule="auto"/>
        <w:ind w:left="104" w:right="103" w:firstLine="640"/>
        <w:rPr>
          <w:w w:val="99"/>
        </w:rPr>
      </w:pPr>
      <w:r>
        <w:rPr>
          <w:w w:val="99"/>
        </w:rPr>
        <w:t>建立主要领导负责制，充分发挥重庆法院优化营商环境领导小组作用，各中基层法院一把手要亲自抓，对标对表抓好贯彻落实，确保同频共振、同向发力、同步推进。</w:t>
      </w:r>
    </w:p>
    <w:p>
      <w:pPr>
        <w:pStyle w:val="3"/>
        <w:spacing w:line="348" w:lineRule="auto"/>
        <w:ind w:left="104" w:right="103" w:firstLine="640"/>
        <w:rPr>
          <w:w w:val="99"/>
        </w:rPr>
      </w:pPr>
      <w:r>
        <w:rPr>
          <w:w w:val="99"/>
        </w:rPr>
        <w:t>（一）组建市级层面的指标专项小组。积极配合组建市级层面的指标专项小组，由党组书记、院长李永利任“解决商业纠纷” “办理破产”两个市级层面的专项小组组长，党组成员、副院长孙海龙任副组长，其他市级配合单位为成员单位。专项小组办公室职责分别由研究室、民二庭承担，负责加强协调联动，持续推进机制完善。</w:t>
      </w:r>
    </w:p>
    <w:p>
      <w:pPr>
        <w:pStyle w:val="3"/>
        <w:spacing w:line="348" w:lineRule="auto"/>
        <w:ind w:left="104" w:right="103" w:firstLine="640"/>
      </w:pPr>
      <w:r>
        <w:rPr>
          <w:w w:val="99"/>
        </w:rPr>
        <w:t>（二）调整重庆法院优化营商环境领导小组。根据实际情况及时调整重庆法院优化营商环境领导小组，由党组书记、院长李永利任组长，其他党组成员、副院长任副组长，全面统筹全市法院优化营商环境工作。领导小组同时作为重庆法院接受世界银行新一轮营商环境评估领导小组，统筹推动接受世界银行新一轮营商</w:t>
      </w:r>
      <w:r>
        <w:rPr>
          <w:spacing w:val="1"/>
          <w:w w:val="99"/>
        </w:rPr>
        <w:t>环境评估工作。办公室职责由研究室承担，负责拟定整体方案、</w:t>
      </w:r>
      <w:r>
        <w:rPr>
          <w:w w:val="99"/>
        </w:rPr>
        <w:t>与市级部门沟通联络、分解工作任务、报送相关材料等工作。</w:t>
      </w:r>
    </w:p>
    <w:p>
      <w:pPr>
        <w:pStyle w:val="3"/>
        <w:spacing w:line="348" w:lineRule="auto"/>
        <w:ind w:left="104" w:right="103" w:firstLine="640"/>
        <w:rPr>
          <w:w w:val="99"/>
        </w:rPr>
      </w:pPr>
      <w:r>
        <w:rPr>
          <w:w w:val="99"/>
        </w:rPr>
        <w:t>（三）组建专门工作团队。（1）组建“解决商业纠纷”专门工作团队，由市高法院研究室牵头，市高法院办公室、政治部、立案一庭、民二庭、民三庭、行政庭、环资庭、执行局、审管办、鉴定处、行装处、督察室、宣传处、信息技术处参与。（2）组建 “办理破产”专门工作团队，由市高法院民二庭牵头，市高法院办公室、政治部、立案一庭、执行局、研究室、审管办、行装处、督察室、宣传处、信息技术处及市五中法院参与。两个专门工作团队采取跨法院、跨部门方式组建，吸收对营商环境有专门研究的专家学者、中基层法院优秀人才参与。（3）组织翻译团队。从西南政法大学等高校聘请懂法律、英文水平高、熟悉世界银行营商环境评估规则的专业人士，担任两个专门工作团队的翻译，从事向世界银行提交的书面材料翻译、世界银行考察及评估翻译等相关工作。</w:t>
      </w:r>
    </w:p>
    <w:p>
      <w:pPr>
        <w:pStyle w:val="3"/>
        <w:spacing w:line="348" w:lineRule="auto"/>
        <w:ind w:left="104" w:right="103" w:firstLine="640"/>
      </w:pPr>
      <w:r>
        <w:rPr>
          <w:w w:val="99"/>
        </w:rPr>
        <w:t>（四）明确配合指标责任部门。针对法院配合的指标任务，指定相关庭室具体负责对接相应的市级层面专项小组。其中“登记财产专项小组”由市高法院行政庭负责对接；“劳动用工专项小组”由市高法院立案二庭负责对接；“获取金融服务专项小组” “保护中小投资者”由市高法院民二庭、成渝金融法院负责对接；“知识产权创造保护和运用专项小组”由市高法院民三庭、市一中法院负责对接；各部门要确定专人配合牵头单位开展工作。暂</w:t>
      </w:r>
      <w:r>
        <w:rPr>
          <w:spacing w:val="-2"/>
        </w:rPr>
        <w:t>未将法院纳为配合单位，但在工作过程中需要配合的指标，由重庆法院优化营商环境领导小组办公室根据工作实际报请相关分管领导同意后确定责任部门。</w:t>
      </w:r>
    </w:p>
    <w:p>
      <w:pPr>
        <w:pStyle w:val="3"/>
        <w:spacing w:line="348" w:lineRule="auto"/>
        <w:ind w:left="104" w:right="103" w:firstLine="640"/>
        <w:rPr>
          <w:w w:val="99"/>
        </w:rPr>
      </w:pPr>
      <w:r>
        <w:rPr>
          <w:w w:val="99"/>
        </w:rPr>
        <w:t>三、工作任务</w:t>
      </w:r>
    </w:p>
    <w:p>
      <w:pPr>
        <w:pStyle w:val="3"/>
        <w:spacing w:line="348" w:lineRule="auto"/>
        <w:ind w:left="104" w:right="103" w:firstLine="640"/>
        <w:rPr>
          <w:w w:val="99"/>
        </w:rPr>
      </w:pPr>
      <w:r>
        <w:rPr>
          <w:w w:val="99"/>
        </w:rPr>
        <w:t>（一）研究世界银行评估方法，做好重点任务分解</w:t>
      </w:r>
    </w:p>
    <w:p>
      <w:pPr>
        <w:pStyle w:val="3"/>
        <w:spacing w:line="348" w:lineRule="auto"/>
        <w:ind w:left="104" w:right="103" w:firstLine="640"/>
        <w:rPr>
          <w:w w:val="99"/>
        </w:rPr>
      </w:pPr>
      <w:r>
        <w:rPr>
          <w:w w:val="99"/>
        </w:rPr>
        <w:t>认真研究世界银行营商环境新评估体系（B-Ready）方法论，做好“解决商业纠纷”“办理破产”两项牵头指标及其他配合指标涉法院任务分解，明确需在市高法院层面建立的制度和机制、需推动市级层面联动其他相关职能部门建立的制度和机制，以及需由中、基层法院做好实践工作、抓好落实的具体内容。对标世界银行评估方法，详细梳理需要加快补齐的短板和弱项，明确责任部门、工作时限，确保工作任务有的放矢、有效落实。</w:t>
      </w:r>
    </w:p>
    <w:p>
      <w:pPr>
        <w:pStyle w:val="3"/>
        <w:spacing w:line="348" w:lineRule="auto"/>
        <w:ind w:left="104" w:right="103" w:firstLine="640"/>
        <w:rPr>
          <w:w w:val="99"/>
        </w:rPr>
      </w:pPr>
      <w:r>
        <w:rPr>
          <w:w w:val="99"/>
        </w:rPr>
        <w:t>（二）采取点面结合方式，做好实地评估工作</w:t>
      </w:r>
    </w:p>
    <w:p>
      <w:pPr>
        <w:pStyle w:val="3"/>
        <w:spacing w:line="348" w:lineRule="auto"/>
        <w:ind w:left="104" w:right="103" w:firstLine="640"/>
      </w:pPr>
      <w:r>
        <w:rPr>
          <w:w w:val="99"/>
        </w:rPr>
        <w:t>根据世界银行营商环境评估方法论，将关注全部中、基层法院相关工作的面上提升，但某个法院在某方面的表现也会引起世界银行关注。市高法院适时组织召开全市法院对标国际规则优化营商环境电视电话会议，对全市法院如何提升审判质量效率、改进工作、补短板、强弱项提出具体要求。同时，根据实际情况确定若干中基层法院作为重点配合单位，争取打造具有重庆法院辨识度的优化营商环境样板。</w:t>
      </w:r>
    </w:p>
    <w:p>
      <w:pPr>
        <w:pStyle w:val="3"/>
        <w:spacing w:line="408" w:lineRule="exact"/>
        <w:ind w:left="745"/>
      </w:pPr>
      <w:r>
        <w:rPr>
          <w:w w:val="95"/>
        </w:rPr>
        <w:t>（三）强化培训交流，增强工作能力</w:t>
      </w:r>
      <w:r>
        <w:rPr>
          <w:spacing w:val="-5"/>
          <w:w w:val="95"/>
        </w:rPr>
        <w:t>水平</w:t>
      </w:r>
    </w:p>
    <w:p>
      <w:pPr>
        <w:pStyle w:val="3"/>
        <w:spacing w:before="182" w:line="348" w:lineRule="auto"/>
        <w:ind w:left="104" w:right="103" w:firstLine="640"/>
      </w:pPr>
      <w:r>
        <w:rPr>
          <w:w w:val="99"/>
        </w:rPr>
        <w:t>财政部、市政府、世界银行将分别举办专题培训班，组织相</w:t>
      </w:r>
      <w:r>
        <w:rPr>
          <w:spacing w:val="1"/>
          <w:w w:val="99"/>
        </w:rPr>
        <w:t>关城市、各指标牵头部门主要负责人、分管负责人、处室负责人</w:t>
      </w:r>
      <w:r>
        <w:rPr>
          <w:w w:val="99"/>
        </w:rPr>
        <w:t>和具体工作人员系统学习世界银行营商环境评估体系、标准和方</w:t>
      </w:r>
      <w:r>
        <w:rPr>
          <w:spacing w:val="-11"/>
          <w:w w:val="99"/>
        </w:rPr>
        <w:t>法。市高法院将根据工作需要，确定相关人员及时认真参加培训，</w:t>
      </w:r>
      <w:r>
        <w:rPr>
          <w:spacing w:val="1"/>
          <w:w w:val="99"/>
        </w:rPr>
        <w:t>做好传帮带，并积极组织全市法院系统内部培训，不断提高全市</w:t>
      </w:r>
      <w:r>
        <w:rPr>
          <w:w w:val="99"/>
        </w:rPr>
        <w:t>法院优化营商环境工作能力。加强与北京、上海等样本城市及广州、深圳、杭州等备选样本城市法院交流，充分学习各地法院的好经验好做法，及时复制推广创新。加强与世界银行专家沟通，</w:t>
      </w:r>
      <w:r>
        <w:rPr>
          <w:spacing w:val="1"/>
          <w:w w:val="99"/>
        </w:rPr>
        <w:t>第一时间熟悉掌握评估体系、标准和方法，将重庆法院优化营商</w:t>
      </w:r>
      <w:r>
        <w:rPr>
          <w:w w:val="99"/>
        </w:rPr>
        <w:t>环境工作进度、成效准确传递给世界银行评估机构。</w:t>
      </w:r>
    </w:p>
    <w:p>
      <w:pPr>
        <w:pStyle w:val="3"/>
        <w:spacing w:line="405" w:lineRule="exact"/>
        <w:ind w:left="745"/>
      </w:pPr>
      <w:r>
        <w:rPr>
          <w:w w:val="95"/>
        </w:rPr>
        <w:t>（四）加强协调沟通，积极争取各方支</w:t>
      </w:r>
      <w:r>
        <w:rPr>
          <w:spacing w:val="-10"/>
          <w:w w:val="95"/>
        </w:rPr>
        <w:t>持</w:t>
      </w:r>
    </w:p>
    <w:p>
      <w:pPr>
        <w:pStyle w:val="3"/>
        <w:spacing w:before="182" w:line="348" w:lineRule="auto"/>
        <w:ind w:left="104" w:right="103" w:firstLine="640"/>
        <w:rPr>
          <w:w w:val="99"/>
        </w:rPr>
      </w:pPr>
      <w:r>
        <w:rPr>
          <w:w w:val="99"/>
        </w:rPr>
        <w:t>积极向最高人民法院汇报，加强与对口部门对接，充分了解法院系统总体应对世界银行营商环境评估情况，争取最高人民法院支持。加强与市级相关职能部门联动，共同推动与相关中央部委对接，争取中央部委支持；协调推进制度机制创新，加强互联互通共享，有力提升优化营商环境整体效能。重点发挥市高法院、市司法局、市律协三方座谈会以及市高法院与市工商联对接机制等现有平台作用，将优化营商环境纳入议题，共同争取企业、律师、中介机构等市场主体理解支持。加强代表委员联络，将营商环境评估相关内容作为人大代表、政协委员重要联络事项之一，争取理解与支持。</w:t>
      </w:r>
    </w:p>
    <w:p>
      <w:pPr>
        <w:pStyle w:val="3"/>
        <w:spacing w:before="182" w:line="348" w:lineRule="auto"/>
        <w:ind w:left="104" w:right="103" w:firstLine="640"/>
        <w:rPr>
          <w:w w:val="99"/>
        </w:rPr>
      </w:pPr>
      <w:r>
        <w:rPr>
          <w:w w:val="99"/>
        </w:rPr>
        <w:t>（五）培育典型案事例，形成优化营商环境好经验</w:t>
      </w:r>
    </w:p>
    <w:p>
      <w:pPr>
        <w:pStyle w:val="3"/>
        <w:spacing w:before="182" w:line="348" w:lineRule="auto"/>
        <w:ind w:left="104" w:right="103" w:firstLine="640"/>
        <w:rPr>
          <w:w w:val="99"/>
        </w:rPr>
      </w:pPr>
      <w:r>
        <w:rPr>
          <w:w w:val="99"/>
        </w:rPr>
        <w:t>充分认识典型案事例在营商环境评估和提振市场预期信心中的重要作用，在世界银行营商环境咨询评估和国务院营商环境创新试点城市建设基础上，加大力度总结培育重庆法院“解决商业纠纷”“办理破产”指标及其它配合指标的好经验好做法，适时形成典型案事例，争取为培育中国营商环境典型案事例作出新贡献。</w:t>
      </w:r>
    </w:p>
    <w:p>
      <w:pPr>
        <w:pStyle w:val="3"/>
        <w:spacing w:before="182" w:line="348" w:lineRule="auto"/>
        <w:ind w:left="104" w:right="103" w:firstLine="640"/>
        <w:rPr>
          <w:w w:val="99"/>
        </w:rPr>
      </w:pPr>
      <w:r>
        <w:rPr>
          <w:w w:val="99"/>
        </w:rPr>
        <w:t>四、工作保障</w:t>
      </w:r>
    </w:p>
    <w:p>
      <w:pPr>
        <w:pStyle w:val="3"/>
        <w:spacing w:before="182" w:line="348" w:lineRule="auto"/>
        <w:ind w:left="104" w:right="103" w:firstLine="640"/>
        <w:rPr>
          <w:w w:val="99"/>
        </w:rPr>
      </w:pPr>
      <w:r>
        <w:rPr>
          <w:w w:val="99"/>
        </w:rPr>
        <w:t>（一）加强统筹协调。在市优化营商环境工作领导小组统筹协调下，坚持专项小组牵头、各配合单位、中基层法院协同推进的工作机制。加强营商环境专班建设，配齐配强工作力量，各牵头部门、中基层法院要压实工作责任，强化工作调度，高标准推动优化营商环境各项改革任务。做好营商环境政策文件立改废释，对不符合优化营商环境要求的规范性文件和其他政策文件，应及时清理或提出修改意见，按程序报请修订或废止。</w:t>
      </w:r>
    </w:p>
    <w:p>
      <w:pPr>
        <w:pStyle w:val="3"/>
        <w:spacing w:before="182" w:line="348" w:lineRule="auto"/>
        <w:ind w:left="104" w:right="103" w:firstLine="640"/>
        <w:rPr>
          <w:w w:val="99"/>
        </w:rPr>
      </w:pPr>
      <w:r>
        <w:rPr>
          <w:w w:val="99"/>
        </w:rPr>
        <w:t>（二）强化工作闭环。建立优化营商环境任务“分解立项、建立台账、跟踪落实、办结销号”的闭环抓落实机制，结合具体任务分解方案，细化量化改革任务，事项化、清单化打表推进，按月跟踪、按季研判、半年评估、年底考核，推动各项任务落实落地。各指标牵头部门要加大对改革任务的跟踪问效力度，协调解决推进过程中存在的问题。围绕各项改革任务开展日常跟踪督查和专项督查，并将有关情况纳入“优化法治化营商环境评估专项”，并最终纳入审判执行工作评估表。</w:t>
      </w:r>
    </w:p>
    <w:p>
      <w:pPr>
        <w:pStyle w:val="3"/>
        <w:spacing w:before="182" w:line="348" w:lineRule="auto"/>
        <w:ind w:left="104" w:right="103" w:firstLine="640"/>
      </w:pPr>
      <w:r>
        <w:rPr>
          <w:w w:val="99"/>
        </w:rPr>
        <w:t>（三）做好宣传推介。加大对优化营商环境工作的宣传力度，依托门户网站和“渝快办”平台“优化营商环境”专窗一站式推介优化营商环境相关政策文件，积极开展政策解读。健全“日常常态化宣传+重要节点专题宣传”机制，通过线上线下多种方式广泛宣传全市法院优化营商环境的突出成效、经验做法和典型案事</w:t>
      </w:r>
      <w:r>
        <w:rPr>
          <w:spacing w:val="-11"/>
          <w:w w:val="99"/>
        </w:rPr>
        <w:t>例，营造全社会关注、支持、参与营商环境优化提升的良好氛围。</w:t>
      </w:r>
      <w:r>
        <w:rPr>
          <w:w w:val="99"/>
        </w:rPr>
        <w:t>加强与律师事务所、企业、中介机构等市场主体的对话交流，在市工商联、市律协、破产管理人协会等组织的相关培训中设置营商环境专题，使市场主体更充分了解法院立审执、办理破产等工作已推出并不断改进的便利措施，提升认同度和满意度。</w:t>
      </w:r>
    </w:p>
    <w:p>
      <w:pPr>
        <w:pStyle w:val="3"/>
        <w:spacing w:before="182" w:line="348" w:lineRule="auto"/>
        <w:ind w:left="104" w:right="103" w:firstLine="640"/>
        <w:rPr>
          <w:w w:val="99"/>
        </w:rPr>
      </w:pPr>
      <w:r>
        <w:rPr>
          <w:spacing w:val="2"/>
          <w:w w:val="99"/>
        </w:rPr>
        <w:t>（</w:t>
      </w:r>
      <w:r>
        <w:rPr>
          <w:w w:val="99"/>
        </w:rPr>
        <w:t>四）加强综合保障。加大对标国际规则优化营商环境工作保障力度，在人员配备、经费保障、团队建设、翻译聘请、设备场地等方面给予全力支持。将迎接世行评估工作完成情况，纳入法院、部门、个人工作评估考核，对工作得力的给予表彰奖励，在晋职晋级中给予加分，同等条件下优先考虑。进一步发挥科技支撑作用，完善重庆法院营商环境双语网站，优化重庆法院营商环境“数智说”平台，集成成果展示、日常监测、指标预警等功能，实现每个指标可跟踪、对比分析，数助营商环境决策。</w:t>
      </w:r>
    </w:p>
    <w:p>
      <w:pPr>
        <w:pStyle w:val="3"/>
        <w:spacing w:before="182" w:line="348" w:lineRule="auto"/>
        <w:ind w:left="104" w:right="103" w:firstLine="640"/>
        <w:sectPr>
          <w:footerReference r:id="rId5" w:type="default"/>
          <w:footerReference r:id="rId6" w:type="even"/>
          <w:pgSz w:w="11910" w:h="16840"/>
          <w:pgMar w:top="1920" w:right="1110" w:bottom="1600" w:left="1340" w:header="0" w:footer="1418" w:gutter="0"/>
          <w:cols w:space="720" w:num="1"/>
        </w:sectPr>
      </w:pPr>
      <w:bookmarkStart w:id="0" w:name="_GoBack"/>
      <w:bookmarkEnd w:id="0"/>
    </w:p>
    <w:p>
      <w:pPr>
        <w:spacing w:before="0"/>
        <w:ind w:right="0"/>
        <w:jc w:val="left"/>
        <w:rPr>
          <w:sz w:val="28"/>
        </w:rPr>
      </w:pPr>
    </w:p>
    <w:sectPr>
      <w:footerReference r:id="rId7" w:type="even"/>
      <w:pgSz w:w="11910" w:h="16840"/>
      <w:pgMar w:top="1920" w:right="1180" w:bottom="280" w:left="13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Microsoft JhengHei">
    <w:altName w:val="汉仪仿宋S"/>
    <w:panose1 w:val="00000000000000000000"/>
    <w:charset w:val="00"/>
    <w:family w:val="swiss"/>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1" o:spid="_x0000_s2049" o:spt="202" type="#_x0000_t202" style="position:absolute;left:0pt;margin-left:462.4pt;margin-top:759.95pt;height:16.05pt;width:51.1pt;mso-position-horizontal-relative:page;mso-position-vertical-relative:page;z-index:-158248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r>
                  <w:rPr>
                    <w:spacing w:val="-1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2" o:spid="_x0000_s2050" o:spt="202" type="#_x0000_t202" style="position:absolute;left:0pt;margin-left:81.75pt;margin-top:759.95pt;height:16.05pt;width:51.1pt;mso-position-horizontal-relative:page;mso-position-vertical-relative:page;z-index:-158248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sz w:val="28"/>
                  </w:rPr>
                  <w:t xml:space="preserve"> </w:t>
                </w:r>
                <w:r>
                  <w:rPr>
                    <w:spacing w:val="-1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7F2FB8A3"/>
    <w:rsid w:val="EDBF0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601" w:right="761"/>
      <w:jc w:val="center"/>
      <w:outlineLvl w:val="1"/>
    </w:pPr>
    <w:rPr>
      <w:rFonts w:ascii="宋体" w:hAnsi="宋体" w:eastAsia="宋体" w:cs="宋体"/>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line="2021" w:lineRule="exact"/>
      <w:ind w:left="527"/>
    </w:pPr>
    <w:rPr>
      <w:rFonts w:ascii="Microsoft JhengHei" w:hAnsi="Microsoft JhengHei" w:eastAsia="Microsoft JhengHei" w:cs="Microsoft JhengHei"/>
      <w:b/>
      <w:bCs/>
      <w:sz w:val="136"/>
      <w:szCs w:val="136"/>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2023-06-09T00:04:00Z</dcterms:created>
  <dc:creator>cqfy</dc:creator>
  <cp:lastModifiedBy>user</cp:lastModifiedBy>
  <dcterms:modified xsi:type="dcterms:W3CDTF">2023-06-08T16:28:32Z</dcterms:modified>
  <dc:title>重庆市高级人民法院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Suwell OFD convertor</vt:lpwstr>
  </property>
  <property fmtid="{D5CDD505-2E9C-101B-9397-08002B2CF9AE}" pid="4" name="LastSaved">
    <vt:filetime>2023-06-08T00:00:00Z</vt:filetime>
  </property>
  <property fmtid="{D5CDD505-2E9C-101B-9397-08002B2CF9AE}" pid="5" name="Producer">
    <vt:lpwstr>Suwell OFD convertor/1.0.22.0624.0014</vt:lpwstr>
  </property>
  <property fmtid="{D5CDD505-2E9C-101B-9397-08002B2CF9AE}" pid="6" name="KSOProductBuildVer">
    <vt:lpwstr>2052-11.8.2.10125</vt:lpwstr>
  </property>
</Properties>
</file>