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万州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区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经济和信息化委员会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2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20"/>
          <w:sz w:val="44"/>
          <w:szCs w:val="44"/>
          <w:lang w:eastAsia="zh-CN"/>
        </w:rPr>
        <w:t>万州经济技术开发区经济</w:t>
      </w:r>
      <w:r>
        <w:rPr>
          <w:rFonts w:hint="eastAsia" w:eastAsia="方正小标宋_GBK" w:cs="Times New Roman"/>
          <w:spacing w:val="20"/>
          <w:sz w:val="44"/>
          <w:szCs w:val="44"/>
          <w:lang w:eastAsia="zh-CN"/>
        </w:rPr>
        <w:t>运行</w:t>
      </w:r>
      <w:r>
        <w:rPr>
          <w:rFonts w:hint="default" w:ascii="Times New Roman" w:hAnsi="Times New Roman" w:eastAsia="方正小标宋_GBK" w:cs="Times New Roman"/>
          <w:spacing w:val="20"/>
          <w:sz w:val="44"/>
          <w:szCs w:val="44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关于开展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202</w:t>
      </w:r>
      <w:r>
        <w:rPr>
          <w:rFonts w:hint="eastAsia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年度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万州区工业发展专项资金申报工作的通知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highlight w:val="none"/>
        </w:rPr>
        <w:t>各镇乡（民族乡）人民政府，各街道办事处，区政府有关部门，有关单位：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按照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重庆市发展改革委等四家联合印发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《关于印发〈支持企业高质量发展若干政策措施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的通知》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（渝发改体改〔2024〕17号）、《重庆市经济和信息化委员会关于印发〈重庆市加力振作工业经济若干政策措施〉的通知》（渝经信规范〔2023〕1号）、《重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庆市万州区人民政府办公室关于印发〈支持科技创新若干财政金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融政策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〉的通知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万州府办发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）、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u w:val="none"/>
          <w:lang w:eastAsia="zh-CN"/>
        </w:rPr>
        <w:t>《重庆市万州区人民政府办公室关于印发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u w:val="none"/>
        </w:rPr>
        <w:t>支持企业技术改造投资和扩大再投资政策措施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highlight w:val="none"/>
          <w:u w:val="none"/>
          <w:lang w:eastAsia="zh-CN"/>
        </w:rPr>
        <w:t>的通知》（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万州府办发〔20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"/>
        </w:rPr>
        <w:t>83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）、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关于加快推进新型工业化高质量建设工业强区的行动方案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》精神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  <w:lang w:val="en-US" w:eastAsia="zh-CN"/>
        </w:rPr>
        <w:t>经区政府同意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  <w:lang w:val="en-US" w:eastAsia="zh-CN"/>
        </w:rPr>
        <w:t>决定开展202</w:t>
      </w:r>
      <w:r>
        <w:rPr>
          <w:rFonts w:hint="eastAsia" w:eastAsia="方正仿宋_GBK" w:cs="Times New Roman"/>
          <w:color w:val="auto"/>
          <w:sz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  <w:lang w:val="en-US" w:eastAsia="zh-CN"/>
        </w:rPr>
        <w:t>年度万州区工业发展专项资金申报工作。现将有关事项通知如下。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highlight w:val="none"/>
          <w:u w:val="none"/>
          <w:lang w:val="en-US" w:eastAsia="zh-CN"/>
        </w:rPr>
        <w:t>一、支持方向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年度万州区工业发展专项资金重点围绕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智能制造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、科技创新、绿色发展、提质增效、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军民融合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方面，支持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智能化改造及固定资产投资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智能化赋能认定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上云上平台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等1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方向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的项目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highlight w:val="none"/>
          <w:u w:val="none"/>
          <w:lang w:val="en-US" w:eastAsia="zh-CN"/>
        </w:rPr>
        <w:t>二、资金支持方式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采取事后补助、奖励等方式支持。符合上级财政性资金申报条件的项目，应先向上争取，项目获得区级以上扶持额度低于本方案标准的予以补足。同一支持方向的项目不得同时享受区级其他财政性资金扶持；单户企业享受工业发展专项资金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额不超过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年度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地方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经济贡献（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奖励类项目不纳入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），且总额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最高不超过600万元（不含“一事一议”支持事项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亩均论英雄评价为A类的企业补助类项目上浮20%，评价为B类的企业补助类项目上浮10%，评价为C类的企业补助类项目下降15%，评价为D类的企业补助类项目不予支持，且不超过涉及支持方向的最高支持限额）。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单个项目按具体标准测算出拟支持额度低于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1万元的不予支持。“5+10+X”现代工业化体系产业集群及产业链的重点项目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、获得转型金融贷款的项目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予以倾斜支持。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highlight w:val="none"/>
          <w:u w:val="none"/>
          <w:lang w:val="en-US" w:eastAsia="zh-CN"/>
        </w:rPr>
        <w:t>三、申报条件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highlight w:val="none"/>
          <w:u w:val="none"/>
          <w:lang w:val="en-US" w:eastAsia="zh-CN"/>
        </w:rPr>
        <w:t>（一）申报主体基本条件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在万州区内依法登记注册纳税，符合国家产业政策的独立法人工业和信息化企业（产业活动单位参照执行）；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具有较为健全的财务管理制度；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企业信用较好，近三年无财政资金使用违纪、违规、违法行为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申报时未被列入国家企业信用信息公示系统中的“严重违法失信企业名单”和国家税务总局“重大税收违法案件信息公布栏”名单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4.智能化改造及固定资产投资补助项目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bidi="ar"/>
        </w:rPr>
        <w:t>为20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22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bidi="ar"/>
        </w:rPr>
        <w:t>年1月1日后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 w:bidi="ar"/>
        </w:rPr>
        <w:t>实施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bidi="ar"/>
        </w:rPr>
        <w:t>的项目，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 w:bidi="ar"/>
        </w:rPr>
        <w:t>实施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bidi="ar"/>
        </w:rPr>
        <w:t>工期不超过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24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bidi="ar"/>
        </w:rPr>
        <w:t>个月。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申报时在国家统计联网直报平台正常报统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highlight w:val="none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highlight w:val="none"/>
        </w:rPr>
        <w:t>（二）分类申报具体条件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highlight w:val="none"/>
        </w:rPr>
        <w:t>各项目申报具体条件详见《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202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年度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万州区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工业发展专项资金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highlight w:val="none"/>
        </w:rPr>
        <w:t>申报指南》。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highlight w:val="none"/>
          <w:lang w:val="en-US" w:eastAsia="zh-CN"/>
        </w:rPr>
        <w:t>三、申报审核程序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highlight w:val="none"/>
          <w:lang w:eastAsia="zh-CN"/>
        </w:rPr>
        <w:t>（一）公开申报项目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highlight w:val="none"/>
        </w:rPr>
        <w:t>企业本着自愿原则申报，于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highlight w:val="none"/>
          <w:lang w:eastAsia="zh-CN"/>
        </w:rPr>
        <w:t>202</w:t>
      </w:r>
      <w:r>
        <w:rPr>
          <w:rFonts w:hint="eastAsia" w:eastAsia="方正仿宋_GBK" w:cs="Times New Roman"/>
          <w:b w:val="0"/>
          <w:bCs w:val="0"/>
          <w:color w:val="auto"/>
          <w:sz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highlight w:val="none"/>
        </w:rPr>
        <w:t>年</w:t>
      </w:r>
      <w:r>
        <w:rPr>
          <w:rFonts w:hint="eastAsia" w:eastAsia="方正仿宋_GBK" w:cs="Times New Roman"/>
          <w:b w:val="0"/>
          <w:bCs w:val="0"/>
          <w:color w:val="auto"/>
          <w:sz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highlight w:val="none"/>
        </w:rPr>
        <w:t>月</w:t>
      </w:r>
      <w:r>
        <w:rPr>
          <w:rFonts w:hint="eastAsia" w:eastAsia="方正仿宋_GBK" w:cs="Times New Roman"/>
          <w:b w:val="0"/>
          <w:bCs w:val="0"/>
          <w:color w:val="auto"/>
          <w:sz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highlight w:val="none"/>
        </w:rPr>
        <w:t>日前</w:t>
      </w:r>
      <w:r>
        <w:rPr>
          <w:rFonts w:hint="eastAsia" w:eastAsia="方正仿宋_GBK" w:cs="Times New Roman"/>
          <w:b w:val="0"/>
          <w:bCs w:val="0"/>
          <w:color w:val="auto"/>
          <w:sz w:val="32"/>
          <w:highlight w:val="none"/>
          <w:lang w:eastAsia="zh-CN"/>
        </w:rPr>
        <w:t>在万达开云工业互联网大数据平台进行申报，网址：http://222.179.163.90:8081/，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highlight w:val="none"/>
        </w:rPr>
        <w:t>逾期不予受理。区经济信息委、</w:t>
      </w:r>
      <w:r>
        <w:rPr>
          <w:rFonts w:hint="eastAsia" w:eastAsia="方正仿宋_GBK" w:cs="Times New Roman"/>
          <w:b w:val="0"/>
          <w:bCs w:val="0"/>
          <w:color w:val="auto"/>
          <w:sz w:val="32"/>
          <w:highlight w:val="none"/>
          <w:lang w:eastAsia="zh-CN"/>
        </w:rPr>
        <w:t>万州经开区经济运行局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highlight w:val="none"/>
        </w:rPr>
        <w:t>按职责分工完成相关项目审核，并按相关程序送审。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highlight w:val="none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highlight w:val="none"/>
          <w:lang w:eastAsia="zh-CN"/>
        </w:rPr>
        <w:t>）免申即享项目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eastAsia="方正仿宋_GBK" w:cs="Times New Roman"/>
          <w:b w:val="0"/>
          <w:bCs w:val="0"/>
          <w:color w:val="auto"/>
          <w:sz w:val="32"/>
          <w:highlight w:val="none"/>
          <w:lang w:eastAsia="zh-CN"/>
        </w:rPr>
        <w:t>项目无需申报，区经济信息委将拟奖补企业名单导入系统，企业于</w:t>
      </w:r>
      <w:r>
        <w:rPr>
          <w:rFonts w:hint="eastAsia" w:eastAsia="方正仿宋_GBK" w:cs="Times New Roman"/>
          <w:b w:val="0"/>
          <w:bCs w:val="0"/>
          <w:color w:val="auto"/>
          <w:sz w:val="32"/>
          <w:highlight w:val="none"/>
          <w:lang w:val="en-US" w:eastAsia="zh-CN"/>
        </w:rPr>
        <w:t>2024年10月28日至11月10日期间注册登录</w:t>
      </w:r>
      <w:r>
        <w:rPr>
          <w:rFonts w:hint="eastAsia" w:eastAsia="方正仿宋_GBK" w:cs="Times New Roman"/>
          <w:b w:val="0"/>
          <w:bCs w:val="0"/>
          <w:color w:val="auto"/>
          <w:sz w:val="32"/>
          <w:highlight w:val="none"/>
          <w:lang w:eastAsia="zh-CN"/>
        </w:rPr>
        <w:t>万达开云工业互联网大数据平台开展线上信息确认相关工作即可。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highlight w:val="none"/>
          <w:lang w:val="en-US" w:eastAsia="zh-CN"/>
        </w:rPr>
        <w:t>附件：1.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202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年度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万州区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工业发展专项资金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highlight w:val="none"/>
        </w:rPr>
        <w:t>申报指南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highlight w:val="none"/>
          <w:lang w:val="en-US" w:eastAsia="zh-CN"/>
        </w:rPr>
        <w:t>2.项目申报资料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596" w:leftChars="76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highlight w:val="none"/>
          <w:lang w:val="en-US" w:eastAsia="zh-CN"/>
        </w:rPr>
        <w:t>3.202</w:t>
      </w:r>
      <w:r>
        <w:rPr>
          <w:rFonts w:hint="eastAsia" w:eastAsia="方正仿宋_GBK" w:cs="Times New Roman"/>
          <w:b w:val="0"/>
          <w:bCs w:val="0"/>
          <w:color w:val="auto"/>
          <w:sz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highlight w:val="none"/>
          <w:lang w:val="en-US" w:eastAsia="zh-CN"/>
        </w:rPr>
        <w:t>年度万州区工业发展专项资金项目申报书（模板）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00" w:firstLineChars="5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highlight w:val="none"/>
          <w:lang w:val="en-US" w:eastAsia="zh-CN"/>
        </w:rPr>
        <w:t>4.项目真实性合规性承诺书（模板）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9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textAlignment w:val="auto"/>
        <w:rPr>
          <w:rFonts w:hint="eastAsia" w:eastAsia="方正仿宋_GBK" w:cs="Times New Roman"/>
          <w:spacing w:val="-2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0"/>
          <w:kern w:val="2"/>
          <w:sz w:val="32"/>
          <w:szCs w:val="24"/>
          <w:highlight w:val="none"/>
          <w:lang w:val="en-US" w:eastAsia="zh-CN" w:bidi="ar-SA"/>
        </w:rPr>
        <w:t xml:space="preserve">重庆市万州区经济和信息化委员会   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-20"/>
          <w:kern w:val="2"/>
          <w:sz w:val="32"/>
          <w:szCs w:val="24"/>
          <w:highlight w:val="none"/>
          <w:lang w:val="en-US" w:eastAsia="zh-CN" w:bidi="ar-SA"/>
        </w:rPr>
        <w:t>万州经济技术开发区经济运行局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sectPr>
      <w:footerReference r:id="rId3" w:type="default"/>
      <w:pgSz w:w="11906" w:h="16838"/>
      <w:pgMar w:top="1984" w:right="1474" w:bottom="164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正黑_GBK">
    <w:altName w:val="方正黑体_GBK"/>
    <w:panose1 w:val="02000000000000000000"/>
    <w:charset w:val="00"/>
    <w:family w:val="auto"/>
    <w:pitch w:val="default"/>
    <w:sig w:usb0="00000000" w:usb1="00000000" w:usb2="00082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1" w:csb1="00000000"/>
  </w:font>
  <w:font w:name="Helvetica">
    <w:altName w:val="汉仪君黑-35简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OTU2Mjk2M2Y4M2MzYTBhYWM0MmRiZDcyYWNmYTQifQ=="/>
  </w:docVars>
  <w:rsids>
    <w:rsidRoot w:val="762C2916"/>
    <w:rsid w:val="035F1921"/>
    <w:rsid w:val="05400F84"/>
    <w:rsid w:val="1153052A"/>
    <w:rsid w:val="11645C72"/>
    <w:rsid w:val="135E0991"/>
    <w:rsid w:val="2CFE3605"/>
    <w:rsid w:val="2DF93EF6"/>
    <w:rsid w:val="35FF1D6E"/>
    <w:rsid w:val="38400449"/>
    <w:rsid w:val="434D1EC9"/>
    <w:rsid w:val="4DC501A6"/>
    <w:rsid w:val="4FD445CE"/>
    <w:rsid w:val="5324774C"/>
    <w:rsid w:val="58FEAACF"/>
    <w:rsid w:val="5AFBC839"/>
    <w:rsid w:val="5B6F7C71"/>
    <w:rsid w:val="5F3D0DD7"/>
    <w:rsid w:val="6C986BBC"/>
    <w:rsid w:val="6E310FE7"/>
    <w:rsid w:val="73A67593"/>
    <w:rsid w:val="762C2916"/>
    <w:rsid w:val="768650E9"/>
    <w:rsid w:val="775E5C88"/>
    <w:rsid w:val="77FE5C6E"/>
    <w:rsid w:val="7AF30E81"/>
    <w:rsid w:val="7B17C4DD"/>
    <w:rsid w:val="7B3E8A0C"/>
    <w:rsid w:val="7B70B759"/>
    <w:rsid w:val="7B7965F0"/>
    <w:rsid w:val="7D3B0BB8"/>
    <w:rsid w:val="7F2AE7AD"/>
    <w:rsid w:val="7F9D7330"/>
    <w:rsid w:val="9ADC5D3D"/>
    <w:rsid w:val="9FEF9E16"/>
    <w:rsid w:val="B57B66D1"/>
    <w:rsid w:val="B8DF37A9"/>
    <w:rsid w:val="D9EDF158"/>
    <w:rsid w:val="DBF68D94"/>
    <w:rsid w:val="E677C977"/>
    <w:rsid w:val="EBED1644"/>
    <w:rsid w:val="EF7FBEF9"/>
    <w:rsid w:val="EFFE6A60"/>
    <w:rsid w:val="F4AFCA28"/>
    <w:rsid w:val="F66F82AA"/>
    <w:rsid w:val="FDBE582B"/>
    <w:rsid w:val="FE3B0D4F"/>
    <w:rsid w:val="FEFFEBB5"/>
    <w:rsid w:val="FFDB36CE"/>
    <w:rsid w:val="FFFBB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1"/>
    </w:pPr>
    <w:rPr>
      <w:rFonts w:ascii="Arial" w:hAnsi="Arial" w:eastAsia="方正正黑_GBK"/>
    </w:rPr>
  </w:style>
  <w:style w:type="paragraph" w:styleId="2">
    <w:name w:val="heading 4"/>
    <w:basedOn w:val="3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3">
    <w:name w:val="Default Paragraph Font"/>
    <w:link w:val="14"/>
    <w:semiHidden/>
    <w:qFormat/>
    <w:uiPriority w:val="0"/>
    <w:rPr>
      <w:rFonts w:ascii="宋体" w:hAnsi="宋体"/>
      <w:i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qFormat/>
    <w:uiPriority w:val="0"/>
    <w:pPr>
      <w:spacing w:line="560" w:lineRule="exact"/>
    </w:pPr>
    <w:rPr>
      <w:rFonts w:eastAsia="仿宋_GB2312"/>
      <w:sz w:val="32"/>
    </w:rPr>
  </w:style>
  <w:style w:type="paragraph" w:customStyle="1" w:styleId="7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index 7"/>
    <w:basedOn w:val="1"/>
    <w:next w:val="1"/>
    <w:unhideWhenUsed/>
    <w:qFormat/>
    <w:uiPriority w:val="99"/>
    <w:pPr>
      <w:ind w:left="1200" w:leftChars="1200"/>
    </w:pPr>
  </w:style>
  <w:style w:type="paragraph" w:customStyle="1" w:styleId="14">
    <w:name w:val="Char"/>
    <w:basedOn w:val="1"/>
    <w:link w:val="13"/>
    <w:qFormat/>
    <w:uiPriority w:val="0"/>
    <w:pPr>
      <w:ind w:firstLine="540" w:firstLineChars="225"/>
    </w:pPr>
    <w:rPr>
      <w:rFonts w:ascii="宋体" w:hAnsi="宋体"/>
      <w:i/>
      <w:sz w:val="24"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8682</Words>
  <Characters>9408</Characters>
  <Lines>0</Lines>
  <Paragraphs>0</Paragraphs>
  <TotalTime>106</TotalTime>
  <ScaleCrop>false</ScaleCrop>
  <LinksUpToDate>false</LinksUpToDate>
  <CharactersWithSpaces>9907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2023-08-13T07:38:00Z</dcterms:created>
  <dc:creator>Admin</dc:creator>
  <cp:lastModifiedBy>user</cp:lastModifiedBy>
  <cp:lastPrinted>2024-10-15T15:28:00Z</cp:lastPrinted>
  <dcterms:modified xsi:type="dcterms:W3CDTF">2024-11-28T15:49:37Z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297EE890662CFD80C59908672D8B95DB_43</vt:lpwstr>
  </property>
</Properties>
</file>