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重庆市万州区分水镇人民政府</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一、部门基本情况</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eastAsia="zh-CN"/>
        </w:rPr>
        <w:t>（一）</w:t>
      </w:r>
      <w:r>
        <w:rPr>
          <w:rStyle w:val="10"/>
          <w:rFonts w:hint="default" w:ascii="Times New Roman" w:hAnsi="Times New Roman" w:eastAsia="方正楷体_GBK" w:cs="Times New Roman"/>
          <w:b w:val="0"/>
          <w:bCs/>
          <w:sz w:val="32"/>
          <w:szCs w:val="32"/>
          <w:shd w:val="clear" w:color="auto" w:fill="FFFFFF"/>
        </w:rPr>
        <w:t>职能职责</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的路线方针政策和国家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我镇内设11个办公室：</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党政办公室，主要负责综合协调、文秘、保密、档案等职责。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党群工作办公室，主要负责党的建设、编制、人事、老干部、群团、纪检、宣传、统战、武装、民宗侨台等职责。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人大办公室，主要负责办理镇人大日常工作事务，组织代表开展活动，为镇人大及其代表履行职责提供服务。</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办公室（挂统计办公室、乡村振兴办公室牌子），主要负责经济发展规划、社会经济统计、大数据、商贸物流、招商引资及贯彻执行乡村振兴方针政策、负责乡村振兴工作的统筹协调、产业发展指导、乡村振兴政策法规及相关技能培训的指导管理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农村办公室，主要负责农村经营管理、农业现代化建设，农业产业发展，畜牧兽医、农机、水务、农技推广、土地流转、农村人居环境整治、森林防火、农民负担监管、农业综合开发、农村公路建设维护、大中型水库后期扶持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民政和社会事务办公室（挂卫生健康办公室牌子），主要负责民政、教育、卫生、计生、文化、体育、社会救助、残疾人事业、劳动就业、社会保障、老龄事业发展等职责。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平安建设办公室，主要负责信访、人民调解、社会治安综合治理、防范和处理邪教、禁毒铲毒、法制、铁路护路等职责。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规划建设管理环保办公室，主要负责村镇规划、村镇建设、市政公用、市容环卫、环境保护、全域环境、地灾、地震等职责。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财政办公室，主要负责财政收支、预决算、总会计、支农惠民资金兑付、财政资金监督检查、绩效评价、村（社区）级财务管理等职责。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办公室，主要负责应急管理、各类灾情应急统筹和安全生产综合监管，协助开展煤矿、非煤矿山、危险化学品、烟花爆竹、交通等安全生产日常监管工作，承担消防管理工作任务和食品安全属地管理职责。</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综合行政执法办公室，主要负责集中行使依法授权或委托的农林水利、规划建设、环境保护、卫生计生、文化旅游、民政管理、城市管理等领域的行政执法权。</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各综合办事机构在执行上述规定职责的同时完成镇党委、政府和上级部门交办的其他任务。</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分水镇纪委、武装部按照有关规定设置，工会、团委、妇联等群团按章程设置。</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设置6个事业站所：</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文化服务中心，主要承担文化、宣传、广播电视、体育、科技培训等方面工作。</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村镇建设环保服务中心，主要承担辖区规划建设、环境保护等工作。</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退役军人服务站，承担退役军人的关系转接、联络接待、困难帮扶、信息采集、情况反映、立功喜报、悬挂光荣牌和“八一”、春节等节日以及重大变故走访慰问等具体事务。</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综合行政执法大队，主要负责集中行使依法授权或委托的农林水利、规划建设、环境保护、卫生计生、文化旅游、民政管理、城市管理等领域的行政执法权。</w:t>
      </w:r>
    </w:p>
    <w:p>
      <w:pPr>
        <w:keepNext w:val="0"/>
        <w:keepLines w:val="0"/>
        <w:pageBreakBefore w:val="0"/>
        <w:widowControl w:val="0"/>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各事业站所在执行上述规定职责的同时完成镇党委、政府和上级部门交办的其他任务。</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二、部门决算情况说明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eastAsia="zh-CN"/>
        </w:rPr>
        <w:t>（一）</w:t>
      </w:r>
      <w:r>
        <w:rPr>
          <w:rStyle w:val="10"/>
          <w:rFonts w:hint="default" w:ascii="Times New Roman" w:hAnsi="Times New Roman" w:eastAsia="方正楷体_GBK" w:cs="Times New Roman"/>
          <w:b w:val="0"/>
          <w:bCs/>
          <w:sz w:val="32"/>
          <w:szCs w:val="32"/>
          <w:shd w:val="clear" w:color="auto" w:fill="FFFFFF"/>
        </w:rPr>
        <w:t>收入支出决算总体情况说明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1.总体情况。2023年度收入总计16274.82万元，支出总计16274.82万元。收支较上年决算数增加5205.67万元，增长47.0%，主要原因是社会保障和就业、城乡社区、交通运输、资源勘探工业信息、住房保障等项目增加。</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收入情况。2023年度收入合计16274.82万元，较上年决算数增加5205.67万元，增长47.0%，主要原因是社会保障和就业、城乡社区、交通运输、资源勘探工业信息、住房保障等项目收入增加。其中：财政拨款收入16274.82万元，占100.0%；事业收入0万元，占0.0%；经营收入0万元，占0.0%；其他收入0万元，占0.0%。此外，使用非财政拨款结余和专用结余0万元，年初结转和结余0万元。</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16274.82万元，较上年决算数增加5205.67万元，增长47.0%，主要原因是社会保障和就业、城乡社区、交通运输、资源勘探工业信息、住房保障等项目支出增加。其中：基本支出3933.57万元，占24.2%；项目支出12341.25万元，占75.8%；经营支出0万元，占0.0%。此外，结余分配0万元。</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4.结转结余情况。2023年度年末结转和结余0万元，较上年决算数增加0万元，增长0.0%，主要原因是上年度与本年度年末结转和结余均为0万元。</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（二）财政拨款收入支出决算总体情况说明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16274.82万元。与2022年相比，财政拨款收、支总计各增加5205.67万元，增长47.0%。主要原因是社会保障和就业、城乡社区、交通运输、资源勘探工业信息、住房保障等项目收入、支出增加。</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（三）一般公共预算财政拨款收入支出决算情况说明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15281.35万元，较上年决算数增加4877.23万元，增长46.9%。主要原因是社会保障和就业、城乡社区、交通运输、资源勘探工业信息、住房保障等项目收入增加。较年初预算数增加9933.73万元，增长185.8%。主要原因是社会保障和就业、城乡社区、交通运输、资源勘探工业信息、住房保障等项目收入增加。此外，年初财政拨款结转和结余0万元。</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15281.35万元，较上年决算数增加4877.23万元，增长46.9%。主要原因是社会保障和就业、城乡社区、交通运输、资源勘探工业信息、住房保障等项目支出增加。较年初预算数增加9933.73万元，增长185.8%。主要原因是社会保障和就业、城乡社区、交通运输、资源勘探工业信息、住房保障等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3.结转结余情况。2023年度年末一般公共预算财政拨款结转和结余0万元，较上年决算数增加0万元，增长0.0%，主要原因是上年及本年度年末均无一般公共预算财政拨款结转和结余。</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4.比较情况。本部门2023年度一般公共预算财政拨款支出主要用于以下几个方面：</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（1）一般公共服务支出1834.07万元，占12.0%，较年初预算数增加140.52万元，增长8.3%，主要原因是新进人员、工资及社保缴费调标等支出增加。</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（2）国防支出4万元，占0.0%，较年初预算数增加4万元，增长100.0%，主要原因是国防支出未纳入年初预算。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（3）公共安全支出49.22万元，占0.3%，较年初预算数减少0.78万元，下降1.6%，主要原因是加强管理，压缩经费。</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（4）文化旅游体育与传媒支出58.43万元，占0.4%，较年初预算数增加1.71万元，增长3.0%，主要原因是项目支出未纳入年初预算。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（5）社会保障与就业支出1696.35万元，占11.1%，较年初预算数增加340.19万元，增长25.1%，主要原因是对群众的补助项目未纳入年初预算。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（6）卫生健康支出182.47万元，占1.2%，较年初预算数增加20.96万元，增长13.0%，主要原因是补助类项目未纳入年初预算。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（7）节能环保支出143.5万元，占0.9%，较年初预算数增加143.5万元，增长100.0%，主要原因是生态修复类项目未纳入年初预算。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（8）城乡社区支出329.12万元，占2.2%，较年初预算数增加58.41万元，增长21.6%，主要原因是城市基础设施配套费安排的支出项目增加，未纳入年初预算。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（9）农林水支出2325.09万元，占15.2%，较年初预算数增加1209.73万元，增长108.5%，主要原因是农林水支出项目未纳入年初预算。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（10）交通运输支出389.91万元，占2.6%，较年初预算数增加389.91万元，增长100.0%，主要原因是交通运输支出项目未纳入年初预算。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（11）资源勘探信息等支出7894.37万元，占51.7%，较年初预算数增加7504.37万元，增长1924.2%，主要原因是企业经济贡献奖励增加。</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（12）住房保障支出247.44万元，占1.6%，较年初预算数增加44.82万元，增长22.1%，主要原因是农村危房改造项目未纳入年初预算。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（13）灾害防治及应急管理支出127.38万元，占0.8%，较年初预算数增加76.38万元，增长149.8%，主要原因是暴雨救灾资金未纳入年初预算。</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eastAsia="zh-CN"/>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w:t>
      </w:r>
      <w:r>
        <w:rPr>
          <w:rStyle w:val="10"/>
          <w:rFonts w:hint="default" w:ascii="Times New Roman" w:hAnsi="Times New Roman" w:eastAsia="方正楷体_GBK" w:cs="Times New Roman"/>
          <w:b w:val="0"/>
          <w:bCs/>
          <w:sz w:val="32"/>
          <w:szCs w:val="32"/>
          <w:shd w:val="clear" w:color="auto" w:fill="FFFFFF"/>
          <w:lang w:eastAsia="zh-CN"/>
        </w:rPr>
        <w:t>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3933.57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3526.46</w:t>
      </w:r>
      <w:r>
        <w:rPr>
          <w:rFonts w:hint="default" w:ascii="Times New Roman" w:hAnsi="Times New Roman" w:eastAsia="方正仿宋_GBK" w:cs="Times New Roman"/>
          <w:sz w:val="32"/>
          <w:szCs w:val="32"/>
          <w:shd w:val="clear" w:color="auto" w:fill="FFFFFF"/>
        </w:rPr>
        <w:t>万元，较上年决算数增加60.78万元，增长1.8%，主要原因是</w:t>
      </w:r>
      <w:r>
        <w:rPr>
          <w:rFonts w:hint="default" w:ascii="Times New Roman" w:hAnsi="Times New Roman" w:eastAsia="方正仿宋_GBK" w:cs="Times New Roman"/>
          <w:sz w:val="32"/>
          <w:szCs w:val="32"/>
        </w:rPr>
        <w:t>新进人员，支出增加。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rPr>
        <w:t>工资福利支出和对个人和家庭的补助。</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407.11</w:t>
      </w:r>
      <w:r>
        <w:rPr>
          <w:rFonts w:hint="default" w:ascii="Times New Roman" w:hAnsi="Times New Roman" w:eastAsia="方正仿宋_GBK" w:cs="Times New Roman"/>
          <w:sz w:val="32"/>
          <w:szCs w:val="32"/>
          <w:shd w:val="clear" w:color="auto" w:fill="FFFFFF"/>
        </w:rPr>
        <w:t>万元，较上年决算数减少103.34万元，下降20.2%，主要原因是</w:t>
      </w:r>
      <w:r>
        <w:rPr>
          <w:rFonts w:hint="default" w:ascii="Times New Roman" w:hAnsi="Times New Roman" w:eastAsia="方正仿宋_GBK" w:cs="Times New Roman"/>
          <w:sz w:val="32"/>
          <w:szCs w:val="32"/>
        </w:rPr>
        <w:t>加强管理，压缩经费。</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商品和服务支出及办公费用等。</w:t>
      </w:r>
    </w:p>
    <w:p>
      <w:pPr>
        <w:keepNext w:val="0"/>
        <w:keepLines w:val="0"/>
        <w:pageBreakBefore w:val="0"/>
        <w:widowControl w:val="0"/>
        <w:numPr>
          <w:ilvl w:val="0"/>
          <w:numId w:val="1"/>
        </w:numPr>
        <w:kinsoku/>
        <w:wordWrap/>
        <w:overflowPunct w:val="0"/>
        <w:topLinePunct w:val="0"/>
        <w:autoSpaceDN/>
        <w:bidi w:val="0"/>
        <w:adjustRightInd/>
        <w:spacing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政府性基金预算收支决算情况说明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993.47</w:t>
      </w:r>
      <w:r>
        <w:rPr>
          <w:rFonts w:hint="default" w:ascii="Times New Roman" w:hAnsi="Times New Roman" w:eastAsia="方正仿宋_GBK" w:cs="Times New Roman"/>
          <w:sz w:val="32"/>
          <w:szCs w:val="32"/>
          <w:shd w:val="clear" w:color="auto" w:fill="FFFFFF"/>
        </w:rPr>
        <w:t>万元，较上年决算数增加328.44万元，增长49.4%，主要原因是</w:t>
      </w:r>
      <w:r>
        <w:rPr>
          <w:rFonts w:hint="default" w:ascii="Times New Roman" w:hAnsi="Times New Roman" w:eastAsia="方正仿宋_GBK" w:cs="Times New Roman"/>
          <w:sz w:val="32"/>
          <w:szCs w:val="32"/>
        </w:rPr>
        <w:t>基础设施建设项目增加。</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993.47</w:t>
      </w:r>
      <w:r>
        <w:rPr>
          <w:rFonts w:hint="default" w:ascii="Times New Roman" w:hAnsi="Times New Roman" w:eastAsia="方正仿宋_GBK" w:cs="Times New Roman"/>
          <w:sz w:val="32"/>
          <w:szCs w:val="32"/>
          <w:shd w:val="clear" w:color="auto" w:fill="FFFFFF"/>
        </w:rPr>
        <w:t>万元，较上年决算数增加328.44万元，增长49.4%，主要原因是</w:t>
      </w:r>
      <w:r>
        <w:rPr>
          <w:rFonts w:hint="default" w:ascii="Times New Roman" w:hAnsi="Times New Roman" w:eastAsia="方正仿宋_GBK" w:cs="Times New Roman"/>
          <w:sz w:val="32"/>
          <w:szCs w:val="32"/>
        </w:rPr>
        <w:t>社会保障和就业支出、城乡社区支出、农林水支出项目未纳入年初预算。</w:t>
      </w:r>
    </w:p>
    <w:p>
      <w:pPr>
        <w:keepNext w:val="0"/>
        <w:keepLines w:val="0"/>
        <w:pageBreakBefore w:val="0"/>
        <w:widowControl w:val="0"/>
        <w:numPr>
          <w:ilvl w:val="0"/>
          <w:numId w:val="1"/>
        </w:numPr>
        <w:kinsoku/>
        <w:wordWrap/>
        <w:overflowPunct w:val="0"/>
        <w:topLinePunct w:val="0"/>
        <w:autoSpaceDN/>
        <w:bidi w:val="0"/>
        <w:adjustRightInd/>
        <w:spacing w:line="600" w:lineRule="exact"/>
        <w:ind w:left="0" w:leftChars="0"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国有资本经营预算财政拨款支出决算情况说明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val="en-US" w:eastAsia="zh-CN"/>
        </w:rPr>
        <w:t>三、“三公”经费情况说明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lang w:val="en-US" w:eastAsia="zh-CN"/>
        </w:rPr>
        <w:t>（一）</w:t>
      </w:r>
      <w:r>
        <w:rPr>
          <w:rFonts w:hint="default" w:ascii="Times New Roman" w:hAnsi="Times New Roman" w:eastAsia="方正楷体_GBK" w:cs="Times New Roman"/>
          <w:sz w:val="32"/>
          <w:szCs w:val="32"/>
          <w:shd w:val="clear" w:color="auto" w:fill="FFFFFF"/>
        </w:rPr>
        <w:t>“三公”经费支出总体情况说明</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2023年度“三公”经费支出共计34万元，较年初预算数无增减，主要原因是严格控制经费开支。较上年支出数减少0.43万元，下降1.3%，主要原因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rPr>
        <w:t>加强管理，压缩经费开支。</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N/>
        <w:bidi w:val="0"/>
        <w:adjustRightInd/>
        <w:spacing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bookmarkStart w:id="0" w:name="_GoBack"/>
      <w:bookmarkEnd w:id="0"/>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万元，主要原因是2023年</w:t>
      </w:r>
      <w:r>
        <w:rPr>
          <w:rFonts w:hint="default" w:ascii="Times New Roman" w:hAnsi="Times New Roman" w:eastAsia="方正仿宋_GBK" w:cs="Times New Roman"/>
          <w:sz w:val="32"/>
          <w:szCs w:val="32"/>
        </w:rPr>
        <w:t>度未发生因公出国（境）</w:t>
      </w:r>
      <w:r>
        <w:rPr>
          <w:rFonts w:hint="default" w:ascii="Times New Roman" w:hAnsi="Times New Roman" w:eastAsia="方正仿宋_GBK" w:cs="Times New Roman"/>
          <w:sz w:val="32"/>
          <w:szCs w:val="32"/>
          <w:shd w:val="clear" w:color="auto" w:fill="FFFFFF"/>
        </w:rPr>
        <w:t>费用支出。</w:t>
      </w:r>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sz w:val="32"/>
          <w:szCs w:val="32"/>
        </w:rPr>
        <w:t>2023年度本部门未发生公务车购置费支出</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14.5</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公车维修、运行及驾驶员工资支出。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严格管理。</w:t>
      </w:r>
      <w:r>
        <w:rPr>
          <w:rFonts w:hint="default" w:ascii="Times New Roman" w:hAnsi="Times New Roman" w:eastAsia="方正仿宋_GBK" w:cs="Times New Roman"/>
          <w:sz w:val="32"/>
          <w:szCs w:val="32"/>
          <w:shd w:val="clear" w:color="auto" w:fill="FFFFFF"/>
        </w:rPr>
        <w:t>较上年支出数减少0.1万元，下降0.7%，主要原因是</w:t>
      </w:r>
      <w:r>
        <w:rPr>
          <w:rFonts w:hint="default" w:ascii="Times New Roman" w:hAnsi="Times New Roman" w:eastAsia="方正仿宋_GBK" w:cs="Times New Roman"/>
          <w:sz w:val="32"/>
          <w:szCs w:val="32"/>
        </w:rPr>
        <w:t>严格管理，压缩开支。</w:t>
      </w:r>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19.5</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公务活动。</w:t>
      </w:r>
      <w:r>
        <w:rPr>
          <w:rFonts w:hint="default" w:ascii="Times New Roman" w:hAnsi="Times New Roman" w:eastAsia="方正仿宋_GBK" w:cs="Times New Roman"/>
          <w:sz w:val="32"/>
          <w:szCs w:val="32"/>
          <w:shd w:val="clear" w:color="auto" w:fill="FFFFFF"/>
        </w:rPr>
        <w:t>费用支出较年初预算数无增减变化，主要原因是</w:t>
      </w:r>
      <w:r>
        <w:rPr>
          <w:rFonts w:hint="default" w:ascii="Times New Roman" w:hAnsi="Times New Roman" w:eastAsia="方正仿宋_GBK" w:cs="Times New Roman"/>
          <w:sz w:val="32"/>
          <w:szCs w:val="32"/>
        </w:rPr>
        <w:t>严格管理，减少公务接待。</w:t>
      </w:r>
      <w:r>
        <w:rPr>
          <w:rFonts w:hint="default" w:ascii="Times New Roman" w:hAnsi="Times New Roman" w:eastAsia="方正仿宋_GBK" w:cs="Times New Roman"/>
          <w:sz w:val="32"/>
          <w:szCs w:val="32"/>
          <w:shd w:val="clear" w:color="auto" w:fill="FFFFFF"/>
        </w:rPr>
        <w:t>较上年支出数减少0.33万元，下降1.7%，主要原因是</w:t>
      </w:r>
      <w:r>
        <w:rPr>
          <w:rFonts w:hint="default" w:ascii="Times New Roman" w:hAnsi="Times New Roman" w:eastAsia="方正仿宋_GBK" w:cs="Times New Roman"/>
          <w:sz w:val="32"/>
          <w:szCs w:val="32"/>
        </w:rPr>
        <w:t>减少公务接待，压缩开支。</w:t>
      </w:r>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kinsoku/>
        <w:wordWrap/>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196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2080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93.75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3.63</w:t>
      </w:r>
      <w:r>
        <w:rPr>
          <w:rFonts w:hint="default" w:ascii="Times New Roman" w:hAnsi="Times New Roman" w:eastAsia="方正仿宋_GBK" w:cs="Times New Roman"/>
          <w:sz w:val="32"/>
          <w:szCs w:val="32"/>
          <w:shd w:val="clear" w:color="auto" w:fill="FFFFFF"/>
        </w:rPr>
        <w:t>万元。</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四、其他需要说明的事项</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（一）财政拨款会议费和培训费情况说明</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val="en-US" w:eastAsia="zh-CN"/>
        </w:rPr>
        <w:t>本年度会议费支出14万元，较上年决算数减少1万元，下降6.7%，主要原因是严格</w:t>
      </w:r>
      <w:r>
        <w:rPr>
          <w:rFonts w:hint="default" w:ascii="Times New Roman" w:hAnsi="Times New Roman" w:eastAsia="方正仿宋_GBK" w:cs="Times New Roman"/>
          <w:sz w:val="32"/>
          <w:szCs w:val="32"/>
          <w:shd w:val="clear" w:color="auto" w:fill="FFFFFF"/>
          <w:lang w:val="en-US" w:eastAsia="zh-CN" w:bidi="ar-SA"/>
        </w:rPr>
        <w:t>管理</w:t>
      </w:r>
      <w:r>
        <w:rPr>
          <w:rFonts w:hint="default" w:ascii="Times New Roman" w:hAnsi="Times New Roman" w:eastAsia="方正仿宋_GBK" w:cs="Times New Roman"/>
          <w:sz w:val="32"/>
          <w:szCs w:val="32"/>
        </w:rPr>
        <w:t>，精简会议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0.89</w:t>
      </w:r>
      <w:r>
        <w:rPr>
          <w:rFonts w:hint="default" w:ascii="Times New Roman" w:hAnsi="Times New Roman" w:eastAsia="方正仿宋_GBK" w:cs="Times New Roman"/>
          <w:sz w:val="32"/>
          <w:szCs w:val="32"/>
          <w:shd w:val="clear" w:color="auto" w:fill="FFFFFF"/>
        </w:rPr>
        <w:t>万元，较上年决算数增加0.26万元，增长41.3%，主要原因是加强人员培训，提升业务能力。</w:t>
      </w:r>
    </w:p>
    <w:p>
      <w:pPr>
        <w:keepNext w:val="0"/>
        <w:keepLines w:val="0"/>
        <w:pageBreakBefore w:val="0"/>
        <w:widowControl w:val="0"/>
        <w:numPr>
          <w:ilvl w:val="0"/>
          <w:numId w:val="2"/>
        </w:numPr>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机关运行经费情况说明</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406.11</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办公费、印刷费、电费、水费、邮电费、差旅费、会议费、培训费、公务接待费、公务用车运行维护费、办公设备购置等。</w:t>
      </w:r>
      <w:r>
        <w:rPr>
          <w:rFonts w:hint="default" w:ascii="Times New Roman" w:hAnsi="Times New Roman" w:eastAsia="方正仿宋_GBK" w:cs="Times New Roman"/>
          <w:sz w:val="32"/>
          <w:szCs w:val="32"/>
          <w:shd w:val="clear" w:color="auto" w:fill="FFFFFF"/>
        </w:rPr>
        <w:t>机关运行经费较上年支出数减少104.34万元，下降20.4%，主要原因是</w:t>
      </w:r>
      <w:r>
        <w:rPr>
          <w:rFonts w:hint="default" w:ascii="Times New Roman" w:hAnsi="Times New Roman" w:eastAsia="方正仿宋_GBK" w:cs="Times New Roman"/>
          <w:sz w:val="32"/>
          <w:szCs w:val="32"/>
        </w:rPr>
        <w:t>严格管理，压缩开支。</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600" w:lineRule="exact"/>
        <w:ind w:right="0" w:rightChars="0"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kinsoku/>
        <w:wordWrap/>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kinsoku/>
        <w:wordWrap/>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kinsoku/>
        <w:wordWrap/>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rPr>
        <w:t>主要用于采购道路建设项目。</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kinsoku/>
        <w:wordWrap/>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五、预算绩效管理情况说明</w:t>
      </w:r>
    </w:p>
    <w:p>
      <w:pPr>
        <w:pStyle w:val="6"/>
        <w:keepNext w:val="0"/>
        <w:keepLines w:val="0"/>
        <w:pageBreakBefore w:val="0"/>
        <w:kinsoku/>
        <w:wordWrap/>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（一）单位自评情况</w:t>
      </w:r>
    </w:p>
    <w:p>
      <w:pPr>
        <w:pStyle w:val="16"/>
        <w:keepNext w:val="0"/>
        <w:keepLines w:val="0"/>
        <w:pageBreakBefore w:val="0"/>
        <w:tabs>
          <w:tab w:val="center" w:pos="4153"/>
          <w:tab w:val="left" w:pos="7275"/>
        </w:tabs>
        <w:kinsoku/>
        <w:wordWrap/>
        <w:topLinePunct w:val="0"/>
        <w:autoSpaceDE/>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根据预算绩效管理要求，我单位组织部门本级及所属单位对部门整体和0个重点专项项目、148个一般性项目开展了绩效自评，涉及财政拨款项目支出12341.25万元。</w:t>
      </w:r>
    </w:p>
    <w:p>
      <w:pPr>
        <w:pStyle w:val="16"/>
        <w:keepNext w:val="0"/>
        <w:keepLines w:val="0"/>
        <w:pageBreakBefore w:val="0"/>
        <w:tabs>
          <w:tab w:val="center" w:pos="4153"/>
          <w:tab w:val="left" w:pos="7275"/>
        </w:tabs>
        <w:kinsoku/>
        <w:wordWrap/>
        <w:topLinePunct w:val="0"/>
        <w:autoSpaceDE/>
        <w:autoSpaceDN/>
        <w:bidi w:val="0"/>
        <w:adjustRightInd/>
        <w:spacing w:line="600" w:lineRule="exact"/>
        <w:ind w:firstLine="64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（二）绩效自评结果</w:t>
      </w:r>
    </w:p>
    <w:tbl>
      <w:tblPr>
        <w:tblStyle w:val="7"/>
        <w:tblW w:w="9229" w:type="dxa"/>
        <w:tblInd w:w="93" w:type="dxa"/>
        <w:tblLayout w:type="fixed"/>
        <w:tblCellMar>
          <w:top w:w="0" w:type="dxa"/>
          <w:left w:w="108" w:type="dxa"/>
          <w:bottom w:w="0" w:type="dxa"/>
          <w:right w:w="108" w:type="dxa"/>
        </w:tblCellMar>
      </w:tblPr>
      <w:tblGrid>
        <w:gridCol w:w="600"/>
        <w:gridCol w:w="124"/>
        <w:gridCol w:w="626"/>
        <w:gridCol w:w="483"/>
        <w:gridCol w:w="192"/>
        <w:gridCol w:w="258"/>
        <w:gridCol w:w="795"/>
        <w:gridCol w:w="198"/>
        <w:gridCol w:w="483"/>
        <w:gridCol w:w="144"/>
        <w:gridCol w:w="507"/>
        <w:gridCol w:w="312"/>
        <w:gridCol w:w="813"/>
        <w:gridCol w:w="292"/>
        <w:gridCol w:w="701"/>
        <w:gridCol w:w="121"/>
        <w:gridCol w:w="611"/>
        <w:gridCol w:w="126"/>
        <w:gridCol w:w="227"/>
        <w:gridCol w:w="359"/>
        <w:gridCol w:w="407"/>
        <w:gridCol w:w="850"/>
      </w:tblGrid>
      <w:tr>
        <w:trPr>
          <w:trHeight w:val="552" w:hRule="atLeast"/>
        </w:trPr>
        <w:tc>
          <w:tcPr>
            <w:tcW w:w="9229" w:type="dxa"/>
            <w:gridSpan w:val="22"/>
            <w:tcBorders>
              <w:top w:val="nil"/>
              <w:left w:val="nil"/>
              <w:bottom w:val="nil"/>
              <w:right w:val="nil"/>
            </w:tcBorders>
            <w:noWrap/>
            <w:vAlign w:val="center"/>
          </w:tcPr>
          <w:p>
            <w:pPr>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2023年度部门整体绩效自评表</w:t>
            </w:r>
          </w:p>
        </w:tc>
      </w:tr>
      <w:tr>
        <w:tblPrEx>
          <w:tblCellMar>
            <w:top w:w="0" w:type="dxa"/>
            <w:left w:w="108" w:type="dxa"/>
            <w:bottom w:w="0" w:type="dxa"/>
            <w:right w:w="108" w:type="dxa"/>
          </w:tblCellMar>
        </w:tblPrEx>
        <w:trPr>
          <w:trHeight w:val="600" w:hRule="atLeast"/>
        </w:trPr>
        <w:tc>
          <w:tcPr>
            <w:tcW w:w="72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主管部门</w:t>
            </w:r>
          </w:p>
        </w:tc>
        <w:tc>
          <w:tcPr>
            <w:tcW w:w="1559"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重庆市万州区分水镇人民政府</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部门</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联系人</w:t>
            </w:r>
          </w:p>
        </w:tc>
        <w:tc>
          <w:tcPr>
            <w:tcW w:w="113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曹华胜</w:t>
            </w:r>
          </w:p>
        </w:tc>
        <w:tc>
          <w:tcPr>
            <w:tcW w:w="1417"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联系电话</w:t>
            </w:r>
          </w:p>
        </w:tc>
        <w:tc>
          <w:tcPr>
            <w:tcW w:w="1559"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2"/>
                <w:szCs w:val="22"/>
              </w:rPr>
              <w:t>13668469657</w:t>
            </w: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自评总分</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（分）</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99.31</w:t>
            </w:r>
          </w:p>
        </w:tc>
      </w:tr>
      <w:tr>
        <w:tblPrEx>
          <w:tblCellMar>
            <w:top w:w="0" w:type="dxa"/>
            <w:left w:w="108" w:type="dxa"/>
            <w:bottom w:w="0" w:type="dxa"/>
            <w:right w:w="108" w:type="dxa"/>
          </w:tblCellMar>
        </w:tblPrEx>
        <w:trPr>
          <w:trHeight w:val="450" w:hRule="atLeast"/>
        </w:trPr>
        <w:tc>
          <w:tcPr>
            <w:tcW w:w="72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当年绩效</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目标</w:t>
            </w:r>
          </w:p>
        </w:tc>
        <w:tc>
          <w:tcPr>
            <w:tcW w:w="255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年初绩效目标</w:t>
            </w:r>
          </w:p>
        </w:tc>
        <w:tc>
          <w:tcPr>
            <w:tcW w:w="255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全年（调整）绩效目标</w:t>
            </w:r>
          </w:p>
        </w:tc>
        <w:tc>
          <w:tcPr>
            <w:tcW w:w="3402" w:type="dxa"/>
            <w:gridSpan w:val="8"/>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全年目标实际完成情况</w:t>
            </w:r>
          </w:p>
        </w:tc>
      </w:tr>
      <w:tr>
        <w:tblPrEx>
          <w:tblCellMar>
            <w:top w:w="0" w:type="dxa"/>
            <w:left w:w="108" w:type="dxa"/>
            <w:bottom w:w="0" w:type="dxa"/>
            <w:right w:w="108" w:type="dxa"/>
          </w:tblCellMar>
        </w:tblPrEx>
        <w:trPr>
          <w:trHeight w:val="1290"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2552"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2"/>
                <w:szCs w:val="22"/>
              </w:rPr>
              <w:t>保障镇政府正常运行，做好经济发展规划和指导服务，加强社会管理和公共服务，促进经济社会健康有序稳定的发展；顺利开展社区事务、服务工作，推进社区建设、社区管理、民兵预备役、征兵和国防动员、民政（村、居委会建设、婚姻、殡葬、救灾、扶贫助残、优抚等）、劳动保障、老龄等各项工，为群众提供服务，搭建政策咨询、帮扶援助、沟通联系、学习交流等活动场地；推进</w:t>
            </w:r>
            <w:r>
              <w:rPr>
                <w:rFonts w:hint="eastAsia" w:ascii="Times New Roman" w:hAnsi="Times New Roman" w:eastAsia="方正仿宋_GBK" w:cs="Times New Roman"/>
                <w:sz w:val="22"/>
                <w:szCs w:val="22"/>
                <w:lang w:eastAsia="zh-CN"/>
              </w:rPr>
              <w:t>法治</w:t>
            </w:r>
            <w:r>
              <w:rPr>
                <w:rFonts w:hint="default" w:ascii="Times New Roman" w:hAnsi="Times New Roman" w:eastAsia="方正仿宋_GBK" w:cs="Times New Roman"/>
                <w:sz w:val="22"/>
                <w:szCs w:val="22"/>
              </w:rPr>
              <w:t>建设、人民调解、信访等工作；推广农业技术，提供综合行政执法保障等，促进农村经济发展。</w:t>
            </w:r>
          </w:p>
        </w:tc>
        <w:tc>
          <w:tcPr>
            <w:tcW w:w="255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3402"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2"/>
                <w:szCs w:val="22"/>
              </w:rPr>
              <w:t>已完成</w:t>
            </w:r>
          </w:p>
        </w:tc>
      </w:tr>
      <w:tr>
        <w:tblPrEx>
          <w:tblCellMar>
            <w:top w:w="0" w:type="dxa"/>
            <w:left w:w="108" w:type="dxa"/>
            <w:bottom w:w="0" w:type="dxa"/>
            <w:right w:w="108" w:type="dxa"/>
          </w:tblCellMar>
        </w:tblPrEx>
        <w:trPr>
          <w:trHeight w:val="672" w:hRule="atLeast"/>
        </w:trPr>
        <w:tc>
          <w:tcPr>
            <w:tcW w:w="724" w:type="dxa"/>
            <w:gridSpan w:val="2"/>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绩效指标</w:t>
            </w: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指标名称</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计量</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单位</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性质</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指标值</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指标权重</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（分）</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完成值</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指标得分</w:t>
            </w:r>
            <w:r>
              <w:rPr>
                <w:rFonts w:hint="default" w:ascii="Times New Roman" w:hAnsi="Times New Roman" w:eastAsia="方正仿宋_GBK" w:cs="Times New Roman"/>
                <w:color w:val="000000"/>
                <w:sz w:val="22"/>
                <w:szCs w:val="22"/>
              </w:rPr>
              <w:br w:type="textWrapping"/>
            </w:r>
            <w:r>
              <w:rPr>
                <w:rFonts w:hint="default" w:ascii="Times New Roman" w:hAnsi="Times New Roman" w:eastAsia="方正仿宋_GBK" w:cs="Times New Roman"/>
                <w:color w:val="000000"/>
                <w:sz w:val="22"/>
                <w:szCs w:val="22"/>
              </w:rPr>
              <w:t>（分）</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说明</w:t>
            </w:r>
          </w:p>
        </w:tc>
      </w:tr>
      <w:tr>
        <w:tblPrEx>
          <w:tblCellMar>
            <w:top w:w="0" w:type="dxa"/>
            <w:left w:w="108" w:type="dxa"/>
            <w:bottom w:w="0" w:type="dxa"/>
            <w:right w:w="108" w:type="dxa"/>
          </w:tblCellMar>
        </w:tblPrEx>
        <w:trPr>
          <w:trHeight w:val="952"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Times New Roman" w:hAnsi="Times New Roman" w:eastAsia="方正仿宋_GBK" w:cs="Times New Roman"/>
                <w:color w:val="000000"/>
                <w:sz w:val="22"/>
                <w:szCs w:val="22"/>
              </w:rPr>
            </w:pP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足额发放率</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30</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30</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970"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Times New Roman" w:hAnsi="Times New Roman" w:eastAsia="方正仿宋_GBK" w:cs="Times New Roman"/>
                <w:color w:val="000000"/>
                <w:sz w:val="22"/>
                <w:szCs w:val="22"/>
              </w:rPr>
            </w:pP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及时发放率</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30</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30</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648"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Times New Roman" w:hAnsi="Times New Roman" w:eastAsia="方正仿宋_GBK" w:cs="Times New Roman"/>
                <w:color w:val="000000"/>
                <w:sz w:val="22"/>
                <w:szCs w:val="22"/>
              </w:rPr>
            </w:pP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相关人员收入增加</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648"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Times New Roman" w:hAnsi="Times New Roman" w:eastAsia="方正仿宋_GBK" w:cs="Times New Roman"/>
                <w:color w:val="000000"/>
                <w:sz w:val="18"/>
                <w:szCs w:val="18"/>
              </w:rPr>
            </w:pP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受益对象满意度</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2"/>
                <w:szCs w:val="22"/>
              </w:rPr>
              <w:t>≥</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648" w:hRule="atLeast"/>
        </w:trPr>
        <w:tc>
          <w:tcPr>
            <w:tcW w:w="724"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default" w:ascii="Times New Roman" w:hAnsi="Times New Roman" w:eastAsia="方正仿宋_GBK" w:cs="Times New Roman"/>
                <w:color w:val="000000"/>
                <w:sz w:val="18"/>
                <w:szCs w:val="18"/>
              </w:rPr>
            </w:pPr>
          </w:p>
        </w:tc>
        <w:tc>
          <w:tcPr>
            <w:tcW w:w="11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项目支出在成本预算内</w:t>
            </w:r>
          </w:p>
        </w:tc>
        <w:tc>
          <w:tcPr>
            <w:tcW w:w="14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9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11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82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9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16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780" w:hRule="atLeast"/>
        </w:trPr>
        <w:tc>
          <w:tcPr>
            <w:tcW w:w="9229" w:type="dxa"/>
            <w:gridSpan w:val="22"/>
            <w:tcBorders>
              <w:top w:val="nil"/>
              <w:left w:val="nil"/>
              <w:bottom w:val="single" w:color="000000" w:sz="4" w:space="0"/>
              <w:right w:val="nil"/>
            </w:tcBorders>
            <w:noWrap/>
            <w:vAlign w:val="center"/>
          </w:tcPr>
          <w:p>
            <w:pPr>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2023年度一般性项目支出绩效自评表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序号</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项目名称</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指标名称</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指标性质</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指标值</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计量单位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指标权重</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全年完成值</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指标得分</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说明</w:t>
            </w:r>
          </w:p>
        </w:tc>
        <w:tc>
          <w:tcPr>
            <w:tcW w:w="125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rPr>
            </w:pPr>
            <w:r>
              <w:rPr>
                <w:rFonts w:hint="default" w:ascii="Times New Roman" w:hAnsi="Times New Roman" w:eastAsia="方正仿宋_GBK" w:cs="Times New Roman"/>
                <w:color w:val="000000"/>
                <w:sz w:val="22"/>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分水镇2022年三角凼村公路硬化工程</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年度预算执行率</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r>
              <w:rPr>
                <w:rFonts w:hint="default" w:ascii="Times New Roman" w:hAnsi="Times New Roman" w:eastAsia="方正仿宋_GBK" w:cs="Times New Roman"/>
                <w:color w:val="000000"/>
                <w:sz w:val="22"/>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硬化公路里程</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1.01</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公里</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40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1.01</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40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工程验收合格率</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出行条件得到改善</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定性</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好</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全部完成</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解决出行问题人口</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18</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18</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受益对象满意度</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分水镇2022年绕场公路硬化工程</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年度预算执行率</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rPr>
            </w:pPr>
            <w:r>
              <w:rPr>
                <w:rFonts w:hint="default" w:ascii="Times New Roman" w:hAnsi="Times New Roman" w:eastAsia="方正仿宋_GBK" w:cs="Times New Roman"/>
                <w:color w:val="000000"/>
                <w:sz w:val="22"/>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硬化里程数</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0.37</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公里</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40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0.37</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40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工程质量合格</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20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20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解决出行问题人口</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108</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20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108</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20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eastAsia="方正仿宋_GBK" w:cs="Times New Roman"/>
                <w:color w:val="000000"/>
                <w:sz w:val="22"/>
                <w:szCs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2"/>
                <w:szCs w:val="22"/>
              </w:rPr>
            </w:pP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受益群众满意度</w:t>
            </w:r>
          </w:p>
        </w:tc>
        <w:tc>
          <w:tcPr>
            <w:tcW w:w="1053" w:type="dxa"/>
            <w:gridSpan w:val="2"/>
            <w:tcBorders>
              <w:top w:val="single" w:color="000000" w:sz="4" w:space="0"/>
              <w:left w:val="single" w:color="000000" w:sz="4" w:space="0"/>
              <w:bottom w:val="single" w:color="000000" w:sz="4" w:space="0"/>
              <w:right w:val="single" w:color="000000" w:sz="4" w:space="0"/>
            </w:tcBorders>
            <w:noWrap/>
            <w:vAlign w:val="center"/>
          </w:tcPr>
          <w:tbl>
            <w:tblPr>
              <w:tblStyle w:val="7"/>
              <w:tblW w:w="16166" w:type="dxa"/>
              <w:tblCellSpacing w:w="0" w:type="dxa"/>
              <w:tblInd w:w="0" w:type="dxa"/>
              <w:tblLayout w:type="fixed"/>
              <w:tblCellMar>
                <w:top w:w="0" w:type="dxa"/>
                <w:left w:w="0" w:type="dxa"/>
                <w:bottom w:w="0" w:type="dxa"/>
                <w:right w:w="0" w:type="dxa"/>
              </w:tblCellMar>
            </w:tblPr>
            <w:tblGrid>
              <w:gridCol w:w="394"/>
              <w:gridCol w:w="15772"/>
            </w:tblGrid>
            <w:tr>
              <w:tblPrEx>
                <w:tblCellMar>
                  <w:top w:w="0" w:type="dxa"/>
                  <w:left w:w="0" w:type="dxa"/>
                  <w:bottom w:w="0" w:type="dxa"/>
                  <w:right w:w="0" w:type="dxa"/>
                </w:tblCellMar>
              </w:tblPrEx>
              <w:trPr>
                <w:tblCellSpacing w:w="0" w:type="dxa"/>
              </w:trPr>
              <w:tc>
                <w:tcPr>
                  <w:tcW w:w="394" w:type="dxa"/>
                  <w:vAlign w:val="center"/>
                </w:tcPr>
                <w:tbl>
                  <w:tblPr>
                    <w:tblStyle w:val="7"/>
                    <w:tblW w:w="19365" w:type="dxa"/>
                    <w:tblCellSpacing w:w="0" w:type="dxa"/>
                    <w:tblInd w:w="0" w:type="dxa"/>
                    <w:tblLayout w:type="fixed"/>
                    <w:tblCellMar>
                      <w:top w:w="0" w:type="dxa"/>
                      <w:left w:w="0" w:type="dxa"/>
                      <w:bottom w:w="0" w:type="dxa"/>
                      <w:right w:w="0" w:type="dxa"/>
                    </w:tblCellMar>
                  </w:tblPr>
                  <w:tblGrid>
                    <w:gridCol w:w="472"/>
                    <w:gridCol w:w="18893"/>
                  </w:tblGrid>
                  <w:tr>
                    <w:tblPrEx>
                      <w:tblCellMar>
                        <w:top w:w="0" w:type="dxa"/>
                        <w:left w:w="0" w:type="dxa"/>
                        <w:bottom w:w="0" w:type="dxa"/>
                        <w:right w:w="0" w:type="dxa"/>
                      </w:tblCellMar>
                    </w:tblPrEx>
                    <w:trPr>
                      <w:tblCellSpacing w:w="0" w:type="dxa"/>
                    </w:trPr>
                    <w:tc>
                      <w:tcPr>
                        <w:tcW w:w="472" w:type="dxa"/>
                        <w:vAlign w:val="center"/>
                      </w:tcPr>
                      <w:p>
                        <w:pPr>
                          <w:rPr>
                            <w:rFonts w:hint="default" w:ascii="Times New Roman" w:hAnsi="Times New Roman" w:eastAsia="方正仿宋_GBK" w:cs="Times New Roman"/>
                            <w:sz w:val="22"/>
                            <w:szCs w:val="22"/>
                          </w:rPr>
                        </w:pPr>
                      </w:p>
                      <w:tbl>
                        <w:tblPr>
                          <w:tblStyle w:val="7"/>
                          <w:tblW w:w="16166" w:type="dxa"/>
                          <w:tblCellSpacing w:w="0" w:type="dxa"/>
                          <w:tblInd w:w="0" w:type="dxa"/>
                          <w:tblLayout w:type="fixed"/>
                          <w:tblCellMar>
                            <w:top w:w="0" w:type="dxa"/>
                            <w:left w:w="0" w:type="dxa"/>
                            <w:bottom w:w="0" w:type="dxa"/>
                            <w:right w:w="0" w:type="dxa"/>
                          </w:tblCellMar>
                        </w:tblPr>
                        <w:tblGrid>
                          <w:gridCol w:w="394"/>
                          <w:gridCol w:w="15772"/>
                        </w:tblGrid>
                        <w:tr>
                          <w:tblPrEx>
                            <w:tblCellMar>
                              <w:top w:w="0" w:type="dxa"/>
                              <w:left w:w="0" w:type="dxa"/>
                              <w:bottom w:w="0" w:type="dxa"/>
                              <w:right w:w="0" w:type="dxa"/>
                            </w:tblCellMar>
                          </w:tblPrEx>
                          <w:trPr>
                            <w:tblCellSpacing w:w="0" w:type="dxa"/>
                          </w:trPr>
                          <w:tc>
                            <w:tcPr>
                              <w:tcW w:w="394" w:type="dxa"/>
                              <w:vAlign w:val="center"/>
                            </w:tcPr>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p>
                          </w:tc>
                          <w:tc>
                            <w:tcPr>
                              <w:tcW w:w="15772" w:type="dxa"/>
                              <w:vAlign w:val="center"/>
                            </w:tcPr>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p>
                          </w:tc>
                        </w:tr>
                        <w:tr>
                          <w:tblPrEx>
                            <w:tblCellMar>
                              <w:top w:w="0" w:type="dxa"/>
                              <w:left w:w="0" w:type="dxa"/>
                              <w:bottom w:w="0" w:type="dxa"/>
                              <w:right w:w="0" w:type="dxa"/>
                            </w:tblCellMar>
                          </w:tblPrEx>
                          <w:trPr>
                            <w:tblCellSpacing w:w="0" w:type="dxa"/>
                          </w:trPr>
                          <w:tc>
                            <w:tcPr>
                              <w:tcW w:w="394" w:type="dxa"/>
                              <w:vAlign w:val="center"/>
                            </w:tcPr>
                            <w:p>
                              <w:pPr>
                                <w:rPr>
                                  <w:rFonts w:hint="default" w:ascii="Times New Roman" w:hAnsi="Times New Roman" w:eastAsia="方正仿宋_GBK" w:cs="Times New Roman"/>
                                  <w:sz w:val="22"/>
                                  <w:szCs w:val="22"/>
                                </w:rPr>
                              </w:pPr>
                            </w:p>
                          </w:tc>
                          <w:tc>
                            <w:tcPr>
                              <w:tcW w:w="15772" w:type="dxa"/>
                              <w:vAlign w:val="center"/>
                            </w:tcPr>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p>
                          </w:tc>
                        </w:tr>
                      </w:tbl>
                      <w:p>
                        <w:pPr>
                          <w:rPr>
                            <w:rFonts w:hint="default" w:ascii="Times New Roman" w:hAnsi="Times New Roman" w:eastAsia="方正仿宋_GBK" w:cs="Times New Roman"/>
                            <w:sz w:val="22"/>
                            <w:szCs w:val="22"/>
                          </w:rPr>
                        </w:pPr>
                      </w:p>
                    </w:tc>
                    <w:tc>
                      <w:tcPr>
                        <w:tcW w:w="18893" w:type="dxa"/>
                        <w:vAlign w:val="center"/>
                      </w:tcPr>
                      <w:p>
                        <w:pPr>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p>
                    </w:tc>
                  </w:tr>
                </w:tbl>
                <w:p>
                  <w:pPr>
                    <w:rPr>
                      <w:rFonts w:hint="default" w:ascii="Times New Roman" w:hAnsi="Times New Roman" w:eastAsia="方正仿宋_GBK" w:cs="Times New Roman"/>
                      <w:sz w:val="22"/>
                      <w:szCs w:val="22"/>
                    </w:rPr>
                  </w:pPr>
                </w:p>
              </w:tc>
              <w:tc>
                <w:tcPr>
                  <w:tcW w:w="15772" w:type="dxa"/>
                  <w:vAlign w:val="center"/>
                </w:tcPr>
                <w:p>
                  <w:pPr>
                    <w:rPr>
                      <w:rFonts w:hint="default" w:ascii="Times New Roman" w:hAnsi="Times New Roman" w:eastAsia="方正仿宋_GBK" w:cs="Times New Roman"/>
                      <w:sz w:val="22"/>
                      <w:szCs w:val="22"/>
                    </w:rPr>
                  </w:pPr>
                </w:p>
              </w:tc>
            </w:tr>
          </w:tbl>
          <w:p>
            <w:pPr>
              <w:rPr>
                <w:rFonts w:hint="default" w:ascii="Times New Roman" w:hAnsi="Times New Roman" w:eastAsia="方正仿宋_GBK" w:cs="Times New Roman"/>
                <w:color w:val="000000"/>
                <w:sz w:val="22"/>
                <w:szCs w:val="22"/>
              </w:rPr>
            </w:pPr>
          </w:p>
        </w:tc>
        <w:tc>
          <w:tcPr>
            <w:tcW w:w="825" w:type="dxa"/>
            <w:gridSpan w:val="3"/>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819"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993" w:type="dxa"/>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w:t>
            </w:r>
          </w:p>
        </w:tc>
        <w:tc>
          <w:tcPr>
            <w:tcW w:w="732" w:type="dxa"/>
            <w:gridSpan w:val="2"/>
            <w:tcBorders>
              <w:top w:val="single" w:color="000000" w:sz="4" w:space="0"/>
              <w:left w:val="single" w:color="000000" w:sz="4" w:space="0"/>
              <w:bottom w:val="single" w:color="000000" w:sz="4" w:space="0"/>
              <w:right w:val="single" w:color="000000" w:sz="4" w:space="0"/>
            </w:tcBorders>
            <w:noWrap/>
            <w:vAlign w:val="center"/>
          </w:tcPr>
          <w:p>
            <w:pPr>
              <w:ind w:firstLine="110" w:firstLineChars="5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712"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color w:val="000000"/>
                <w:sz w:val="22"/>
                <w:szCs w:val="22"/>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bl>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部门绩效评价情况</w:t>
      </w:r>
      <w:r>
        <w:rPr>
          <w:rFonts w:hint="default" w:ascii="Times New Roman" w:hAnsi="Times New Roman" w:eastAsia="方正楷体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我单位对重庆市万州区分水镇人民政府整体开展了绩效评价，涉及财政拨款项目资金16274.82万元，评价得分99.31分。</w:t>
      </w:r>
    </w:p>
    <w:p>
      <w:pPr>
        <w:keepNext w:val="0"/>
        <w:keepLines w:val="0"/>
        <w:pageBreakBefore w:val="0"/>
        <w:widowControl w:val="0"/>
        <w:kinsoku/>
        <w:wordWrap/>
        <w:overflowPunct w:val="0"/>
        <w:topLinePunct w:val="0"/>
        <w:autoSpaceDE/>
        <w:autoSpaceDN/>
        <w:bidi w:val="0"/>
        <w:adjustRightInd/>
        <w:snapToGrid/>
        <w:spacing w:afterAutospacing="0" w:line="600" w:lineRule="exact"/>
        <w:ind w:left="0" w:leftChars="0" w:right="0" w:rightChars="0"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四</w:t>
      </w:r>
      <w:r>
        <w:rPr>
          <w:rStyle w:val="10"/>
          <w:rFonts w:hint="default" w:ascii="Times New Roman" w:hAnsi="Times New Roman" w:eastAsia="方正楷体_GBK" w:cs="Times New Roman"/>
          <w:b w:val="0"/>
          <w:bCs/>
          <w:sz w:val="32"/>
          <w:szCs w:val="32"/>
          <w:shd w:val="clear" w:color="auto" w:fill="FFFFFF"/>
        </w:rPr>
        <w:t>）财政绩效评价情况</w:t>
      </w:r>
    </w:p>
    <w:p>
      <w:pPr>
        <w:pStyle w:val="11"/>
        <w:keepNext w:val="0"/>
        <w:keepLines w:val="0"/>
        <w:pageBreakBefore w:val="0"/>
        <w:kinsoku/>
        <w:wordWrap/>
        <w:topLinePunct w:val="0"/>
        <w:autoSpaceDE w:val="0"/>
        <w:autoSpaceDN/>
        <w:bidi w:val="0"/>
        <w:spacing w:line="600" w:lineRule="exact"/>
        <w:ind w:firstLine="643"/>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区财政局未委托第三方对我单位开展绩效评价。</w:t>
      </w:r>
    </w:p>
    <w:p>
      <w:pPr>
        <w:pStyle w:val="11"/>
        <w:keepNext w:val="0"/>
        <w:keepLines w:val="0"/>
        <w:pageBreakBefore w:val="0"/>
        <w:numPr>
          <w:ilvl w:val="0"/>
          <w:numId w:val="3"/>
        </w:numPr>
        <w:kinsoku/>
        <w:wordWrap/>
        <w:topLinePunct w:val="0"/>
        <w:autoSpaceDE w:val="0"/>
        <w:autoSpaceDN/>
        <w:bidi w:val="0"/>
        <w:spacing w:line="600" w:lineRule="exact"/>
        <w:ind w:firstLine="643"/>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专业名词解释</w:t>
      </w:r>
    </w:p>
    <w:p>
      <w:pPr>
        <w:pStyle w:val="11"/>
        <w:keepNext w:val="0"/>
        <w:keepLines w:val="0"/>
        <w:pageBreakBefore w:val="0"/>
        <w:numPr>
          <w:ilvl w:val="0"/>
          <w:numId w:val="0"/>
        </w:numPr>
        <w:kinsoku/>
        <w:wordWrap/>
        <w:topLinePunct w:val="0"/>
        <w:autoSpaceDE w:val="0"/>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topLinePunct w:val="0"/>
        <w:autoSpaceDN/>
        <w:bidi w:val="0"/>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lang w:val="en-US" w:eastAsia="zh-CN" w:bidi="ar-SA"/>
        </w:rPr>
        <w:t>七、决算公开联系方式及信息反馈渠道</w:t>
      </w:r>
    </w:p>
    <w:p>
      <w:pPr>
        <w:keepNext w:val="0"/>
        <w:keepLines w:val="0"/>
        <w:pageBreakBefore w:val="0"/>
        <w:widowControl w:val="0"/>
        <w:kinsoku/>
        <w:wordWrap/>
        <w:overflowPunct w:val="0"/>
        <w:topLinePunct w:val="0"/>
        <w:autoSpaceDN/>
        <w:bidi w:val="0"/>
        <w:adjustRightInd w:val="0"/>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rPr>
        <w:t xml:space="preserve"> 023-58432153。</w:t>
      </w:r>
    </w:p>
    <w:sectPr>
      <w:headerReference r:id="rId3" w:type="default"/>
      <w:footerReference r:id="rId4" w:type="default"/>
      <w:pgSz w:w="11850" w:h="16783"/>
      <w:pgMar w:top="2041" w:right="1531" w:bottom="2041" w:left="153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18 -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01E67"/>
    <w:multiLevelType w:val="singleLevel"/>
    <w:tmpl w:val="07001E67"/>
    <w:lvl w:ilvl="0" w:tentative="0">
      <w:start w:val="5"/>
      <w:numFmt w:val="chineseCounting"/>
      <w:suff w:val="nothing"/>
      <w:lvlText w:val="（%1）"/>
      <w:lvlJc w:val="left"/>
      <w:rPr>
        <w:rFonts w:hint="eastAsia"/>
      </w:rPr>
    </w:lvl>
  </w:abstractNum>
  <w:abstractNum w:abstractNumId="1">
    <w:nsid w:val="1F7CC31C"/>
    <w:multiLevelType w:val="singleLevel"/>
    <w:tmpl w:val="1F7CC31C"/>
    <w:lvl w:ilvl="0" w:tentative="0">
      <w:start w:val="6"/>
      <w:numFmt w:val="chineseCounting"/>
      <w:suff w:val="nothing"/>
      <w:lvlText w:val="%1、"/>
      <w:lvlJc w:val="left"/>
      <w:rPr>
        <w:rFonts w:hint="eastAsia"/>
      </w:rPr>
    </w:lvl>
  </w:abstractNum>
  <w:abstractNum w:abstractNumId="2">
    <w:nsid w:val="5384E02E"/>
    <w:multiLevelType w:val="singleLevel"/>
    <w:tmpl w:val="5384E02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TY3ZTQ1NWY4ZWRkY2NmMjlhMzAwMjk0ZmY1ZmI1NGQifQ=="/>
  </w:docVars>
  <w:rsids>
    <w:rsidRoot w:val="00B03CCD"/>
    <w:rsid w:val="00003C34"/>
    <w:rsid w:val="00032010"/>
    <w:rsid w:val="00034DE2"/>
    <w:rsid w:val="00062DF2"/>
    <w:rsid w:val="00076AE4"/>
    <w:rsid w:val="000A2CC0"/>
    <w:rsid w:val="000A386D"/>
    <w:rsid w:val="000A3E9B"/>
    <w:rsid w:val="000A5911"/>
    <w:rsid w:val="000C01CC"/>
    <w:rsid w:val="000C02DE"/>
    <w:rsid w:val="000C31F9"/>
    <w:rsid w:val="000C6C99"/>
    <w:rsid w:val="000D6DA2"/>
    <w:rsid w:val="000D7702"/>
    <w:rsid w:val="000E18ED"/>
    <w:rsid w:val="000E699D"/>
    <w:rsid w:val="000F362F"/>
    <w:rsid w:val="00103795"/>
    <w:rsid w:val="0010395C"/>
    <w:rsid w:val="00104A41"/>
    <w:rsid w:val="00135298"/>
    <w:rsid w:val="00172B80"/>
    <w:rsid w:val="00173764"/>
    <w:rsid w:val="00176306"/>
    <w:rsid w:val="00182F25"/>
    <w:rsid w:val="00187FCD"/>
    <w:rsid w:val="00196663"/>
    <w:rsid w:val="001A6F53"/>
    <w:rsid w:val="001A7CA1"/>
    <w:rsid w:val="001B0D14"/>
    <w:rsid w:val="001B153B"/>
    <w:rsid w:val="001C291E"/>
    <w:rsid w:val="001C55E5"/>
    <w:rsid w:val="001F16E2"/>
    <w:rsid w:val="0021288D"/>
    <w:rsid w:val="00224407"/>
    <w:rsid w:val="00253882"/>
    <w:rsid w:val="0026136C"/>
    <w:rsid w:val="00272CE3"/>
    <w:rsid w:val="0027724C"/>
    <w:rsid w:val="002801B9"/>
    <w:rsid w:val="002849B7"/>
    <w:rsid w:val="002A01AE"/>
    <w:rsid w:val="002B75F5"/>
    <w:rsid w:val="002D0E5A"/>
    <w:rsid w:val="002E1BD8"/>
    <w:rsid w:val="002E5443"/>
    <w:rsid w:val="003372A7"/>
    <w:rsid w:val="00345D03"/>
    <w:rsid w:val="00351885"/>
    <w:rsid w:val="0035550B"/>
    <w:rsid w:val="00363547"/>
    <w:rsid w:val="003707B1"/>
    <w:rsid w:val="00396CBC"/>
    <w:rsid w:val="003A339A"/>
    <w:rsid w:val="003F27FB"/>
    <w:rsid w:val="003F4C3D"/>
    <w:rsid w:val="00425A4A"/>
    <w:rsid w:val="0043242B"/>
    <w:rsid w:val="004923E1"/>
    <w:rsid w:val="004A77E8"/>
    <w:rsid w:val="004B3E5E"/>
    <w:rsid w:val="004C12FF"/>
    <w:rsid w:val="004E379C"/>
    <w:rsid w:val="004E4638"/>
    <w:rsid w:val="0050466B"/>
    <w:rsid w:val="00505E87"/>
    <w:rsid w:val="005132F8"/>
    <w:rsid w:val="00515E37"/>
    <w:rsid w:val="00535653"/>
    <w:rsid w:val="005373D1"/>
    <w:rsid w:val="00537CD7"/>
    <w:rsid w:val="00550ABE"/>
    <w:rsid w:val="005514FE"/>
    <w:rsid w:val="00562380"/>
    <w:rsid w:val="0057708E"/>
    <w:rsid w:val="0058026D"/>
    <w:rsid w:val="005A3289"/>
    <w:rsid w:val="005B023C"/>
    <w:rsid w:val="005C7639"/>
    <w:rsid w:val="005C76CF"/>
    <w:rsid w:val="005F3579"/>
    <w:rsid w:val="00601B60"/>
    <w:rsid w:val="006137D7"/>
    <w:rsid w:val="006240A1"/>
    <w:rsid w:val="006253DD"/>
    <w:rsid w:val="006325AD"/>
    <w:rsid w:val="00634FA8"/>
    <w:rsid w:val="0063613A"/>
    <w:rsid w:val="00653E1B"/>
    <w:rsid w:val="00663046"/>
    <w:rsid w:val="00672E68"/>
    <w:rsid w:val="006737E8"/>
    <w:rsid w:val="006A0CB1"/>
    <w:rsid w:val="006B114E"/>
    <w:rsid w:val="006D2237"/>
    <w:rsid w:val="006F27A8"/>
    <w:rsid w:val="007234F8"/>
    <w:rsid w:val="007561AB"/>
    <w:rsid w:val="007750D6"/>
    <w:rsid w:val="00792285"/>
    <w:rsid w:val="007929B7"/>
    <w:rsid w:val="007A0481"/>
    <w:rsid w:val="007A0D2E"/>
    <w:rsid w:val="007A3314"/>
    <w:rsid w:val="007A71F4"/>
    <w:rsid w:val="007B02FC"/>
    <w:rsid w:val="007B419D"/>
    <w:rsid w:val="007D102D"/>
    <w:rsid w:val="00810F13"/>
    <w:rsid w:val="00816718"/>
    <w:rsid w:val="00825958"/>
    <w:rsid w:val="00834990"/>
    <w:rsid w:val="008448F4"/>
    <w:rsid w:val="008850DC"/>
    <w:rsid w:val="0088747A"/>
    <w:rsid w:val="008A7329"/>
    <w:rsid w:val="008B4418"/>
    <w:rsid w:val="008C342D"/>
    <w:rsid w:val="008C714A"/>
    <w:rsid w:val="008D71B3"/>
    <w:rsid w:val="0093233D"/>
    <w:rsid w:val="009341B9"/>
    <w:rsid w:val="00944711"/>
    <w:rsid w:val="00952715"/>
    <w:rsid w:val="00962840"/>
    <w:rsid w:val="00984852"/>
    <w:rsid w:val="0098785E"/>
    <w:rsid w:val="00997CF7"/>
    <w:rsid w:val="009B67B8"/>
    <w:rsid w:val="009C1525"/>
    <w:rsid w:val="009D2B2D"/>
    <w:rsid w:val="009E703A"/>
    <w:rsid w:val="009F0EB7"/>
    <w:rsid w:val="00A01F3C"/>
    <w:rsid w:val="00A03B1E"/>
    <w:rsid w:val="00A04DF7"/>
    <w:rsid w:val="00A112C2"/>
    <w:rsid w:val="00A31956"/>
    <w:rsid w:val="00A4047F"/>
    <w:rsid w:val="00A4314E"/>
    <w:rsid w:val="00A53EF6"/>
    <w:rsid w:val="00A57890"/>
    <w:rsid w:val="00A629C9"/>
    <w:rsid w:val="00A66C3E"/>
    <w:rsid w:val="00A67739"/>
    <w:rsid w:val="00A7109B"/>
    <w:rsid w:val="00A77FBE"/>
    <w:rsid w:val="00A820B7"/>
    <w:rsid w:val="00AA0F63"/>
    <w:rsid w:val="00AC5566"/>
    <w:rsid w:val="00AD376C"/>
    <w:rsid w:val="00AE7683"/>
    <w:rsid w:val="00B03CCD"/>
    <w:rsid w:val="00B25D40"/>
    <w:rsid w:val="00B34BBB"/>
    <w:rsid w:val="00B40138"/>
    <w:rsid w:val="00B44757"/>
    <w:rsid w:val="00B5124E"/>
    <w:rsid w:val="00B56124"/>
    <w:rsid w:val="00B8465B"/>
    <w:rsid w:val="00B91B91"/>
    <w:rsid w:val="00B960F3"/>
    <w:rsid w:val="00BA089C"/>
    <w:rsid w:val="00BB0319"/>
    <w:rsid w:val="00BB0AEE"/>
    <w:rsid w:val="00BC0743"/>
    <w:rsid w:val="00BD16C8"/>
    <w:rsid w:val="00BD54DC"/>
    <w:rsid w:val="00BF5A85"/>
    <w:rsid w:val="00C00982"/>
    <w:rsid w:val="00C211AF"/>
    <w:rsid w:val="00C23A6A"/>
    <w:rsid w:val="00C307F6"/>
    <w:rsid w:val="00C549F0"/>
    <w:rsid w:val="00C73070"/>
    <w:rsid w:val="00C746CA"/>
    <w:rsid w:val="00C748BB"/>
    <w:rsid w:val="00C81F2E"/>
    <w:rsid w:val="00C91371"/>
    <w:rsid w:val="00C96B11"/>
    <w:rsid w:val="00CA0EC1"/>
    <w:rsid w:val="00CC6B99"/>
    <w:rsid w:val="00CD1490"/>
    <w:rsid w:val="00CF5DB7"/>
    <w:rsid w:val="00D0014F"/>
    <w:rsid w:val="00D13BF2"/>
    <w:rsid w:val="00D23508"/>
    <w:rsid w:val="00D24BCF"/>
    <w:rsid w:val="00D3295C"/>
    <w:rsid w:val="00D40E17"/>
    <w:rsid w:val="00D461D3"/>
    <w:rsid w:val="00D63021"/>
    <w:rsid w:val="00D97C4D"/>
    <w:rsid w:val="00DB1DDB"/>
    <w:rsid w:val="00DB7DE5"/>
    <w:rsid w:val="00DE0A92"/>
    <w:rsid w:val="00DE6E23"/>
    <w:rsid w:val="00DF0786"/>
    <w:rsid w:val="00DF7706"/>
    <w:rsid w:val="00E05175"/>
    <w:rsid w:val="00E06F1A"/>
    <w:rsid w:val="00E1582D"/>
    <w:rsid w:val="00E32092"/>
    <w:rsid w:val="00E37C70"/>
    <w:rsid w:val="00E433B6"/>
    <w:rsid w:val="00E47755"/>
    <w:rsid w:val="00E613C4"/>
    <w:rsid w:val="00E654E2"/>
    <w:rsid w:val="00E6656C"/>
    <w:rsid w:val="00E67B0E"/>
    <w:rsid w:val="00E707B8"/>
    <w:rsid w:val="00E71513"/>
    <w:rsid w:val="00E73861"/>
    <w:rsid w:val="00E76362"/>
    <w:rsid w:val="00EA1F80"/>
    <w:rsid w:val="00ED2BA0"/>
    <w:rsid w:val="00ED4CF5"/>
    <w:rsid w:val="00EF080A"/>
    <w:rsid w:val="00F137D3"/>
    <w:rsid w:val="00F13883"/>
    <w:rsid w:val="00F13C36"/>
    <w:rsid w:val="00F23C68"/>
    <w:rsid w:val="00F24D5D"/>
    <w:rsid w:val="00F31FE8"/>
    <w:rsid w:val="00F32C53"/>
    <w:rsid w:val="00F42E04"/>
    <w:rsid w:val="00F5530B"/>
    <w:rsid w:val="00F61A2B"/>
    <w:rsid w:val="00F72A71"/>
    <w:rsid w:val="00F73F90"/>
    <w:rsid w:val="00F7623D"/>
    <w:rsid w:val="00F8598B"/>
    <w:rsid w:val="00FB077F"/>
    <w:rsid w:val="00FD7F00"/>
    <w:rsid w:val="00FE218B"/>
    <w:rsid w:val="00FE3E6E"/>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505DB"/>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6210D0"/>
    <w:rsid w:val="67924660"/>
    <w:rsid w:val="68407834"/>
    <w:rsid w:val="6883293E"/>
    <w:rsid w:val="688412AD"/>
    <w:rsid w:val="68EB1B71"/>
    <w:rsid w:val="69475C96"/>
    <w:rsid w:val="69D0234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 w:val="DCFD8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7030</Words>
  <Characters>7791</Characters>
  <Lines>58</Lines>
  <Paragraphs>16</Paragraphs>
  <TotalTime>241</TotalTime>
  <ScaleCrop>false</ScaleCrop>
  <LinksUpToDate>false</LinksUpToDate>
  <CharactersWithSpaces>7840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2024-10-22T11:02:00Z</dcterms:created>
  <dc:creator>Administrator</dc:creator>
  <cp:lastModifiedBy>user</cp:lastModifiedBy>
  <dcterms:modified xsi:type="dcterms:W3CDTF">2024-11-12T11:35:26Z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