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2022年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万州区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政务服务工作任务分解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Spec="center" w:tblpY="31"/>
        <w:tblOverlap w:val="never"/>
        <w:tblW w:w="9145" w:type="dxa"/>
        <w:jc w:val="center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3352"/>
        <w:gridCol w:w="1635"/>
        <w:gridCol w:w="1727"/>
        <w:gridCol w:w="125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  <w:t>重点任务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具体工作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  <w:t>牵头单位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  <w:t>配合单位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0"/>
                <w:kern w:val="0"/>
                <w:sz w:val="24"/>
                <w:szCs w:val="24"/>
                <w:u w:val="none"/>
              </w:rPr>
              <w:t>完成时限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一、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优化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营商环境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全面承接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首批营商环境创新试点改革事项，推进全链条优化审批、全过程公正监管、全周期提升服务，严格贯彻落实市级“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1+N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”实施方案体系。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区级有关部门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按照市级要求，做好滚动试点承接工作，积极自主探索，争取形成一系列可复制、可推广的创新成果。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区级有关部门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按照市级要求，清单化项目化推进各项改革事项。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区级有关部门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二、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持续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深化“全渝通办”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政务服务事项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减环节、减材料、减时限、减跑动。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配合做好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统一事项清单、办事指南、审核要点、工作规程、综合窗口设置和系统支撑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等工作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全力推行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“标准统一、就近交件、协同办理、一次办成”的政务服务新模式。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2022年8月前完成并持续推进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推广运用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基于“渝快办”平台开设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“全渝通办”线上服务专区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u w:val="none"/>
              </w:rPr>
              <w:t>，线下设置“全渝通办”综合窗口，实现“一窗受理、综合服务”。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2022年8月前完成并持续推进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做好市级交办的“全渝通办”其他相关工作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三、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深入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推进“跨省通办”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推进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放管服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改革第一批事项清单和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川渝通办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第一、二批事项办理提质增效。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承接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放管服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改革第二批事项和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“川渝通办”第三批事项清单、电子证照互认共享第一批清单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重点抓好万达开互联互通政务服务事项的落地落实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2022年9月底前实现“川渝通办”第三批事项通办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积极推进落实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西南五省（区、市）“跨省通办”。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进一步拓展与周边省（区、市）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和上海、南京、天津等对口支援城市政务服务事项的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互联互通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四、规范实施行政许可和备案管理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依据《法律、行政法规、国务院决定设定的行政许可事项清单（2022年版）》（国办发〔2022〕2号），承接区、镇乡两级行政许可事项清单并向社会公布。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具有行政许可事项的部门单位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2022年6月前完成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承接市级层面设定的行政许可及制定的实施规范。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整治变相设立和实施许可，重点规范备案事项。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具有行政许可事项的部门单位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按照市级工作部署，分类梳理备案事项清单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具有行政许可事项的部门单位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持续规范中介服务，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严格执行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网上“中介超市”服务标准，推进行政管理中介服务事项“应进尽进”，鼓励引导其他中介服务事项进驻，规范参与“中介超市”采购活动的市场主体行为。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公共资源交易监管局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使用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“重庆市政务服务事项管理系统”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规范事项调整流程，实现数据同源、动态更新和联动管理。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五、用好用活“渝快办”平台功能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推广使用“渝快办”平台移动端，按市级要求建设好“渝快办”平台万州服务专区。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用好用活“渝快办”平台公共服务板块功能，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实现水电气讯报装、查询、缴费、过户等通过“渝快办”平台办理。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区经济信息委、区城市管理局、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区大数据发展局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加强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渝快办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平台效能监管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做好政务服务“日扫描”“好差评”等工作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11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参照市级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建立办事指南、办事流程常态化查错纠错机制，鼓励窗口人员定期“网跑一次流程、网巡一次纠错”，以切身体验补短板、强弱项。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六、做好电子证照推广使用</w:t>
            </w:r>
          </w:p>
        </w:tc>
        <w:tc>
          <w:tcPr>
            <w:tcW w:w="33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积极推动通过“渝快办”平台推行电子证照。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区公安局、区市场监管局、区大数据发展局、区政务服务办</w:t>
            </w:r>
          </w:p>
        </w:tc>
        <w:tc>
          <w:tcPr>
            <w:tcW w:w="17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加强出生医学证明监管，配合市卫生健康委完成全区25家助产机构出生医学证明电子印章采集。加快“出生一件事”全程网办落地，推进出生医学证明电子化。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区卫生健康委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区公安局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年10月前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建立全区死亡人口信息库，配合市卫生健康委推动死亡证明（正常死亡）电子证照制发，负责监督全区医疗卫生机构对电子《死亡证明》的签发和使用。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区卫生健康委、区公安局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区民政局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年10月前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24"/>
          <w:szCs w:val="24"/>
          <w:u w:val="none"/>
        </w:rPr>
        <w:br w:type="page"/>
      </w:r>
    </w:p>
    <w:tbl>
      <w:tblPr>
        <w:tblStyle w:val="5"/>
        <w:tblpPr w:leftFromText="180" w:rightFromText="180" w:vertAnchor="text" w:horzAnchor="page" w:tblpXSpec="center" w:tblpY="31"/>
        <w:tblOverlap w:val="never"/>
        <w:tblW w:w="9145" w:type="dxa"/>
        <w:jc w:val="center"/>
        <w:tblInd w:w="-7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3352"/>
        <w:gridCol w:w="1635"/>
        <w:gridCol w:w="1727"/>
        <w:gridCol w:w="125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六、做好电子证照推广使用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积极推广在线身份认证、电子营业执照、电子发票、电子收据等电子证照的运用范围，提升应用覆盖率，重点加强在货物报关、银行开户、货款、项目申报、招投标、政府采购等领域应用。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区公安局、区财政局、区市场监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管局、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万州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区税务局、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万州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银保监分局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2022年8月前完成并持续推进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逐步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“免证办”服务，通过直接取消证照材料或数据共享、在线核验等方式，推动实现政府部门核发的材料一律免于提交，能够提供电子证照的一律免于提交实体证照。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在全区各级政务服务中心推广试行电子签名、电子印章应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2022年8月前完成并持续推进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启动政务服务中心电子归档工作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区档案馆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镇乡街道，区政务服务办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七、优化经常性涉企服务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深化“证照分离”改革，推动“照后减证”和简化审批，推行告知承诺制和容缺受理服务模式，落实“双告知”“双跟踪”“双反馈”许可办理机制，加快实现信息共享和业务协同。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市场监管局、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大数据发展局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2022年3月前建立数据推送机制，工作持续推进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进一步推广运用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企业“一网通”和“E企办”。推行企业办事“一照通办”，仅凭营业执照即可办理部分高频审批服务事项。推动“一照多址”“一址多照”。在不涉及公共安全和人民群众生命健康的领域，探索“一证多址”改革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区市场监管局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持续优化企业办税服务，深化“多税合一”申报改革。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万州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区税务局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八、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做好投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建项目审批服务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按照国家、市级统一部署，深化投资审批制度改革，分类规范审批程序、压减审批要件、简化技术审查事项。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严格执行《万州区区级政府投资项目前期工作操作规程》，参照市级实行区级政府投资项目“一本报告管前期”，推行技术审查与行政审批适度分离，强化项目决策与建设条件的协同。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落实市级任务，探索推进深化社会投资项目“用地清单制”改革，做好土地供应前的相关评估和现状普查工作。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区规划自然资源局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万州经开区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有关内设机构，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渝东新区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三峡平湖公司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区级有关部门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落实市级改革要求，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深化“多规合一”业务协同，推进相关项目落地实施。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区规划自然资源局、区发展改革委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持续推进工程建设项目审批制度改革，清理审批中的“体外循环”“隐性审批”等行为。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区住房城乡建委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落实市级改革要求，开展测绘事项整合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，理顺测绘工作流程，统一测绘成果标准，促进成果共享互认，实现测绘整合事项“一次委托、成果共享”改革目标。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规划自然资源局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住房城乡建委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区城市管理局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万州经开区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有关内设机构，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渝东新区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优化工程建设项目联合验收实施方式。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住房城乡建委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按照市级统一部署，探索建立重大项目有关政务服务集成化办理机制。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九、依法有序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放权赋能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坚持开发区的事在开发区办，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依法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有序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做好万州经开区、渝东新区放权赋能有关工作。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将点多面广、基层迫切需要且能有效承接的执法权赋予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，进一步向经济发达镇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分水镇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放权赋能。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区委编办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有关镇乡街道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执行市级行政权力事项下放工作规范。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开展行政权力承接运行情况自查评估，配合市级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对取消和下放行政许可事项的事中事后监管情况进行“回头看”，动态调整放权事项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万州经开区办公室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2022年8月前完成自查，工作持续推进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完善机制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提高监管效能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配合执行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监管规则和标准，夯实监管责任。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市场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管局、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加强审管衔接，推进审批和监管信息实时共享。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按要求持续推进以“双随机、一公开”监管为基本手段、以重点监管为补充、以信用监管为基础的新型监管机制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区市场监管局、区发展改革委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区级有关部门单位，区社会信用体系建设联席会议成员单位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探索将有关联的多个监管事项整合为综合监管“一件事”，深化“进一次门、查多项事”。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区市场监管局、区发展改革委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以公共信用综合评价结果、行业信用评价结果等为依据，有序推进分级分类监管。依托市公共信用信息平台及其联合奖惩子系统，依法执行守信激励和失信惩戒机制。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区发展改革委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区社会信用体系建设联席会议成员单位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落实市级任务，深化完善“互联网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＋监管”工作机制，加强监管数据归集共享和应用，探索形成市场主体全生命周期监管链。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区市场监管局、区大数据发展局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十一、提升“一站式”服务集中度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扎实做好区级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政务服务中心进驻事项负面清单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的落实落地工作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2022年6月前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除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负面清单外的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政务服务事项均应纳入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政务服务中心集中办理。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</w:rPr>
              <w:t>2022年8月前完成并持续推进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实现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水电气讯、公证、法律服务等事项和中央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、市级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单位事项进驻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政务服务中心，提供“一站式”服务。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经济信息委、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司法局、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城市管理局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区大数据发展局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</w:rPr>
              <w:t>2022年8月前完成并持续推进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集中进驻事项必须在政务服务中心实质运行，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结合“窗口腐败”问题集中整治专项工作，对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“明进暗不进”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体外循环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现象持续进行清理整顿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。完善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窗口人员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“首席事务代表”制度，推进更多事项当场办理、简单事项即时办结。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政务服务事项的部门单位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推动无差别综合窗口和分领域综合窗口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提质增效。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持续加强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镇乡街道公共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服务中心、村（社区）便民服务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服务能力建设。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区级有关部门单位,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探索推进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“一件事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一次办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”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扎实做好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“一件事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一次办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”集成服务改革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，赋能“一件事”牵头部门优化管理，提升实际办理率和全程网办能力。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积极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拓展“一件事”集成服务改革覆盖面，围绕自然人和法人全生命周期，从公民出生到身后、企业准入准营到简易注销，新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承接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一批“一件事”套餐。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2022年10月前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执行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“互联网＋不动产登记”，探索“存量房转移预告和抵押预告一件事”全程网办。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区规划自然资源局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2022年8月前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现有市级“一件事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一次办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”套餐提质增效优化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，以点带面提升已上线“一件事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一次办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事项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的服务水平。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2022年10月前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公民婚育一件事。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区民政局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区公安局、区卫生健康委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2022年10月前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优化新生儿出生一件事。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区卫生健康委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区公安局、区人力社保局、区医保局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2022年4月前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灵活就业一件事。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人力社保局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</w:rPr>
              <w:t>医保局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  <w:lang w:eastAsia="zh-CN"/>
              </w:rPr>
              <w:t>，万州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</w:rPr>
              <w:t>税务局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2022年10月前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企业准营一件事。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市场监管局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</w:rPr>
              <w:t>生态环境局、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u w:val="none"/>
              </w:rPr>
              <w:t>城市管理局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u w:val="none"/>
              </w:rPr>
              <w:t>消防救援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u w:val="none"/>
              </w:rPr>
              <w:t>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2022年10月前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、持续推动“减证便民”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承接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我市确需保留的证明事项。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行政机关在办理依申请类行政权力事项时，不得索要清单之外的证明。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具有依申请类行政权力事项的部门单位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承接新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一批实行告知承诺制的证明事项，群众只需“承诺”即可办理相关行政事项。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按照市级工作部署，推行川渝地区证明事项告知承诺制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做好新增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证明事项在“渝快办”平台全程网办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的有关工作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承接优化公证服务工作，实现更多高频公证服务事项线上“一网通办”、线下“最多跑一次”，推动降低偏高的公证事项收费标准。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区司法局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、拓展政务便民服务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推动与企业和群众日常生产生活紧密相关的高频政务服务事项向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延伸，便民服务事项向村（社区）下沉，实现更多事项“就近办”。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持续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关注老年人、残疾人等特殊群体需求，建立健全帮代办服务机制，梳理公布帮代办事项。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偏远地区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和特殊群体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“群众点单＋邮政上门”服务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的推广运用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95"/>
                <w:kern w:val="0"/>
                <w:sz w:val="24"/>
                <w:szCs w:val="24"/>
                <w:u w:val="none"/>
                <w:lang w:val="en-US" w:eastAsia="zh-CN"/>
              </w:rPr>
              <w:t>区政务服务办、中国邮政万州分公司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24"/>
          <w:szCs w:val="24"/>
          <w:u w:val="none"/>
        </w:rPr>
        <w:br w:type="page"/>
      </w:r>
    </w:p>
    <w:tbl>
      <w:tblPr>
        <w:tblStyle w:val="5"/>
        <w:tblpPr w:leftFromText="180" w:rightFromText="180" w:vertAnchor="text" w:horzAnchor="page" w:tblpXSpec="center" w:tblpY="1"/>
        <w:tblOverlap w:val="never"/>
        <w:tblW w:w="9145" w:type="dxa"/>
        <w:jc w:val="center"/>
        <w:tblInd w:w="-7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3352"/>
        <w:gridCol w:w="1635"/>
        <w:gridCol w:w="1727"/>
        <w:gridCol w:w="125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、拓展政务便民服务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推广运用自助服务终端，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推行“政务＋邮政”“政务＋银行”“政务＋通信”服务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探索开展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工作日延时、休息日预约等服务。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推动发行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应用居民服务卡（第三代社会保障卡）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区人力社保局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推广使用“渝快码”。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trike w:val="0"/>
                <w:dstrike w:val="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推进“渝快码”扫码个人信息及证照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u w:val="none"/>
              </w:rPr>
              <w:t>免提交等模式在政府公共服务、社会治理等其他领域应用。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优化完善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平台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持续开展政务服务人员交流培训工作，探索开设“政务服务大讲堂”。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具有政务服务事项的部门单位，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结合“我为群众办实事”实践活动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加强各级政务服务中心效能监管。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推动“12345”政务服务便民热线与全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各级政务服务中心联动，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试行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政务服务满意度抽查回访。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在政务服务中心举报投诉咨询台设置可以引导群众拨打“12345”的标识标牌。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在区级政务服务中心试行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设置“办不成事”反映窗口。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2022年12月前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建立健全对群众投诉问题的办理程序和督办机制。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24"/>
          <w:szCs w:val="24"/>
          <w:u w:val="none"/>
        </w:rPr>
        <w:br w:type="page"/>
      </w:r>
    </w:p>
    <w:tbl>
      <w:tblPr>
        <w:tblStyle w:val="5"/>
        <w:tblpPr w:leftFromText="180" w:rightFromText="180" w:vertAnchor="text" w:horzAnchor="page" w:tblpXSpec="center" w:tblpY="1"/>
        <w:tblOverlap w:val="never"/>
        <w:tblW w:w="9145" w:type="dxa"/>
        <w:jc w:val="center"/>
        <w:tblInd w:w="-7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3352"/>
        <w:gridCol w:w="1635"/>
        <w:gridCol w:w="1727"/>
        <w:gridCol w:w="125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优化完善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平台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提高全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区各级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政务服务中心政务公开专区查阅、咨询等服务便利度。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提升政府门户网站及“渝快办”平台政务服务公开内容的精准性。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区政府办公室、区政务服务办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用好“好差评”制度，实现政务服务事项、评价对象、服务渠道“三个全覆盖”，以及“好差评”联动反馈、“差评”核实整改和整改回访“三个100％”。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十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、加强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eastAsia="zh-CN"/>
              </w:rPr>
              <w:t>政务服务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宣传引导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深入贯彻“一网通办”“一窗综办”“最多跑一次”等改革部署要求，学习借鉴先进发达地区改革创新、先行先试的经验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及时发布解读政务服务政策举措，认真梳理总结政务服务工作成效和经验做法，充分运用“上党报、上专刊、上电视、上公交、上新媒体”和进公共场所等多种形式，加大对“渝快办”政务服务的宣传推介力度，让企业和群众知用、好用、爱用，争取更多先进成果在更大范围得到复制推广。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区政务服务办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区级有关部门单位，</w:t>
            </w:r>
            <w:r>
              <w:rPr>
                <w:rFonts w:hint="eastAsia" w:ascii="Times New Roman" w:hAnsi="Times New Roman" w:eastAsia="方正仿宋_GBK" w:cs="Times New Roman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区政务服务中心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各分中心，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镇乡街道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u w:val="none"/>
              </w:rPr>
              <w:t>持续推进</w:t>
            </w:r>
          </w:p>
        </w:tc>
      </w:tr>
    </w:tbl>
    <w:p>
      <w:pPr>
        <w:pStyle w:val="2"/>
        <w:rPr>
          <w:rFonts w:hint="default" w:ascii="Times New Roman" w:hAnsi="Times New Roman" w:eastAsia="方正小标宋_GBK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23D2"/>
    <w:rsid w:val="5F3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区政务服务管理办公室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2022-07-07T07:51:00Z</dcterms:created>
  <dc:creator>Administrator</dc:creator>
  <cp:lastModifiedBy>Administrator</cp:lastModifiedBy>
  <dcterms:modified xsi:type="dcterms:W3CDTF">2022-07-07T07:52:29Z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