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textAlignment w:val="auto"/>
        <w:rPr>
          <w:color w:val="auto"/>
        </w:rPr>
      </w:pPr>
    </w:p>
    <w:p>
      <w:pPr>
        <w:keepNext w:val="0"/>
        <w:keepLines w:val="0"/>
        <w:pageBreakBefore w:val="0"/>
        <w:kinsoku/>
        <w:wordWrap/>
        <w:overflowPunct/>
        <w:topLinePunct w:val="0"/>
        <w:autoSpaceDE/>
        <w:autoSpaceDN/>
        <w:bidi w:val="0"/>
        <w:adjustRightInd/>
        <w:spacing w:line="600" w:lineRule="exact"/>
        <w:jc w:val="center"/>
        <w:textAlignment w:val="auto"/>
        <w:outlineLvl w:val="0"/>
        <w:rPr>
          <w:rFonts w:hint="eastAsia" w:eastAsia="方正小标宋_GBK"/>
          <w:color w:val="auto"/>
          <w:sz w:val="44"/>
          <w:szCs w:val="44"/>
          <w:lang w:eastAsia="zh-CN"/>
        </w:rPr>
      </w:pPr>
      <w:r>
        <w:rPr>
          <w:rFonts w:eastAsia="方正小标宋_GBK"/>
          <w:color w:val="auto"/>
          <w:sz w:val="44"/>
          <w:szCs w:val="44"/>
        </w:rPr>
        <w:t>重庆市万州区</w:t>
      </w:r>
      <w:r>
        <w:rPr>
          <w:rFonts w:hint="eastAsia" w:eastAsia="方正小标宋_GBK" w:cs="Times New Roman"/>
          <w:sz w:val="44"/>
          <w:szCs w:val="44"/>
          <w:lang w:val="en-US" w:eastAsia="zh-CN"/>
        </w:rPr>
        <w:t>建设职工岗位培训中心</w:t>
      </w:r>
    </w:p>
    <w:p>
      <w:pPr>
        <w:keepNext w:val="0"/>
        <w:keepLines w:val="0"/>
        <w:pageBreakBefore w:val="0"/>
        <w:kinsoku/>
        <w:wordWrap/>
        <w:overflowPunct/>
        <w:topLinePunct w:val="0"/>
        <w:autoSpaceDE/>
        <w:autoSpaceDN/>
        <w:bidi w:val="0"/>
        <w:adjustRightInd/>
        <w:spacing w:line="600" w:lineRule="exact"/>
        <w:jc w:val="center"/>
        <w:textAlignment w:val="auto"/>
        <w:outlineLvl w:val="0"/>
        <w:rPr>
          <w:rFonts w:eastAsia="方正小标宋_GBK"/>
          <w:color w:val="auto"/>
          <w:sz w:val="44"/>
          <w:szCs w:val="44"/>
        </w:rPr>
      </w:pPr>
      <w:r>
        <w:rPr>
          <w:rFonts w:eastAsia="方正小标宋_GBK"/>
          <w:color w:val="auto"/>
          <w:sz w:val="44"/>
          <w:szCs w:val="44"/>
        </w:rPr>
        <w:t>2020</w:t>
      </w:r>
      <w:r>
        <w:rPr>
          <w:rFonts w:hint="eastAsia" w:eastAsia="方正小标宋_GBK"/>
          <w:color w:val="auto"/>
          <w:sz w:val="44"/>
          <w:szCs w:val="44"/>
          <w:lang w:eastAsia="zh-CN"/>
        </w:rPr>
        <w:t>部门</w:t>
      </w:r>
      <w:r>
        <w:rPr>
          <w:rFonts w:eastAsia="方正小标宋_GBK"/>
          <w:color w:val="auto"/>
          <w:sz w:val="44"/>
          <w:szCs w:val="44"/>
        </w:rPr>
        <w:t>决算情况说明</w:t>
      </w:r>
    </w:p>
    <w:p>
      <w:pPr>
        <w:keepNext w:val="0"/>
        <w:keepLines w:val="0"/>
        <w:pageBreakBefore w:val="0"/>
        <w:kinsoku/>
        <w:wordWrap/>
        <w:overflowPunct/>
        <w:topLinePunct w:val="0"/>
        <w:autoSpaceDE/>
        <w:autoSpaceDN/>
        <w:bidi w:val="0"/>
        <w:adjustRightInd/>
        <w:spacing w:line="600" w:lineRule="exact"/>
        <w:jc w:val="both"/>
        <w:textAlignment w:val="auto"/>
        <w:outlineLvl w:val="0"/>
        <w:rPr>
          <w:rFonts w:eastAsia="方正小标宋_GBK"/>
          <w:color w:val="auto"/>
          <w:sz w:val="44"/>
          <w:szCs w:val="44"/>
        </w:rPr>
      </w:pP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一、单位基本情况</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（一）职能职责</w:t>
      </w:r>
    </w:p>
    <w:p>
      <w:pPr>
        <w:keepNext w:val="0"/>
        <w:keepLines w:val="0"/>
        <w:pageBreakBefore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全面</w:t>
      </w:r>
      <w:r>
        <w:rPr>
          <w:rFonts w:hint="eastAsia" w:ascii="方正仿宋_GBK" w:hAnsi="方正仿宋_GBK" w:eastAsia="方正仿宋_GBK" w:cs="方正仿宋_GBK"/>
          <w:sz w:val="32"/>
          <w:szCs w:val="32"/>
        </w:rPr>
        <w:t>负责全区建设职工</w:t>
      </w:r>
      <w:r>
        <w:rPr>
          <w:rFonts w:hint="eastAsia" w:ascii="方正仿宋_GBK" w:hAnsi="方正仿宋_GBK" w:eastAsia="方正仿宋_GBK" w:cs="方正仿宋_GBK"/>
          <w:sz w:val="32"/>
          <w:szCs w:val="32"/>
          <w:lang w:eastAsia="zh-CN"/>
        </w:rPr>
        <w:t>培训，归口负责本系统职工岗位培训及专业技术等级培训工作</w:t>
      </w:r>
      <w:r>
        <w:rPr>
          <w:rFonts w:hint="eastAsia" w:ascii="方正仿宋_GBK" w:hAnsi="方正仿宋_GBK" w:eastAsia="方正仿宋_GBK" w:cs="方正仿宋_GBK"/>
          <w:sz w:val="32"/>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（二）机构设置</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sz w:val="32"/>
          <w:szCs w:val="32"/>
        </w:rPr>
        <w:t>独立机构事业编制1个，</w:t>
      </w:r>
      <w:r>
        <w:rPr>
          <w:rFonts w:hint="eastAsia" w:ascii="方正仿宋_GBK" w:hAnsi="方正仿宋_GBK" w:eastAsia="方正仿宋_GBK" w:cs="方正仿宋_GBK"/>
          <w:sz w:val="32"/>
          <w:szCs w:val="32"/>
          <w:lang w:eastAsia="zh-CN"/>
        </w:rPr>
        <w:t>单位内设科室办公室</w:t>
      </w:r>
      <w:r>
        <w:rPr>
          <w:rFonts w:hint="eastAsia" w:ascii="方正仿宋_GBK" w:hAnsi="方正仿宋_GBK" w:eastAsia="方正仿宋_GBK" w:cs="方正仿宋_GBK"/>
          <w:sz w:val="32"/>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（三）单位构成</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ascii="方正仿宋_GBK"/>
          <w:color w:val="auto"/>
          <w:szCs w:val="32"/>
        </w:rPr>
        <w:t>本单位无</w:t>
      </w:r>
      <w:r>
        <w:rPr>
          <w:rFonts w:hint="eastAsia" w:ascii="方正仿宋_GBK"/>
          <w:color w:val="auto"/>
          <w:szCs w:val="32"/>
        </w:rPr>
        <w:t>下级</w:t>
      </w:r>
      <w:r>
        <w:rPr>
          <w:rFonts w:ascii="方正仿宋_GBK"/>
          <w:color w:val="auto"/>
          <w:szCs w:val="32"/>
        </w:rPr>
        <w:t>预算单位。</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二、</w:t>
      </w:r>
      <w:r>
        <w:rPr>
          <w:rFonts w:hint="eastAsia" w:eastAsia="方正黑体_GBK"/>
          <w:color w:val="auto"/>
          <w:szCs w:val="32"/>
          <w:lang w:eastAsia="zh-CN"/>
        </w:rPr>
        <w:t>部门</w:t>
      </w:r>
      <w:r>
        <w:rPr>
          <w:rFonts w:eastAsia="方正黑体_GBK"/>
          <w:color w:val="auto"/>
          <w:szCs w:val="32"/>
        </w:rPr>
        <w:t>决算情况说明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（一）收入支出决算总体情况说明</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1.总体情况。本单位</w:t>
      </w:r>
      <w:r>
        <w:rPr>
          <w:rFonts w:hint="eastAsia" w:ascii="方正仿宋_GBK" w:hAnsi="方正仿宋_GBK" w:eastAsia="方正仿宋_GBK" w:cs="方正仿宋_GBK"/>
          <w:sz w:val="32"/>
          <w:szCs w:val="32"/>
        </w:rPr>
        <w:t>2020年度收入总计198.65万元，支出总计198.65万元。收支较上年决算数减少0.25万元、下降0.1%，主要原因是</w:t>
      </w:r>
      <w:r>
        <w:rPr>
          <w:rFonts w:hint="eastAsia" w:ascii="方正仿宋_GBK" w:hAnsi="方正仿宋_GBK" w:eastAsia="方正仿宋_GBK" w:cs="方正仿宋_GBK"/>
          <w:sz w:val="32"/>
          <w:szCs w:val="32"/>
          <w:lang w:eastAsia="zh-CN"/>
        </w:rPr>
        <w:t>预算计划变动减少。</w:t>
      </w:r>
      <w:r>
        <w:rPr>
          <w:rFonts w:hint="eastAsia" w:ascii="方正仿宋_GBK"/>
          <w:color w:val="auto"/>
          <w:szCs w:val="32"/>
        </w:rPr>
        <w:t>。</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2.收入情况。本单位</w:t>
      </w:r>
      <w:r>
        <w:rPr>
          <w:rFonts w:hint="eastAsia" w:ascii="方正仿宋_GBK" w:hAnsi="方正仿宋_GBK" w:eastAsia="方正仿宋_GBK" w:cs="方正仿宋_GBK"/>
          <w:sz w:val="32"/>
          <w:szCs w:val="32"/>
        </w:rPr>
        <w:t>2020年度收入合计145.06万元，较上年决算数减少0.26万元，下降0.2%，主要原因</w:t>
      </w:r>
      <w:r>
        <w:rPr>
          <w:rFonts w:hint="eastAsia" w:ascii="方正仿宋_GBK" w:hAnsi="方正仿宋_GBK" w:eastAsia="方正仿宋_GBK" w:cs="方正仿宋_GBK"/>
          <w:sz w:val="32"/>
          <w:szCs w:val="32"/>
          <w:lang w:eastAsia="zh-CN"/>
        </w:rPr>
        <w:t>预算计划变动减少。</w:t>
      </w:r>
      <w:r>
        <w:rPr>
          <w:rFonts w:hint="eastAsia" w:ascii="方正仿宋_GBK" w:hAnsi="方正仿宋_GBK" w:eastAsia="方正仿宋_GBK" w:cs="方正仿宋_GBK"/>
          <w:sz w:val="32"/>
          <w:szCs w:val="32"/>
        </w:rPr>
        <w:t>其中：财政拨款收入145.06万元，占100%。此外，使用非财政拨款结余53.59万元</w:t>
      </w:r>
      <w:r>
        <w:rPr>
          <w:rFonts w:hint="eastAsia" w:ascii="方正仿宋_GBK"/>
          <w:color w:val="auto"/>
          <w:szCs w:val="32"/>
        </w:rPr>
        <w:t>。</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3.支出情况。本单位</w:t>
      </w:r>
      <w:r>
        <w:rPr>
          <w:rFonts w:hint="eastAsia" w:ascii="方正仿宋_GBK" w:hAnsi="方正仿宋_GBK" w:eastAsia="方正仿宋_GBK" w:cs="方正仿宋_GBK"/>
          <w:sz w:val="32"/>
          <w:szCs w:val="32"/>
        </w:rPr>
        <w:t>2020年度支出合计198.65万元，较上年决算数增加53.33万元，增长36.7%，主要原因是</w:t>
      </w:r>
      <w:r>
        <w:rPr>
          <w:rFonts w:hint="eastAsia" w:ascii="方正仿宋_GBK" w:hAnsi="方正仿宋_GBK" w:eastAsia="方正仿宋_GBK" w:cs="方正仿宋_GBK"/>
          <w:sz w:val="32"/>
          <w:szCs w:val="32"/>
          <w:lang w:eastAsia="zh-CN"/>
        </w:rPr>
        <w:t>预算计划变动，存量资金</w:t>
      </w:r>
      <w:r>
        <w:rPr>
          <w:rFonts w:hint="eastAsia" w:ascii="方正仿宋_GBK" w:hAnsi="方正仿宋_GBK" w:cs="方正仿宋_GBK"/>
          <w:sz w:val="32"/>
          <w:szCs w:val="32"/>
          <w:lang w:eastAsia="zh-CN"/>
        </w:rPr>
        <w:t>财政收回</w:t>
      </w:r>
      <w:r>
        <w:rPr>
          <w:rFonts w:hint="eastAsia" w:ascii="方正仿宋_GBK" w:hAnsi="方正仿宋_GBK" w:eastAsia="方正仿宋_GBK" w:cs="方正仿宋_GBK"/>
          <w:sz w:val="32"/>
          <w:szCs w:val="32"/>
        </w:rPr>
        <w:t>。其中：基本支出 198.65万元，占100%</w:t>
      </w:r>
      <w:r>
        <w:rPr>
          <w:rFonts w:hint="eastAsia" w:ascii="方正仿宋_GBK"/>
          <w:color w:val="auto"/>
          <w:szCs w:val="32"/>
        </w:rPr>
        <w:t>。</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4.结转结余情况。本单位</w:t>
      </w:r>
      <w:r>
        <w:rPr>
          <w:rFonts w:hint="eastAsia" w:ascii="方正仿宋_GBK" w:hAnsi="方正仿宋_GBK" w:eastAsia="方正仿宋_GBK" w:cs="方正仿宋_GBK"/>
          <w:sz w:val="32"/>
          <w:szCs w:val="32"/>
        </w:rPr>
        <w:t>2020年度年末结转和结余0.00万元，较上年决算数增加0.00万元，增长</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w:t>
      </w:r>
      <w:r>
        <w:rPr>
          <w:rFonts w:hint="eastAsia" w:ascii="方正仿宋_GBK"/>
          <w:color w:val="auto"/>
          <w:szCs w:val="32"/>
        </w:rPr>
        <w:t>主要原因是本单位顺利执行年初预算，未造成结转和结余情况。</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（二）财政拨款收入支出决算总体情况说明</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sz w:val="32"/>
          <w:szCs w:val="32"/>
        </w:rPr>
        <w:t>2020年度财政拨款收、支总计145.06万元。与2019年相比，财政拨款收、支总计各减少0.26万元，下降0.2%。主要原因是</w:t>
      </w:r>
      <w:r>
        <w:rPr>
          <w:rFonts w:hint="eastAsia" w:ascii="方正仿宋_GBK" w:hAnsi="方正仿宋_GBK" w:eastAsia="方正仿宋_GBK" w:cs="方正仿宋_GBK"/>
          <w:sz w:val="32"/>
          <w:szCs w:val="32"/>
          <w:lang w:eastAsia="zh-CN"/>
        </w:rPr>
        <w:t>预算计划变动减少</w:t>
      </w:r>
      <w:r>
        <w:rPr>
          <w:rFonts w:hint="eastAsia" w:ascii="方正仿宋_GBK"/>
          <w:color w:val="auto"/>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（三）一般公共预算财政拨款基本支出决算情况说明</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color w:val="auto"/>
          <w:sz w:val="32"/>
          <w:szCs w:val="32"/>
        </w:rPr>
        <w:t>1.收入情况。</w:t>
      </w: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sz w:val="32"/>
          <w:szCs w:val="32"/>
        </w:rPr>
        <w:t>020年度一般公共预算财政拨款收入145.06万元，较上年决算数减少0.26万元，下降0.2%。主要原因是</w:t>
      </w:r>
      <w:r>
        <w:rPr>
          <w:rFonts w:hint="eastAsia" w:ascii="方正仿宋_GBK" w:hAnsi="方正仿宋_GBK" w:eastAsia="方正仿宋_GBK" w:cs="方正仿宋_GBK"/>
          <w:sz w:val="32"/>
          <w:szCs w:val="32"/>
          <w:lang w:eastAsia="zh-CN"/>
        </w:rPr>
        <w:t>预算计划变动</w:t>
      </w:r>
      <w:r>
        <w:rPr>
          <w:rFonts w:hint="eastAsia" w:ascii="方正仿宋_GBK" w:hAnsi="方正仿宋_GBK" w:eastAsia="方正仿宋_GBK" w:cs="方正仿宋_GBK"/>
          <w:sz w:val="32"/>
          <w:szCs w:val="32"/>
        </w:rPr>
        <w:t>。较年初预算数增加87.14万元，增长150.4%。主要原因是</w:t>
      </w:r>
      <w:r>
        <w:rPr>
          <w:rFonts w:hint="eastAsia" w:ascii="方正仿宋_GBK" w:hAnsi="方正仿宋_GBK" w:eastAsia="方正仿宋_GBK" w:cs="方正仿宋_GBK"/>
          <w:sz w:val="32"/>
          <w:szCs w:val="32"/>
          <w:lang w:eastAsia="zh-CN"/>
        </w:rPr>
        <w:t>追加退休人员生活补助和非税收入成本支出项目拨款</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lang w:eastAsia="zh-CN"/>
        </w:rPr>
      </w:pPr>
      <w:r>
        <w:rPr>
          <w:rStyle w:val="7"/>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sz w:val="32"/>
          <w:szCs w:val="32"/>
        </w:rPr>
        <w:t>020年度一般公共预算财政拨款支出145.06万元，较上年决算数减少0.26万元，下降0.2%。主要原因是</w:t>
      </w:r>
      <w:r>
        <w:rPr>
          <w:rFonts w:hint="eastAsia" w:ascii="方正仿宋_GBK" w:hAnsi="方正仿宋_GBK" w:eastAsia="方正仿宋_GBK" w:cs="方正仿宋_GBK"/>
          <w:sz w:val="32"/>
          <w:szCs w:val="32"/>
          <w:lang w:eastAsia="zh-CN"/>
        </w:rPr>
        <w:t>预算计划变动</w:t>
      </w:r>
      <w:r>
        <w:rPr>
          <w:rFonts w:hint="eastAsia" w:ascii="方正仿宋_GBK" w:hAnsi="方正仿宋_GBK" w:eastAsia="方正仿宋_GBK" w:cs="方正仿宋_GBK"/>
          <w:sz w:val="32"/>
          <w:szCs w:val="32"/>
        </w:rPr>
        <w:t>。较年初预算数增加87.14万元，增长150.4%。主要原因是</w:t>
      </w:r>
      <w:r>
        <w:rPr>
          <w:rFonts w:hint="eastAsia" w:ascii="方正仿宋_GBK" w:hAnsi="方正仿宋_GBK" w:eastAsia="方正仿宋_GBK" w:cs="方正仿宋_GBK"/>
          <w:sz w:val="32"/>
          <w:szCs w:val="32"/>
          <w:lang w:eastAsia="zh-CN"/>
        </w:rPr>
        <w:t>追加退休人员生活补助和非税收入成本支出项目拨款</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3.结转结余情况。</w:t>
      </w:r>
      <w:r>
        <w:rPr>
          <w:rFonts w:hint="eastAsia" w:ascii="方正仿宋_GBK" w:hAnsi="方正仿宋_GBK" w:eastAsia="方正仿宋_GBK" w:cs="方正仿宋_GBK"/>
          <w:sz w:val="32"/>
          <w:szCs w:val="32"/>
        </w:rPr>
        <w:t>2020年度年末一般公共预算财政拨款结转和结余0.00万元。</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4.比较情况</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lang w:eastAsia="zh-CN"/>
        </w:rPr>
        <w:t>本单位</w:t>
      </w:r>
      <w:r>
        <w:rPr>
          <w:rFonts w:hint="eastAsia" w:ascii="方正仿宋_GBK" w:hAnsi="方正仿宋_GBK" w:eastAsia="方正仿宋_GBK" w:cs="方正仿宋_GBK"/>
          <w:sz w:val="32"/>
          <w:szCs w:val="32"/>
        </w:rPr>
        <w:t>2020年度一般公共预算财政拨款支出主要用于以下几个方面：</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）社会保障与就业支出12.30万元，占8.5%，较年初预算数增加5.74万元，增长87%，主要原因是</w:t>
      </w:r>
      <w:r>
        <w:rPr>
          <w:rFonts w:hint="eastAsia" w:ascii="方正仿宋_GBK" w:hAnsi="方正仿宋_GBK" w:eastAsia="方正仿宋_GBK" w:cs="方正仿宋_GBK"/>
          <w:sz w:val="32"/>
          <w:szCs w:val="32"/>
          <w:lang w:eastAsia="zh-CN"/>
        </w:rPr>
        <w:t>追加退休人员生活补助</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）卫生健康支出3.81万元，占2.6%，较年初预算数增加0.00万元，增长0%。</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）城乡社区支出125.67万元，占86.6%，较年初预算数增加81.39万元，增长183.8%，主要原因是</w:t>
      </w:r>
      <w:r>
        <w:rPr>
          <w:rFonts w:hint="eastAsia" w:ascii="方正仿宋_GBK" w:hAnsi="方正仿宋_GBK" w:eastAsia="方正仿宋_GBK" w:cs="方正仿宋_GBK"/>
          <w:sz w:val="32"/>
          <w:szCs w:val="32"/>
          <w:lang w:eastAsia="zh-CN"/>
        </w:rPr>
        <w:t>追加非税收入成本支出拨款</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）住房保障支出3.28万元，占2.3%，较年初预算数增加0.00万元，增长0%。</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b w:val="0"/>
          <w:bCs w:val="0"/>
          <w:color w:val="auto"/>
          <w:szCs w:val="32"/>
        </w:rPr>
      </w:pPr>
      <w:r>
        <w:rPr>
          <w:rFonts w:hint="eastAsia" w:eastAsia="方正楷体_GBK"/>
          <w:b w:val="0"/>
          <w:bCs w:val="0"/>
          <w:color w:val="auto"/>
          <w:szCs w:val="32"/>
        </w:rPr>
        <w:t>（四）</w:t>
      </w:r>
      <w:r>
        <w:rPr>
          <w:rStyle w:val="7"/>
          <w:rFonts w:hint="eastAsia" w:ascii="方正楷体_GBK" w:hAnsi="方正楷体_GBK" w:eastAsia="方正楷体_GBK" w:cs="方正楷体_GBK"/>
          <w:b w:val="0"/>
          <w:bCs w:val="0"/>
          <w:sz w:val="32"/>
          <w:szCs w:val="32"/>
        </w:rPr>
        <w:t>一般公共预算财政拨款基本支出决算情况说明</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hint="eastAsia" w:ascii="方正仿宋_GBK"/>
          <w:color w:val="auto"/>
          <w:szCs w:val="32"/>
        </w:rPr>
      </w:pPr>
      <w:r>
        <w:rPr>
          <w:rFonts w:hint="eastAsia" w:ascii="方正仿宋_GBK" w:hAnsi="方正仿宋_GBK" w:eastAsia="方正仿宋_GBK" w:cs="方正仿宋_GBK"/>
          <w:sz w:val="32"/>
          <w:szCs w:val="32"/>
        </w:rPr>
        <w:t>2020年度一般公共财政拨款基本支出145.06万元。其中：人员经费65.35万元，较上年决算数减少12.15万元，下降15.7%，主要原因是</w:t>
      </w:r>
      <w:r>
        <w:rPr>
          <w:rFonts w:hint="eastAsia" w:ascii="方正仿宋_GBK" w:hAnsi="方正仿宋_GBK" w:eastAsia="方正仿宋_GBK" w:cs="方正仿宋_GBK"/>
          <w:sz w:val="32"/>
          <w:szCs w:val="32"/>
          <w:lang w:eastAsia="zh-CN"/>
        </w:rPr>
        <w:t>退休</w:t>
      </w:r>
      <w:r>
        <w:rPr>
          <w:rFonts w:hint="eastAsia" w:ascii="方正仿宋_GBK" w:hAnsi="方正仿宋_GBK" w:eastAsia="方正仿宋_GBK" w:cs="方正仿宋_GBK"/>
          <w:sz w:val="32"/>
          <w:szCs w:val="32"/>
          <w:lang w:val="en-US" w:eastAsia="zh-CN"/>
        </w:rPr>
        <w:t>1名正式职工</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i w:val="0"/>
          <w:iCs w:val="0"/>
          <w:caps w:val="0"/>
          <w:color w:val="000000"/>
          <w:spacing w:val="0"/>
          <w:sz w:val="32"/>
          <w:szCs w:val="32"/>
          <w:shd w:val="clear" w:fill="FFFFFF"/>
        </w:rPr>
        <w:t>基本工资、津贴补贴、</w:t>
      </w:r>
      <w:r>
        <w:rPr>
          <w:rFonts w:hint="eastAsia" w:ascii="方正仿宋_GBK" w:hAnsi="方正仿宋_GBK" w:eastAsia="方正仿宋_GBK" w:cs="方正仿宋_GBK"/>
          <w:i w:val="0"/>
          <w:iCs w:val="0"/>
          <w:caps w:val="0"/>
          <w:color w:val="000000"/>
          <w:spacing w:val="0"/>
          <w:sz w:val="32"/>
          <w:szCs w:val="32"/>
          <w:shd w:val="clear" w:fill="FFFFFF"/>
          <w:lang w:eastAsia="zh-CN"/>
        </w:rPr>
        <w:t>绩效工资、社会保险缴费等</w:t>
      </w:r>
      <w:r>
        <w:rPr>
          <w:rFonts w:hint="eastAsia" w:ascii="方正仿宋_GBK" w:hAnsi="方正仿宋_GBK" w:eastAsia="方正仿宋_GBK" w:cs="方正仿宋_GBK"/>
          <w:sz w:val="32"/>
          <w:szCs w:val="32"/>
        </w:rPr>
        <w:t>。公用经费79.71万元，较上年决算数增加11.90万元，增长17.5%，主要原因是</w:t>
      </w:r>
      <w:r>
        <w:rPr>
          <w:rFonts w:hint="eastAsia" w:ascii="方正仿宋_GBK" w:hAnsi="方正仿宋_GBK" w:cs="方正仿宋_GBK"/>
          <w:sz w:val="32"/>
          <w:szCs w:val="32"/>
          <w:lang w:eastAsia="zh-CN"/>
        </w:rPr>
        <w:t>支付解除聘用人员劳动合同一次性经济补偿金</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i w:val="0"/>
          <w:iCs w:val="0"/>
          <w:caps w:val="0"/>
          <w:color w:val="000000"/>
          <w:spacing w:val="0"/>
          <w:sz w:val="32"/>
          <w:szCs w:val="32"/>
          <w:shd w:val="clear" w:fill="FFFFFF"/>
        </w:rPr>
        <w:t>办公费、印刷费、咨询费、</w:t>
      </w:r>
      <w:r>
        <w:rPr>
          <w:rFonts w:hint="eastAsia" w:ascii="方正仿宋_GBK" w:hAnsi="方正仿宋_GBK" w:eastAsia="方正仿宋_GBK" w:cs="方正仿宋_GBK"/>
          <w:i w:val="0"/>
          <w:iCs w:val="0"/>
          <w:caps w:val="0"/>
          <w:color w:val="000000"/>
          <w:spacing w:val="0"/>
          <w:sz w:val="32"/>
          <w:szCs w:val="32"/>
          <w:shd w:val="clear" w:fill="FFFFFF"/>
          <w:lang w:eastAsia="zh-CN"/>
        </w:rPr>
        <w:t>水电费、差旅费、劳务费</w:t>
      </w:r>
      <w:r>
        <w:rPr>
          <w:rFonts w:hint="eastAsia" w:ascii="方正仿宋_GBK" w:hAnsi="方正仿宋_GBK" w:eastAsia="方正仿宋_GBK" w:cs="方正仿宋_GBK"/>
          <w:i w:val="0"/>
          <w:iCs w:val="0"/>
          <w:caps w:val="0"/>
          <w:color w:val="000000"/>
          <w:spacing w:val="0"/>
          <w:sz w:val="32"/>
          <w:szCs w:val="32"/>
          <w:shd w:val="clear" w:fill="FFFFFF"/>
        </w:rPr>
        <w:t>等</w:t>
      </w:r>
      <w:r>
        <w:rPr>
          <w:rFonts w:hint="eastAsia" w:ascii="方正仿宋_GBK"/>
          <w:color w:val="auto"/>
          <w:szCs w:val="32"/>
        </w:rPr>
        <w:t>。</w:t>
      </w:r>
    </w:p>
    <w:p>
      <w:pPr>
        <w:pStyle w:val="4"/>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600" w:lineRule="exact"/>
        <w:ind w:firstLine="640" w:firstLineChars="200"/>
        <w:textAlignment w:val="auto"/>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lang w:eastAsia="zh-CN"/>
        </w:rPr>
        <w:t>（五）</w:t>
      </w:r>
      <w:r>
        <w:rPr>
          <w:rStyle w:val="7"/>
          <w:rFonts w:hint="eastAsia" w:ascii="方正楷体_GBK" w:hAnsi="方正楷体_GBK" w:eastAsia="方正楷体_GBK" w:cs="方正楷体_GBK"/>
          <w:b w:val="0"/>
          <w:bCs w:val="0"/>
          <w:sz w:val="32"/>
          <w:szCs w:val="32"/>
        </w:rPr>
        <w:t>政府性基金预算收支决算情况说明</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2"/>
        <w:textAlignment w:val="auto"/>
        <w:rPr>
          <w:rStyle w:val="7"/>
          <w:rFonts w:hint="eastAsia" w:ascii="方正仿宋_GBK" w:hAnsi="方正仿宋_GBK" w:cs="方正仿宋_GBK"/>
          <w:b w:val="0"/>
          <w:bCs w:val="0"/>
          <w:sz w:val="32"/>
          <w:szCs w:val="32"/>
          <w:lang w:val="en-US" w:eastAsia="zh-CN"/>
        </w:rPr>
      </w:pPr>
      <w:r>
        <w:rPr>
          <w:rStyle w:val="7"/>
          <w:rFonts w:hint="eastAsia" w:ascii="方正仿宋_GBK" w:hAnsi="方正仿宋_GBK" w:eastAsia="方正仿宋_GBK" w:cs="方正仿宋_GBK"/>
          <w:b w:val="0"/>
          <w:bCs w:val="0"/>
          <w:sz w:val="32"/>
          <w:szCs w:val="32"/>
          <w:lang w:val="en-US" w:eastAsia="zh-CN"/>
        </w:rPr>
        <w:t>本单位2020年度无政府性基金预算财政拨款收支。</w:t>
      </w:r>
    </w:p>
    <w:p>
      <w:pPr>
        <w:pStyle w:val="4"/>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600" w:lineRule="exact"/>
        <w:ind w:leftChars="200"/>
        <w:textAlignment w:val="auto"/>
        <w:rPr>
          <w:rStyle w:val="7"/>
          <w:rFonts w:hint="eastAsia" w:ascii="方正楷体_GBK" w:hAnsi="方正楷体_GBK" w:eastAsia="方正楷体_GBK" w:cs="方正楷体_GBK"/>
          <w:b w:val="0"/>
          <w:bCs w:val="0"/>
          <w:sz w:val="32"/>
          <w:szCs w:val="32"/>
          <w:lang w:val="en-US" w:eastAsia="zh-CN"/>
        </w:rPr>
      </w:pPr>
      <w:r>
        <w:rPr>
          <w:rStyle w:val="7"/>
          <w:rFonts w:hint="eastAsia" w:ascii="方正楷体_GBK" w:hAnsi="方正楷体_GBK" w:eastAsia="方正楷体_GBK" w:cs="方正楷体_GBK"/>
          <w:b w:val="0"/>
          <w:bCs w:val="0"/>
          <w:sz w:val="32"/>
          <w:szCs w:val="32"/>
          <w:lang w:val="en-US" w:eastAsia="zh-CN"/>
        </w:rPr>
        <w:t>（六）国有资本经营预算财政拨款支出决算情况说明</w:t>
      </w:r>
    </w:p>
    <w:p>
      <w:pPr>
        <w:pStyle w:val="4"/>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600" w:lineRule="exact"/>
        <w:ind w:leftChars="200" w:right="0" w:rightChars="0"/>
        <w:textAlignment w:val="auto"/>
        <w:rPr>
          <w:rStyle w:val="7"/>
          <w:rFonts w:hint="default" w:ascii="方正仿宋_GBK" w:hAnsi="方正仿宋_GBK" w:cs="方正仿宋_GBK"/>
          <w:b w:val="0"/>
          <w:bCs w:val="0"/>
          <w:sz w:val="32"/>
          <w:szCs w:val="32"/>
          <w:lang w:val="en-US" w:eastAsia="zh-CN"/>
        </w:rPr>
      </w:pPr>
      <w:r>
        <w:rPr>
          <w:rStyle w:val="7"/>
          <w:rFonts w:hint="eastAsia" w:ascii="方正仿宋_GBK" w:hAnsi="方正仿宋_GBK" w:eastAsia="方正仿宋_GBK" w:cs="方正仿宋_GBK"/>
          <w:b w:val="0"/>
          <w:bCs w:val="0"/>
          <w:sz w:val="32"/>
          <w:szCs w:val="32"/>
          <w:lang w:val="en-US" w:eastAsia="zh-CN"/>
        </w:rPr>
        <w:t>本单位2020年度无国有资本经营预算财政拨款支出。</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三、“三公”经费情况说明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（一）“三公”经费支出总体情况说明</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2020年度本单位“三公”经费支出</w:t>
      </w:r>
      <w:r>
        <w:rPr>
          <w:rFonts w:hint="eastAsia" w:ascii="方正仿宋_GBK" w:hAnsi="方正仿宋_GBK" w:eastAsia="方正仿宋_GBK" w:cs="方正仿宋_GBK"/>
          <w:sz w:val="32"/>
          <w:szCs w:val="32"/>
        </w:rPr>
        <w:t>共计0.00万元，较年初预算数增加0.00万元，增长</w:t>
      </w:r>
      <w:r>
        <w:rPr>
          <w:rFonts w:hint="eastAsia" w:ascii="方正仿宋_GBK" w:hAnsi="方正仿宋_GBK" w:cs="方正仿宋_GBK"/>
          <w:sz w:val="32"/>
          <w:szCs w:val="32"/>
          <w:lang w:val="en-US" w:eastAsia="zh-CN"/>
        </w:rPr>
        <w:t>0</w:t>
      </w:r>
      <w:r>
        <w:rPr>
          <w:rFonts w:hint="eastAsia" w:ascii="方正仿宋_GBK" w:hAnsi="方正仿宋_GBK" w:eastAsia="方正仿宋_GBK" w:cs="方正仿宋_GBK"/>
          <w:sz w:val="32"/>
          <w:szCs w:val="32"/>
        </w:rPr>
        <w:t>%。 较上年支出数减少1.70万元，下降100%，主要原因是</w:t>
      </w:r>
      <w:r>
        <w:rPr>
          <w:rFonts w:hint="eastAsia" w:ascii="方正仿宋_GBK" w:hAnsi="方正仿宋_GBK" w:eastAsia="方正仿宋_GBK" w:cs="方正仿宋_GBK"/>
          <w:sz w:val="32"/>
          <w:szCs w:val="32"/>
          <w:lang w:eastAsia="zh-CN"/>
        </w:rPr>
        <w:t>车辆移交机关事务管理局后单位</w:t>
      </w:r>
      <w:r>
        <w:rPr>
          <w:rFonts w:hint="eastAsia" w:ascii="方正仿宋_GBK" w:hAnsi="方正仿宋_GBK" w:cs="方正仿宋_GBK"/>
          <w:sz w:val="32"/>
          <w:szCs w:val="32"/>
          <w:lang w:eastAsia="zh-CN"/>
        </w:rPr>
        <w:t>无车辆，本年</w:t>
      </w:r>
      <w:r>
        <w:rPr>
          <w:rFonts w:hint="eastAsia" w:ascii="方正仿宋_GBK" w:hAnsi="方正仿宋_GBK" w:eastAsia="方正仿宋_GBK" w:cs="方正仿宋_GBK"/>
          <w:sz w:val="32"/>
          <w:szCs w:val="32"/>
          <w:lang w:eastAsia="zh-CN"/>
        </w:rPr>
        <w:t>未发生公务车运行维护费。</w:t>
      </w:r>
      <w:r>
        <w:rPr>
          <w:rFonts w:hint="eastAsia" w:ascii="方正仿宋_GBK"/>
          <w:color w:val="auto"/>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（二）“三公”经费分项支出情况</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b w:val="0"/>
          <w:bCs w:val="0"/>
          <w:sz w:val="32"/>
          <w:szCs w:val="32"/>
          <w:lang w:eastAsia="zh-CN"/>
        </w:rPr>
        <w:t>2020年度</w:t>
      </w:r>
      <w:r>
        <w:rPr>
          <w:rFonts w:hint="eastAsia" w:ascii="方正仿宋_GBK" w:hAnsi="方正仿宋_GBK" w:cs="方正仿宋_GBK"/>
          <w:b w:val="0"/>
          <w:bCs w:val="0"/>
          <w:sz w:val="32"/>
          <w:szCs w:val="32"/>
          <w:lang w:eastAsia="zh-CN"/>
        </w:rPr>
        <w:t>本单位</w:t>
      </w:r>
      <w:r>
        <w:rPr>
          <w:rFonts w:hint="eastAsia" w:ascii="方正仿宋_GBK" w:hAnsi="方正仿宋_GBK" w:eastAsia="方正仿宋_GBK" w:cs="方正仿宋_GBK"/>
          <w:b w:val="0"/>
          <w:bCs w:val="0"/>
          <w:sz w:val="32"/>
          <w:szCs w:val="32"/>
          <w:lang w:eastAsia="zh-CN"/>
        </w:rPr>
        <w:t>因公出国（境）费用0.00万元，费用支出较年初预算数增加0.00万元，增长0%，主要原因是本单位2020年度未发生因公出国（境）费用。较上年支出数增加0.00万元，增长0%，主要原因是本单位2020年度未发生因公出国（境）费用</w:t>
      </w:r>
      <w:r>
        <w:rPr>
          <w:rFonts w:hint="eastAsia" w:ascii="方正仿宋_GBK"/>
          <w:color w:val="auto"/>
          <w:szCs w:val="32"/>
        </w:rPr>
        <w:t>。</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b w:val="0"/>
          <w:bCs w:val="0"/>
          <w:sz w:val="32"/>
          <w:szCs w:val="32"/>
          <w:lang w:eastAsia="zh-CN"/>
        </w:rPr>
        <w:t>公务车购置费0.00万元，费用支出较年初预算数增加0.00万元，增长0%，主要原因是本单位2020年度未发生公务车购置费。较上年支出数增加0.00万元，增长0%，主要原因是本单位2020年度未发生公务车购置费</w:t>
      </w:r>
      <w:r>
        <w:rPr>
          <w:rFonts w:hint="eastAsia" w:ascii="方正仿宋_GBK"/>
          <w:color w:val="auto"/>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公务车运行维护费0.00万元。费用支出较年初预算数增加0.00万元，增长</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，主要原因是本单位2020年度未发生公务车</w:t>
      </w:r>
      <w:r>
        <w:rPr>
          <w:rFonts w:hint="eastAsia" w:ascii="方正仿宋_GBK" w:hAnsi="方正仿宋_GBK" w:eastAsia="方正仿宋_GBK" w:cs="方正仿宋_GBK"/>
          <w:b w:val="0"/>
          <w:bCs w:val="0"/>
          <w:sz w:val="32"/>
          <w:szCs w:val="32"/>
        </w:rPr>
        <w:t>公务车运行维护费</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较上年支出数减少1.70万元，下降100%，主要原因是</w:t>
      </w:r>
      <w:r>
        <w:rPr>
          <w:rFonts w:hint="eastAsia" w:ascii="方正仿宋_GBK" w:hAnsi="方正仿宋_GBK" w:eastAsia="方正仿宋_GBK" w:cs="方正仿宋_GBK"/>
          <w:b w:val="0"/>
          <w:bCs w:val="0"/>
          <w:sz w:val="32"/>
          <w:szCs w:val="32"/>
          <w:lang w:val="en-US" w:eastAsia="zh-CN"/>
        </w:rPr>
        <w:t>2019年</w:t>
      </w:r>
      <w:r>
        <w:rPr>
          <w:rFonts w:hint="eastAsia" w:ascii="方正仿宋_GBK" w:hAnsi="方正仿宋_GBK" w:eastAsia="方正仿宋_GBK" w:cs="方正仿宋_GBK"/>
          <w:b w:val="0"/>
          <w:bCs w:val="0"/>
          <w:sz w:val="32"/>
          <w:szCs w:val="32"/>
          <w:lang w:eastAsia="zh-CN"/>
        </w:rPr>
        <w:t>车辆移交机关事务管理局后单位单位无车辆，本年未发生公务车运行维护费。</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Style w:val="7"/>
          <w:rFonts w:hint="eastAsia" w:ascii="方正仿宋_GBK" w:hAnsi="方正仿宋_GBK" w:eastAsia="方正仿宋_GBK" w:cs="方正仿宋_GBK"/>
          <w:b w:val="0"/>
          <w:bCs w:val="0"/>
          <w:sz w:val="32"/>
          <w:szCs w:val="32"/>
        </w:rPr>
      </w:pPr>
      <w:r>
        <w:rPr>
          <w:rStyle w:val="7"/>
          <w:rFonts w:hint="eastAsia" w:ascii="方正仿宋_GBK" w:hAnsi="方正仿宋_GBK" w:eastAsia="方正仿宋_GBK" w:cs="方正仿宋_GBK"/>
          <w:b w:val="0"/>
          <w:bCs w:val="0"/>
          <w:sz w:val="32"/>
          <w:szCs w:val="32"/>
        </w:rPr>
        <w:t>公务接待费0.00万元，费用支出较年初预算数增加0.00万元，增长0%，主要原因是本单位2020年度未发生公公务接待费。较上年支出数增加0.00万元，增长0%，主要原因本单位2020年度未发生公务接待费。</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hint="eastAsia" w:eastAsia="方正楷体_GBK"/>
          <w:color w:val="auto"/>
          <w:szCs w:val="32"/>
        </w:rPr>
        <w:t>（三）“三公”经费实物量情况</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color w:val="auto"/>
          <w:szCs w:val="32"/>
        </w:rPr>
        <w:t>2020年度本单位</w:t>
      </w:r>
      <w:r>
        <w:rPr>
          <w:rFonts w:hint="eastAsia" w:ascii="方正仿宋_GBK" w:hAnsi="方正仿宋_GBK" w:eastAsia="方正仿宋_GBK" w:cs="方正仿宋_GBK"/>
          <w:sz w:val="32"/>
          <w:szCs w:val="32"/>
        </w:rPr>
        <w:t>2020年度因公出国（境）共计0个团组，0人；公务用车购置0辆，公务车保有量为0辆；国内公务接待0批次0人。2020年</w:t>
      </w:r>
      <w:r>
        <w:rPr>
          <w:rFonts w:hint="eastAsia" w:ascii="方正仿宋_GBK" w:hAnsi="方正仿宋_GBK" w:cs="方正仿宋_GBK"/>
          <w:sz w:val="32"/>
          <w:szCs w:val="32"/>
          <w:lang w:eastAsia="zh-CN"/>
        </w:rPr>
        <w:t>本单位</w:t>
      </w:r>
      <w:r>
        <w:rPr>
          <w:rFonts w:hint="eastAsia" w:ascii="方正仿宋_GBK" w:hAnsi="方正仿宋_GBK" w:eastAsia="方正仿宋_GBK" w:cs="方正仿宋_GBK"/>
          <w:sz w:val="32"/>
          <w:szCs w:val="32"/>
        </w:rPr>
        <w:t>人均接待费0.00元，车均购置费0.00万元，车均维护费0.00万元</w:t>
      </w:r>
      <w:r>
        <w:rPr>
          <w:rFonts w:hint="eastAsia" w:ascii="方正仿宋_GBK"/>
          <w:color w:val="auto"/>
          <w:szCs w:val="32"/>
        </w:rPr>
        <w:t>。</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四、其他需要说明的事项</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eastAsia="方正楷体_GBK"/>
          <w:color w:val="auto"/>
          <w:szCs w:val="32"/>
        </w:rPr>
        <w:t>（一）机关运行经费情况说明。</w:t>
      </w:r>
      <w:r>
        <w:rPr>
          <w:rFonts w:ascii="方正仿宋_GBK"/>
          <w:color w:val="auto"/>
          <w:szCs w:val="32"/>
        </w:rPr>
        <w:t>按照部门决算列报口径，我单位不在机关运行经费统计范围之内。</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本年度会议费支出0.00万元，较上年决算数增加0.00万元 ，增长0%，主要原因是本单位2020年无会议费支出。</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color w:val="auto"/>
          <w:sz w:val="32"/>
          <w:szCs w:val="32"/>
          <w:lang w:val="en-US" w:eastAsia="zh-CN"/>
        </w:rPr>
        <w:t>本年度培训费支出0.00万元，较上年决算数增加0.00万元，增长0%，主要原因是本单位2020年无培训费支出</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eastAsia="方正楷体_GBK"/>
          <w:color w:val="auto"/>
          <w:szCs w:val="32"/>
        </w:rPr>
        <w:t>（二）国有资产占用情况说明。</w:t>
      </w:r>
      <w:r>
        <w:rPr>
          <w:rFonts w:hint="eastAsia" w:ascii="方正仿宋_GBK" w:hAnsi="方正仿宋_GBK" w:eastAsia="方正仿宋_GBK" w:cs="方正仿宋_GBK"/>
          <w:sz w:val="32"/>
          <w:szCs w:val="32"/>
        </w:rPr>
        <w:t>截至2020年12月31日，</w:t>
      </w:r>
      <w:r>
        <w:rPr>
          <w:rFonts w:hint="eastAsia" w:ascii="方正仿宋_GBK" w:hAnsi="方正仿宋_GBK" w:cs="方正仿宋_GBK"/>
          <w:sz w:val="32"/>
          <w:szCs w:val="32"/>
          <w:lang w:eastAsia="zh-CN"/>
        </w:rPr>
        <w:t>本单位</w:t>
      </w:r>
      <w:r>
        <w:rPr>
          <w:rFonts w:hint="eastAsia" w:ascii="方正仿宋_GBK" w:hAnsi="方正仿宋_GBK" w:eastAsia="方正仿宋_GBK" w:cs="方正仿宋_GBK"/>
          <w:sz w:val="32"/>
          <w:szCs w:val="32"/>
        </w:rPr>
        <w:t>共有车辆0辆，其中，副部（省）级及以上领导用车0辆、主要领导干部用车0辆、机要通信用车0辆、应急保障用车0辆、执法执勤用车0辆，特种专业技术用车0辆，离退休干部用车0辆，其他用车0辆</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sz w:val="32"/>
          <w:szCs w:val="32"/>
        </w:rPr>
        <w:t>单价50万元（含）以上通用设备0台（套），单价100万元（含）以上专用设备0台（套）</w:t>
      </w:r>
      <w:r>
        <w:rPr>
          <w:rFonts w:ascii="方正仿宋_GBK"/>
          <w:color w:val="auto"/>
          <w:szCs w:val="32"/>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hint="eastAsia" w:ascii="方正仿宋_GBK"/>
          <w:color w:val="auto"/>
          <w:szCs w:val="32"/>
        </w:rPr>
      </w:pPr>
      <w:r>
        <w:rPr>
          <w:rFonts w:eastAsia="方正楷体_GBK"/>
          <w:color w:val="auto"/>
          <w:szCs w:val="32"/>
        </w:rPr>
        <w:t>（三）政府采购支出情况说明。</w:t>
      </w:r>
      <w:r>
        <w:rPr>
          <w:rFonts w:hint="eastAsia" w:ascii="方正仿宋_GBK" w:hAnsi="方正仿宋_GBK" w:eastAsia="方正仿宋_GBK" w:cs="方正仿宋_GBK"/>
          <w:sz w:val="32"/>
          <w:szCs w:val="32"/>
        </w:rPr>
        <w:t>2020年度</w:t>
      </w:r>
      <w:r>
        <w:rPr>
          <w:rFonts w:hint="eastAsia" w:ascii="方正仿宋_GBK" w:hAnsi="方正仿宋_GBK" w:cs="方正仿宋_GBK"/>
          <w:sz w:val="32"/>
          <w:szCs w:val="32"/>
          <w:lang w:eastAsia="zh-CN"/>
        </w:rPr>
        <w:t>本单位</w:t>
      </w:r>
      <w:r>
        <w:rPr>
          <w:rFonts w:hint="eastAsia" w:ascii="方正仿宋_GBK" w:hAnsi="方正仿宋_GBK" w:eastAsia="方正仿宋_GBK" w:cs="方正仿宋_GBK"/>
          <w:sz w:val="32"/>
          <w:szCs w:val="32"/>
        </w:rPr>
        <w:t>政府采购支出总额2.99万元，其中：政府采购货物支出2.99万元。授予中小企业合同金额2.99万元，占政府采购支出总额的100%，主要用于采购</w:t>
      </w:r>
      <w:r>
        <w:rPr>
          <w:rFonts w:hint="eastAsia" w:ascii="方正仿宋_GBK" w:hAnsi="方正仿宋_GBK" w:cs="方正仿宋_GBK"/>
          <w:sz w:val="32"/>
          <w:szCs w:val="32"/>
          <w:lang w:eastAsia="zh-CN"/>
        </w:rPr>
        <w:t>教学设备用品</w:t>
      </w:r>
      <w:r>
        <w:rPr>
          <w:rFonts w:hint="eastAsia" w:ascii="方正仿宋_GBK"/>
          <w:color w:val="auto"/>
          <w:szCs w:val="32"/>
        </w:rPr>
        <w:t>。</w:t>
      </w:r>
    </w:p>
    <w:p>
      <w:pPr>
        <w:pStyle w:val="4"/>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（四）其他说明</w:t>
      </w:r>
    </w:p>
    <w:p>
      <w:pPr>
        <w:pStyle w:val="4"/>
        <w:keepNext w:val="0"/>
        <w:keepLines w:val="0"/>
        <w:pageBreakBefore w:val="0"/>
        <w:widowControl/>
        <w:numPr>
          <w:ilvl w:val="0"/>
          <w:numId w:val="0"/>
        </w:numPr>
        <w:suppressLineNumbers w:val="0"/>
        <w:kinsoku/>
        <w:wordWrap/>
        <w:overflowPunct/>
        <w:topLinePunct w:val="0"/>
        <w:autoSpaceDN/>
        <w:bidi w:val="0"/>
        <w:adjustRightInd/>
        <w:snapToGrid/>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部门严格按照财政决算批复公开数据进行情况说明，因表格单项数据系统经过四舍五入后保留到两位小数的数字，部分分项数字加减之和与表中原数据合计数存在0.01万元的差异，因单项保留数据无误，故该差异为合理差异，特此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hint="eastAsia" w:ascii="方正仿宋_GBK"/>
          <w:color w:val="auto"/>
          <w:szCs w:val="32"/>
        </w:rPr>
      </w:pP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五、预算绩效管理情况说明</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jc w:val="both"/>
        <w:textAlignment w:val="auto"/>
        <w:rPr>
          <w:rFonts w:eastAsia="方正楷体_GBK"/>
          <w:color w:val="auto"/>
          <w:szCs w:val="32"/>
        </w:rPr>
      </w:pPr>
      <w:r>
        <w:rPr>
          <w:rFonts w:eastAsia="方正楷体_GBK"/>
          <w:color w:val="auto"/>
          <w:szCs w:val="32"/>
        </w:rPr>
        <w:t>（一）预算绩效管理工作开展情况</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ascii="方正仿宋_GBK"/>
          <w:color w:val="auto"/>
          <w:szCs w:val="32"/>
        </w:rPr>
      </w:pPr>
      <w:r>
        <w:rPr>
          <w:rFonts w:hint="eastAsia" w:ascii="方正仿宋_GBK" w:hAnsi="方正仿宋_GBK" w:eastAsia="方正仿宋_GBK" w:cs="方正仿宋_GBK"/>
          <w:color w:val="auto"/>
          <w:kern w:val="0"/>
          <w:sz w:val="32"/>
          <w:szCs w:val="32"/>
        </w:rPr>
        <w:t>根据预算绩效管理要求，我单位对</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个项目开展了绩效自评，其中，以填报</w:t>
      </w:r>
      <w:r>
        <w:rPr>
          <w:rFonts w:hint="eastAsia" w:ascii="方正仿宋_GBK" w:hAnsi="方正仿宋_GBK" w:eastAsia="方正仿宋_GBK" w:cs="方正仿宋_GBK"/>
          <w:color w:val="auto"/>
          <w:kern w:val="0"/>
          <w:sz w:val="32"/>
          <w:szCs w:val="32"/>
          <w:lang w:val="en-US" w:eastAsia="zh-CN"/>
        </w:rPr>
        <w:t>绩效</w:t>
      </w:r>
      <w:r>
        <w:rPr>
          <w:rFonts w:hint="eastAsia" w:ascii="方正仿宋_GBK" w:hAnsi="方正仿宋_GBK" w:eastAsia="方正仿宋_GBK" w:cs="方正仿宋_GBK"/>
          <w:color w:val="auto"/>
          <w:kern w:val="0"/>
          <w:sz w:val="32"/>
          <w:szCs w:val="32"/>
        </w:rPr>
        <w:t>自评表形式开展自评</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项，涉及资金</w:t>
      </w:r>
      <w:r>
        <w:rPr>
          <w:rFonts w:hint="eastAsia" w:ascii="方正仿宋_GBK" w:hAnsi="方正仿宋_GBK" w:cs="方正仿宋_GBK"/>
          <w:color w:val="auto"/>
          <w:kern w:val="0"/>
          <w:sz w:val="32"/>
          <w:szCs w:val="32"/>
          <w:lang w:val="en-US" w:eastAsia="zh-CN"/>
        </w:rPr>
        <w:t>73.28</w:t>
      </w:r>
      <w:r>
        <w:rPr>
          <w:rFonts w:hint="eastAsia" w:ascii="方正仿宋_GBK" w:hAnsi="方正仿宋_GBK" w:eastAsia="方正仿宋_GBK" w:cs="方正仿宋_GBK"/>
          <w:color w:val="auto"/>
          <w:kern w:val="0"/>
          <w:sz w:val="32"/>
          <w:szCs w:val="32"/>
        </w:rPr>
        <w:t>万元；从评价情况来看，</w:t>
      </w:r>
      <w:r>
        <w:rPr>
          <w:rFonts w:hint="eastAsia" w:ascii="方正仿宋_GBK" w:hAnsi="方正仿宋_GBK" w:cs="方正仿宋_GBK"/>
          <w:color w:val="auto"/>
          <w:kern w:val="0"/>
          <w:sz w:val="32"/>
          <w:szCs w:val="32"/>
          <w:lang w:eastAsia="zh-CN"/>
        </w:rPr>
        <w:t>本单位较好地执行了项目管理和控制，达到了预期效果</w:t>
      </w:r>
      <w:r>
        <w:rPr>
          <w:rFonts w:hint="eastAsia" w:ascii="方正仿宋_GBK"/>
          <w:color w:val="auto"/>
          <w:szCs w:val="32"/>
        </w:rPr>
        <w:t>。</w:t>
      </w:r>
      <w:r>
        <w:rPr>
          <w:rFonts w:ascii="方正仿宋_GBK"/>
          <w:color w:val="auto"/>
          <w:szCs w:val="32"/>
        </w:rPr>
        <w:t xml:space="preserve"> </w:t>
      </w:r>
    </w:p>
    <w:p>
      <w:pPr>
        <w:keepNext w:val="0"/>
        <w:keepLines w:val="0"/>
        <w:pageBreakBefore w:val="0"/>
        <w:kinsoku/>
        <w:wordWrap/>
        <w:overflowPunct/>
        <w:topLinePunct w:val="0"/>
        <w:autoSpaceDE/>
        <w:autoSpaceDN/>
        <w:bidi w:val="0"/>
        <w:adjustRightInd/>
        <w:spacing w:line="600" w:lineRule="exact"/>
        <w:jc w:val="both"/>
        <w:textAlignment w:val="auto"/>
        <w:rPr>
          <w:color w:val="auto"/>
          <w:kern w:val="0"/>
          <w:szCs w:val="32"/>
        </w:rPr>
      </w:pPr>
      <w:r>
        <w:rPr>
          <w:rFonts w:eastAsia="方正楷体_GBK"/>
          <w:color w:val="auto"/>
          <w:szCs w:val="32"/>
        </w:rPr>
        <w:t>（二）绩效自评结果</w:t>
      </w:r>
    </w:p>
    <w:tbl>
      <w:tblPr>
        <w:tblStyle w:val="5"/>
        <w:tblW w:w="9531" w:type="dxa"/>
        <w:jc w:val="center"/>
        <w:tblLayout w:type="fixed"/>
        <w:tblCellMar>
          <w:top w:w="0" w:type="dxa"/>
          <w:left w:w="108" w:type="dxa"/>
          <w:bottom w:w="0" w:type="dxa"/>
          <w:right w:w="108" w:type="dxa"/>
        </w:tblCellMar>
      </w:tblPr>
      <w:tblGrid>
        <w:gridCol w:w="853"/>
        <w:gridCol w:w="853"/>
        <w:gridCol w:w="587"/>
        <w:gridCol w:w="587"/>
        <w:gridCol w:w="587"/>
        <w:gridCol w:w="587"/>
        <w:gridCol w:w="1120"/>
        <w:gridCol w:w="997"/>
        <w:gridCol w:w="1120"/>
        <w:gridCol w:w="1120"/>
        <w:gridCol w:w="1120"/>
      </w:tblGrid>
      <w:tr>
        <w:tblPrEx>
          <w:tblCellMar>
            <w:top w:w="0" w:type="dxa"/>
            <w:left w:w="108" w:type="dxa"/>
            <w:bottom w:w="0" w:type="dxa"/>
            <w:right w:w="108" w:type="dxa"/>
          </w:tblCellMar>
        </w:tblPrEx>
        <w:trPr>
          <w:trHeight w:val="1008" w:hRule="atLeast"/>
          <w:jc w:val="center"/>
        </w:trPr>
        <w:tc>
          <w:tcPr>
            <w:tcW w:w="9531" w:type="dxa"/>
            <w:gridSpan w:val="11"/>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atLeast"/>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lang w:val="en-US" w:eastAsia="zh-CN"/>
              </w:rPr>
              <w:t>一般性</w:t>
            </w:r>
            <w:r>
              <w:rPr>
                <w:rFonts w:hint="default" w:ascii="Times New Roman" w:hAnsi="Times New Roman" w:eastAsia="方正小标宋_GBK" w:cs="Times New Roman"/>
                <w:color w:val="000000"/>
                <w:kern w:val="0"/>
                <w:sz w:val="36"/>
                <w:szCs w:val="36"/>
              </w:rPr>
              <w:t>项目绩效自评表样</w:t>
            </w:r>
          </w:p>
        </w:tc>
      </w:tr>
      <w:tr>
        <w:tblPrEx>
          <w:tblCellMar>
            <w:top w:w="0" w:type="dxa"/>
            <w:left w:w="108" w:type="dxa"/>
            <w:bottom w:w="0" w:type="dxa"/>
            <w:right w:w="108" w:type="dxa"/>
          </w:tblCellMar>
        </w:tblPrEx>
        <w:trPr>
          <w:trHeight w:val="601"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项目名称</w:t>
            </w:r>
          </w:p>
        </w:tc>
        <w:tc>
          <w:tcPr>
            <w:tcW w:w="1440"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培训成本支出</w:t>
            </w:r>
            <w:r>
              <w:rPr>
                <w:rFonts w:hint="default" w:ascii="Times New Roman" w:hAnsi="Times New Roman" w:eastAsia="方正仿宋_GBK" w:cs="Times New Roman"/>
                <w:color w:val="000000"/>
                <w:kern w:val="0"/>
                <w:sz w:val="18"/>
                <w:szCs w:val="18"/>
              </w:rPr>
              <w:t>　</w:t>
            </w:r>
          </w:p>
        </w:tc>
        <w:tc>
          <w:tcPr>
            <w:tcW w:w="58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项目编码</w:t>
            </w:r>
          </w:p>
        </w:tc>
        <w:tc>
          <w:tcPr>
            <w:tcW w:w="1174"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001</w:t>
            </w:r>
            <w:r>
              <w:rPr>
                <w:rFonts w:hint="default" w:ascii="Times New Roman" w:hAnsi="Times New Roman" w:eastAsia="方正仿宋_GBK" w:cs="Times New Roman"/>
                <w:color w:val="000000"/>
                <w:kern w:val="0"/>
                <w:sz w:val="18"/>
                <w:szCs w:val="18"/>
              </w:rPr>
              <w:t>　</w:t>
            </w:r>
          </w:p>
        </w:tc>
        <w:tc>
          <w:tcPr>
            <w:tcW w:w="11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自评总分</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（分）</w:t>
            </w:r>
          </w:p>
        </w:tc>
        <w:tc>
          <w:tcPr>
            <w:tcW w:w="4357" w:type="dxa"/>
            <w:gridSpan w:val="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100</w:t>
            </w: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主管部门</w:t>
            </w:r>
          </w:p>
        </w:tc>
        <w:tc>
          <w:tcPr>
            <w:tcW w:w="1440"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重庆市万州区住房和城乡建设委员会　</w:t>
            </w:r>
          </w:p>
        </w:tc>
        <w:tc>
          <w:tcPr>
            <w:tcW w:w="58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w:t>
            </w:r>
            <w:r>
              <w:rPr>
                <w:rFonts w:hint="default" w:ascii="Times New Roman" w:hAnsi="Times New Roman" w:eastAsia="方正仿宋_GBK" w:cs="Times New Roman"/>
                <w:color w:val="000000"/>
                <w:kern w:val="0"/>
                <w:sz w:val="18"/>
                <w:szCs w:val="18"/>
                <w:lang w:val="en-US" w:eastAsia="zh-CN"/>
              </w:rPr>
              <w:t>科</w:t>
            </w:r>
            <w:r>
              <w:rPr>
                <w:rFonts w:hint="default" w:ascii="Times New Roman" w:hAnsi="Times New Roman" w:eastAsia="方正仿宋_GBK" w:cs="Times New Roman"/>
                <w:color w:val="000000"/>
                <w:kern w:val="0"/>
                <w:sz w:val="18"/>
                <w:szCs w:val="18"/>
              </w:rPr>
              <w:t>室</w:t>
            </w:r>
          </w:p>
        </w:tc>
        <w:tc>
          <w:tcPr>
            <w:tcW w:w="1174"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经济建设科</w:t>
            </w: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联系人</w:t>
            </w:r>
          </w:p>
        </w:tc>
        <w:tc>
          <w:tcPr>
            <w:tcW w:w="99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黄健</w:t>
            </w: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联系电话</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02358252383</w:t>
            </w: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项目资金（万元）</w:t>
            </w: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年初预算数</w:t>
            </w:r>
          </w:p>
        </w:tc>
        <w:tc>
          <w:tcPr>
            <w:tcW w:w="1174"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全年（调整）预算数</w:t>
            </w:r>
          </w:p>
        </w:tc>
        <w:tc>
          <w:tcPr>
            <w:tcW w:w="211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全年执行数</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执行率</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执行率</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权重</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执行率得分</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（分）</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年度总金额</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74.62</w:t>
            </w:r>
            <w:r>
              <w:rPr>
                <w:rFonts w:hint="default" w:ascii="Times New Roman" w:hAnsi="Times New Roman" w:eastAsia="方正仿宋_GBK" w:cs="Times New Roman"/>
                <w:color w:val="000000"/>
                <w:kern w:val="0"/>
                <w:sz w:val="18"/>
                <w:szCs w:val="18"/>
              </w:rPr>
              <w:t>　</w:t>
            </w:r>
          </w:p>
        </w:tc>
        <w:tc>
          <w:tcPr>
            <w:tcW w:w="1174"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73.28</w:t>
            </w:r>
            <w:r>
              <w:rPr>
                <w:rFonts w:hint="default" w:ascii="Times New Roman" w:hAnsi="Times New Roman" w:eastAsia="方正仿宋_GBK" w:cs="Times New Roman"/>
                <w:color w:val="000000"/>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73.28</w:t>
            </w: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rPr>
            </w:pPr>
            <w:r>
              <w:rPr>
                <w:rFonts w:hint="eastAsia" w:cs="Times New Roman"/>
                <w:color w:val="000000"/>
                <w:kern w:val="0"/>
                <w:sz w:val="18"/>
                <w:szCs w:val="18"/>
                <w:lang w:val="en-US" w:eastAsia="zh-CN"/>
              </w:rPr>
              <w:t>100</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kern w:val="0"/>
                <w:sz w:val="18"/>
                <w:szCs w:val="18"/>
                <w:lang w:val="en-US"/>
              </w:rPr>
            </w:pPr>
            <w:r>
              <w:rPr>
                <w:rFonts w:hint="eastAsia" w:cs="Times New Roman"/>
                <w:color w:val="000000"/>
                <w:kern w:val="0"/>
                <w:sz w:val="18"/>
                <w:szCs w:val="18"/>
                <w:lang w:val="en-US" w:eastAsia="zh-CN"/>
              </w:rPr>
              <w:t>10</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rPr>
            </w:pPr>
            <w:r>
              <w:rPr>
                <w:rFonts w:hint="eastAsia" w:cs="Times New Roman"/>
                <w:color w:val="000000"/>
                <w:kern w:val="0"/>
                <w:sz w:val="18"/>
                <w:szCs w:val="18"/>
                <w:lang w:val="en-US" w:eastAsia="zh-CN"/>
              </w:rPr>
              <w:t>10</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righ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其中：市级支出</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74"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补助区县</w:t>
            </w:r>
          </w:p>
        </w:tc>
        <w:tc>
          <w:tcPr>
            <w:tcW w:w="117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74"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211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当年绩效目标</w:t>
            </w:r>
          </w:p>
        </w:tc>
        <w:tc>
          <w:tcPr>
            <w:tcW w:w="2027"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年初绩效目标</w:t>
            </w:r>
          </w:p>
        </w:tc>
        <w:tc>
          <w:tcPr>
            <w:tcW w:w="3291" w:type="dxa"/>
            <w:gridSpan w:val="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全年（调整）绩效目标</w:t>
            </w:r>
          </w:p>
        </w:tc>
        <w:tc>
          <w:tcPr>
            <w:tcW w:w="3360"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全年目标实际完成情况</w:t>
            </w:r>
          </w:p>
        </w:tc>
      </w:tr>
      <w:tr>
        <w:tblPrEx>
          <w:tblCellMar>
            <w:top w:w="0" w:type="dxa"/>
            <w:left w:w="108" w:type="dxa"/>
            <w:bottom w:w="0" w:type="dxa"/>
            <w:right w:w="108" w:type="dxa"/>
          </w:tblCellMar>
        </w:tblPrEx>
        <w:trPr>
          <w:trHeight w:val="1052"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2027"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　</w:t>
            </w:r>
            <w:r>
              <w:rPr>
                <w:rFonts w:hint="eastAsia" w:cs="Times New Roman"/>
                <w:color w:val="000000"/>
                <w:kern w:val="0"/>
                <w:sz w:val="18"/>
                <w:szCs w:val="18"/>
                <w:lang w:eastAsia="zh-CN"/>
              </w:rPr>
              <w:t>完成专业技术人员新训三批次，继续教育四批次，</w:t>
            </w:r>
            <w:r>
              <w:rPr>
                <w:rFonts w:hint="eastAsia" w:cs="Times New Roman"/>
                <w:color w:val="000000"/>
                <w:kern w:val="0"/>
                <w:sz w:val="18"/>
                <w:szCs w:val="18"/>
                <w:lang w:val="en-US" w:eastAsia="zh-CN"/>
              </w:rPr>
              <w:t>参训人员素质提高。</w:t>
            </w:r>
          </w:p>
        </w:tc>
        <w:tc>
          <w:tcPr>
            <w:tcW w:w="3291" w:type="dxa"/>
            <w:gridSpan w:val="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完成专业技术人员新训三批次，继续教育四批次。</w:t>
            </w:r>
          </w:p>
        </w:tc>
        <w:tc>
          <w:tcPr>
            <w:tcW w:w="3360"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完成专业技术人员新训三批次，继续教育四批次，</w:t>
            </w:r>
            <w:r>
              <w:rPr>
                <w:rFonts w:hint="eastAsia" w:cs="Times New Roman"/>
                <w:color w:val="000000"/>
                <w:kern w:val="0"/>
                <w:sz w:val="18"/>
                <w:szCs w:val="18"/>
                <w:lang w:val="en-US" w:eastAsia="zh-CN"/>
              </w:rPr>
              <w:t>参训人员素质提高。</w:t>
            </w:r>
          </w:p>
        </w:tc>
      </w:tr>
      <w:tr>
        <w:tblPrEx>
          <w:tblCellMar>
            <w:top w:w="0" w:type="dxa"/>
            <w:left w:w="108" w:type="dxa"/>
            <w:bottom w:w="0" w:type="dxa"/>
            <w:right w:w="108" w:type="dxa"/>
          </w:tblCellMar>
        </w:tblPrEx>
        <w:trPr>
          <w:trHeight w:val="1000" w:hRule="atLeast"/>
          <w:jc w:val="center"/>
        </w:trPr>
        <w:tc>
          <w:tcPr>
            <w:tcW w:w="853" w:type="dxa"/>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绩效指标</w:t>
            </w: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指标名称</w:t>
            </w:r>
          </w:p>
        </w:tc>
        <w:tc>
          <w:tcPr>
            <w:tcW w:w="58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计量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单位</w:t>
            </w:r>
          </w:p>
        </w:tc>
        <w:tc>
          <w:tcPr>
            <w:tcW w:w="58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指标</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性质</w:t>
            </w:r>
          </w:p>
        </w:tc>
        <w:tc>
          <w:tcPr>
            <w:tcW w:w="58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年初</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指标值</w:t>
            </w:r>
          </w:p>
        </w:tc>
        <w:tc>
          <w:tcPr>
            <w:tcW w:w="58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调整</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指标值</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完成值</w:t>
            </w:r>
          </w:p>
        </w:tc>
        <w:tc>
          <w:tcPr>
            <w:tcW w:w="99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得分系数</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指标权重</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（分）</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指标得分</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（分）</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是否核心</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指标</w:t>
            </w:r>
          </w:p>
        </w:tc>
      </w:tr>
      <w:tr>
        <w:tblPrEx>
          <w:tblCellMar>
            <w:top w:w="0" w:type="dxa"/>
            <w:left w:w="108" w:type="dxa"/>
            <w:bottom w:w="0" w:type="dxa"/>
            <w:right w:w="108" w:type="dxa"/>
          </w:tblCellMar>
        </w:tblPrEx>
        <w:trPr>
          <w:trHeight w:val="1230"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专业技术人员培训新训三批次</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批次</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数量指标</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三批次</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三批次</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val="en-US" w:eastAsia="zh-CN"/>
              </w:rPr>
            </w:pPr>
            <w:r>
              <w:rPr>
                <w:rFonts w:hint="eastAsia" w:cs="Times New Roman"/>
                <w:color w:val="000000"/>
                <w:kern w:val="0"/>
                <w:sz w:val="18"/>
                <w:szCs w:val="18"/>
                <w:lang w:eastAsia="zh-CN"/>
              </w:rPr>
              <w:t>三批次</w:t>
            </w:r>
          </w:p>
        </w:tc>
        <w:tc>
          <w:tcPr>
            <w:tcW w:w="99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100%</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30</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rPr>
            </w:pPr>
            <w:r>
              <w:rPr>
                <w:rFonts w:hint="default" w:ascii="Times New Roman" w:hAnsi="Times New Roman" w:eastAsia="方正仿宋_GBK" w:cs="Times New Roman"/>
                <w:color w:val="000000"/>
                <w:kern w:val="0"/>
                <w:sz w:val="18"/>
                <w:szCs w:val="18"/>
              </w:rPr>
              <w:t>　</w:t>
            </w:r>
            <w:r>
              <w:rPr>
                <w:rFonts w:hint="eastAsia" w:cs="Times New Roman"/>
                <w:color w:val="000000"/>
                <w:kern w:val="0"/>
                <w:sz w:val="18"/>
                <w:szCs w:val="18"/>
                <w:lang w:val="en-US" w:eastAsia="zh-CN"/>
              </w:rPr>
              <w:t>30</w:t>
            </w:r>
          </w:p>
        </w:tc>
        <w:tc>
          <w:tcPr>
            <w:tcW w:w="11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继续教育四批次</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批次</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数量指标</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四批次</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四批次</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四批次</w:t>
            </w:r>
          </w:p>
        </w:tc>
        <w:tc>
          <w:tcPr>
            <w:tcW w:w="99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100%</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rPr>
            </w:pPr>
            <w:r>
              <w:rPr>
                <w:rFonts w:hint="eastAsia" w:cs="Times New Roman"/>
                <w:color w:val="000000"/>
                <w:kern w:val="0"/>
                <w:sz w:val="18"/>
                <w:szCs w:val="18"/>
                <w:lang w:val="en-US" w:eastAsia="zh-CN"/>
              </w:rPr>
              <w:t>30</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rPr>
            </w:pPr>
            <w:r>
              <w:rPr>
                <w:rFonts w:hint="eastAsia" w:cs="Times New Roman"/>
                <w:color w:val="000000"/>
                <w:kern w:val="0"/>
                <w:sz w:val="18"/>
                <w:szCs w:val="18"/>
                <w:lang w:val="en-US" w:eastAsia="zh-CN"/>
              </w:rPr>
              <w:t>30</w:t>
            </w:r>
          </w:p>
        </w:tc>
        <w:tc>
          <w:tcPr>
            <w:tcW w:w="11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参训人员素质提高</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社会效益</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满意</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满意</w:t>
            </w:r>
            <w:r>
              <w:rPr>
                <w:rFonts w:hint="default" w:ascii="Times New Roman" w:hAnsi="Times New Roman" w:eastAsia="方正仿宋_GBK" w:cs="Times New Roman"/>
                <w:color w:val="000000"/>
                <w:kern w:val="0"/>
                <w:sz w:val="18"/>
                <w:szCs w:val="18"/>
              </w:rPr>
              <w:t>　</w:t>
            </w:r>
          </w:p>
        </w:tc>
        <w:tc>
          <w:tcPr>
            <w:tcW w:w="99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r>
              <w:rPr>
                <w:rFonts w:hint="eastAsia" w:cs="Times New Roman"/>
                <w:color w:val="000000"/>
                <w:kern w:val="0"/>
                <w:sz w:val="18"/>
                <w:szCs w:val="18"/>
                <w:lang w:val="en-US" w:eastAsia="zh-CN"/>
              </w:rPr>
              <w:t>100%</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10</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　</w:t>
            </w:r>
            <w:r>
              <w:rPr>
                <w:rFonts w:hint="eastAsia" w:cs="Times New Roman"/>
                <w:color w:val="000000"/>
                <w:kern w:val="0"/>
                <w:sz w:val="18"/>
                <w:szCs w:val="18"/>
                <w:lang w:val="en-US" w:eastAsia="zh-CN"/>
              </w:rPr>
              <w:t>10</w:t>
            </w:r>
          </w:p>
        </w:tc>
        <w:tc>
          <w:tcPr>
            <w:tcW w:w="11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523" w:hRule="atLeast"/>
          <w:jc w:val="center"/>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p>
        </w:tc>
        <w:tc>
          <w:tcPr>
            <w:tcW w:w="853" w:type="dxa"/>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eastAsia="zh-CN"/>
              </w:rPr>
              <w:t>学员满意率</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000000"/>
                <w:kern w:val="0"/>
                <w:sz w:val="18"/>
                <w:szCs w:val="18"/>
                <w:lang w:eastAsia="zh-CN"/>
              </w:rPr>
            </w:pPr>
            <w:r>
              <w:rPr>
                <w:rFonts w:hint="eastAsia" w:cs="Times New Roman"/>
                <w:color w:val="000000"/>
                <w:kern w:val="0"/>
                <w:sz w:val="18"/>
                <w:szCs w:val="18"/>
                <w:lang w:eastAsia="zh-CN"/>
              </w:rPr>
              <w:t>满意度指标</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ascii="宋体" w:hAnsi="宋体" w:eastAsia="宋体" w:cs="宋体"/>
                <w:color w:val="000000"/>
                <w:kern w:val="0"/>
                <w:sz w:val="18"/>
                <w:szCs w:val="18"/>
              </w:rPr>
              <w:t>≥</w:t>
            </w:r>
            <w:r>
              <w:rPr>
                <w:rFonts w:hint="eastAsia" w:ascii="方正仿宋_GBK" w:hAnsi="方正仿宋_GBK" w:cs="方正仿宋_GBK"/>
                <w:color w:val="000000"/>
                <w:kern w:val="0"/>
                <w:sz w:val="18"/>
                <w:szCs w:val="18"/>
                <w:lang w:val="en-US" w:eastAsia="zh-CN"/>
              </w:rPr>
              <w:t>80%</w:t>
            </w:r>
            <w:r>
              <w:rPr>
                <w:rFonts w:hint="default" w:ascii="Times New Roman" w:hAnsi="Times New Roman" w:eastAsia="方正仿宋_GBK" w:cs="Times New Roman"/>
                <w:color w:val="000000"/>
                <w:kern w:val="0"/>
                <w:sz w:val="18"/>
                <w:szCs w:val="18"/>
              </w:rPr>
              <w:t>　</w:t>
            </w:r>
          </w:p>
        </w:tc>
        <w:tc>
          <w:tcPr>
            <w:tcW w:w="58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100%</w:t>
            </w:r>
            <w:r>
              <w:rPr>
                <w:rFonts w:hint="default" w:ascii="Times New Roman" w:hAnsi="Times New Roman" w:eastAsia="方正仿宋_GBK" w:cs="Times New Roman"/>
                <w:color w:val="000000"/>
                <w:kern w:val="0"/>
                <w:sz w:val="18"/>
                <w:szCs w:val="18"/>
              </w:rPr>
              <w:t>　</w:t>
            </w:r>
          </w:p>
        </w:tc>
        <w:tc>
          <w:tcPr>
            <w:tcW w:w="997"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100%</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　</w:t>
            </w:r>
            <w:r>
              <w:rPr>
                <w:rFonts w:hint="eastAsia" w:cs="Times New Roman"/>
                <w:color w:val="000000"/>
                <w:kern w:val="0"/>
                <w:sz w:val="18"/>
                <w:szCs w:val="18"/>
                <w:lang w:val="en-US" w:eastAsia="zh-CN"/>
              </w:rPr>
              <w:t>20</w:t>
            </w:r>
          </w:p>
        </w:tc>
        <w:tc>
          <w:tcPr>
            <w:tcW w:w="1120" w:type="dxa"/>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eastAsia" w:cs="Times New Roman"/>
                <w:color w:val="000000"/>
                <w:kern w:val="0"/>
                <w:sz w:val="18"/>
                <w:szCs w:val="18"/>
                <w:lang w:val="en-US" w:eastAsia="zh-CN"/>
              </w:rPr>
              <w:t>20</w:t>
            </w:r>
            <w:r>
              <w:rPr>
                <w:rFonts w:hint="default" w:ascii="Times New Roman" w:hAnsi="Times New Roman" w:eastAsia="方正仿宋_GBK" w:cs="Times New Roman"/>
                <w:color w:val="000000"/>
                <w:kern w:val="0"/>
                <w:sz w:val="18"/>
                <w:szCs w:val="18"/>
              </w:rPr>
              <w:t>　</w:t>
            </w:r>
          </w:p>
        </w:tc>
        <w:tc>
          <w:tcPr>
            <w:tcW w:w="11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8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说明</w:t>
            </w:r>
          </w:p>
        </w:tc>
        <w:tc>
          <w:tcPr>
            <w:tcW w:w="8678" w:type="dxa"/>
            <w:gridSpan w:val="10"/>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bl>
    <w:p>
      <w:pPr>
        <w:keepNext w:val="0"/>
        <w:keepLines w:val="0"/>
        <w:pageBreakBefore w:val="0"/>
        <w:kinsoku/>
        <w:wordWrap/>
        <w:overflowPunct/>
        <w:topLinePunct w:val="0"/>
        <w:autoSpaceDE/>
        <w:autoSpaceDN/>
        <w:bidi w:val="0"/>
        <w:adjustRightInd/>
        <w:spacing w:line="600" w:lineRule="exact"/>
        <w:jc w:val="both"/>
        <w:textAlignment w:val="auto"/>
        <w:rPr>
          <w:color w:val="auto"/>
          <w:kern w:val="0"/>
          <w:szCs w:val="32"/>
        </w:rPr>
      </w:pP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六、专业名词解释</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楷体_GBK" w:hAnsi="微软雅黑" w:eastAsia="方正楷体_GBK"/>
          <w:color w:val="auto"/>
          <w:sz w:val="32"/>
          <w:szCs w:val="32"/>
        </w:rPr>
      </w:pPr>
      <w:r>
        <w:rPr>
          <w:rFonts w:hint="eastAsia" w:ascii="方正楷体_GBK" w:hAnsi="微软雅黑" w:eastAsia="方正楷体_GBK"/>
          <w:color w:val="auto"/>
          <w:sz w:val="32"/>
          <w:szCs w:val="32"/>
        </w:rPr>
        <w:t>（一）财政拨款收入：</w:t>
      </w:r>
      <w:r>
        <w:rPr>
          <w:rFonts w:hint="eastAsia" w:ascii="方正仿宋_GBK" w:hAnsi="微软雅黑" w:eastAsia="方正仿宋_GBK"/>
          <w:color w:val="auto"/>
          <w:sz w:val="32"/>
          <w:szCs w:val="32"/>
        </w:rPr>
        <w:t>指本年度从本级财政部门取得的财政拨款，包括一般公共预算财政拨款和政府性基金预算财政拨款。</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楷体_GBK" w:hAnsi="微软雅黑" w:eastAsia="方正楷体_GBK"/>
          <w:color w:val="auto"/>
          <w:sz w:val="32"/>
          <w:szCs w:val="32"/>
        </w:rPr>
      </w:pPr>
      <w:r>
        <w:rPr>
          <w:rFonts w:hint="eastAsia" w:ascii="方正楷体_GBK" w:hAnsi="微软雅黑" w:eastAsia="方正楷体_GBK"/>
          <w:color w:val="auto"/>
          <w:sz w:val="32"/>
          <w:szCs w:val="32"/>
        </w:rPr>
        <w:t>（二）事业收入</w:t>
      </w:r>
      <w:r>
        <w:rPr>
          <w:rFonts w:hint="eastAsia"/>
          <w:b/>
          <w:bCs/>
          <w:color w:val="auto"/>
        </w:rPr>
        <w:t>：</w:t>
      </w:r>
      <w:r>
        <w:rPr>
          <w:rFonts w:hint="eastAsia" w:ascii="方正仿宋_GBK" w:hAnsi="微软雅黑" w:eastAsia="方正仿宋_GBK"/>
          <w:color w:val="auto"/>
          <w:sz w:val="32"/>
          <w:szCs w:val="32"/>
        </w:rPr>
        <w:t>指事业单位开展专业业务活动及其辅助活动取得的现金流入；事业单位收到的财政专户实际核拨的教育收费等资金在此反映。</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Style w:val="7"/>
          <w:rFonts w:hint="eastAsia" w:ascii="方正仿宋_GBK" w:hAnsi="微软雅黑" w:eastAsia="方正仿宋_GBK"/>
          <w:b w:val="0"/>
          <w:color w:val="auto"/>
          <w:sz w:val="32"/>
          <w:szCs w:val="32"/>
        </w:rPr>
        <w:t>（三）</w:t>
      </w:r>
      <w:r>
        <w:rPr>
          <w:rFonts w:hint="eastAsia" w:ascii="方正楷体_GBK" w:hAnsi="微软雅黑" w:eastAsia="方正楷体_GBK"/>
          <w:color w:val="auto"/>
          <w:sz w:val="32"/>
          <w:szCs w:val="32"/>
        </w:rPr>
        <w:t>经营收入</w:t>
      </w:r>
      <w:r>
        <w:rPr>
          <w:rFonts w:hint="eastAsia" w:ascii="方正仿宋_GBK" w:hAnsi="微软雅黑" w:eastAsia="方正仿宋_GBK"/>
          <w:color w:val="auto"/>
          <w:sz w:val="32"/>
          <w:szCs w:val="32"/>
        </w:rPr>
        <w:t>：指事业单位在专业业务活动及其辅助活动之外开展非独立核算经营活动取得的现金流入。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    （四）其他收入</w:t>
      </w:r>
      <w:r>
        <w:rPr>
          <w:rFonts w:hint="eastAsia"/>
          <w:b/>
          <w:bCs/>
          <w:color w:val="auto"/>
        </w:rPr>
        <w:t>：</w:t>
      </w:r>
      <w:r>
        <w:rPr>
          <w:rFonts w:hint="eastAsia" w:ascii="方正仿宋_GBK" w:hAnsi="微软雅黑" w:eastAsia="方正仿宋_GBK"/>
          <w:color w:val="auto"/>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Style w:val="7"/>
          <w:rFonts w:hint="eastAsia" w:ascii="方正楷体_GBK" w:hAnsi="方正楷体_GBK" w:eastAsia="方正楷体_GBK" w:cs="方正楷体_GBK"/>
          <w:b w:val="0"/>
          <w:color w:val="auto"/>
          <w:sz w:val="32"/>
          <w:szCs w:val="32"/>
        </w:rPr>
        <w:t>（五）</w:t>
      </w:r>
      <w:r>
        <w:rPr>
          <w:rFonts w:hint="eastAsia" w:ascii="方正楷体_GBK" w:hAnsi="微软雅黑" w:eastAsia="方正楷体_GBK"/>
          <w:color w:val="auto"/>
          <w:sz w:val="32"/>
          <w:szCs w:val="32"/>
        </w:rPr>
        <w:t>用事业基金弥补收支差额</w:t>
      </w:r>
      <w:r>
        <w:rPr>
          <w:rFonts w:hint="eastAsia"/>
          <w:b/>
          <w:bCs/>
          <w:color w:val="auto"/>
        </w:rPr>
        <w:t>：</w:t>
      </w:r>
      <w:r>
        <w:rPr>
          <w:rFonts w:hint="eastAsia" w:ascii="方正仿宋_GBK" w:hAnsi="微软雅黑" w:eastAsia="方正仿宋_GBK"/>
          <w:color w:val="auto"/>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楷体_GBK" w:hAnsi="微软雅黑" w:eastAsia="方正楷体_GBK"/>
          <w:color w:val="auto"/>
          <w:sz w:val="32"/>
          <w:szCs w:val="32"/>
        </w:rPr>
      </w:pPr>
      <w:r>
        <w:rPr>
          <w:rFonts w:hint="eastAsia" w:ascii="方正楷体_GBK" w:hAnsi="微软雅黑" w:eastAsia="方正楷体_GBK"/>
          <w:color w:val="auto"/>
          <w:sz w:val="32"/>
          <w:szCs w:val="32"/>
        </w:rPr>
        <w:t>（六）年初结转和结余：</w:t>
      </w:r>
      <w:r>
        <w:rPr>
          <w:rFonts w:hint="eastAsia" w:ascii="方正仿宋_GBK" w:hAnsi="微软雅黑" w:eastAsia="方正仿宋_GBK"/>
          <w:color w:val="auto"/>
          <w:sz w:val="32"/>
          <w:szCs w:val="32"/>
        </w:rPr>
        <w:t>指单位上年结转本年使用的基本支出结转、项目支出结转和结余、经营结余。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方正楷体_GBK" w:hAnsi="微软雅黑" w:eastAsia="方正楷体_GBK"/>
          <w:color w:val="auto"/>
          <w:sz w:val="32"/>
          <w:szCs w:val="32"/>
        </w:rPr>
      </w:pPr>
      <w:r>
        <w:rPr>
          <w:rFonts w:hint="eastAsia" w:ascii="方正楷体_GBK" w:hAnsi="微软雅黑" w:eastAsia="方正楷体_GBK"/>
          <w:color w:val="auto"/>
          <w:sz w:val="32"/>
          <w:szCs w:val="32"/>
        </w:rPr>
        <w:t>（七）结余分配</w:t>
      </w:r>
      <w:r>
        <w:rPr>
          <w:rFonts w:hint="eastAsia"/>
          <w:b/>
          <w:bCs/>
          <w:color w:val="auto"/>
        </w:rPr>
        <w:t>：</w:t>
      </w:r>
      <w:r>
        <w:rPr>
          <w:rFonts w:hint="eastAsia" w:ascii="方正仿宋_GBK" w:hAnsi="微软雅黑" w:eastAsia="方正仿宋_GBK"/>
          <w:color w:val="auto"/>
          <w:sz w:val="32"/>
          <w:szCs w:val="32"/>
        </w:rPr>
        <w:t>指单位按照国家有关规定，缴纳所得税、提取专用基金、转入事业基金等当年结余的分配情况。</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（八）年末结转和结余</w:t>
      </w:r>
      <w:r>
        <w:rPr>
          <w:rFonts w:hint="eastAsia"/>
          <w:b/>
          <w:bCs/>
          <w:color w:val="auto"/>
        </w:rPr>
        <w:t>：</w:t>
      </w:r>
      <w:r>
        <w:rPr>
          <w:rFonts w:hint="eastAsia" w:ascii="方正仿宋_GBK" w:hAnsi="微软雅黑" w:eastAsia="方正仿宋_GBK"/>
          <w:color w:val="auto"/>
          <w:sz w:val="32"/>
          <w:szCs w:val="32"/>
        </w:rPr>
        <w:t>指单位结转下年的基本支出结转、项目支出结转和结余、经营结余。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（九）基本支出</w:t>
      </w:r>
      <w:r>
        <w:rPr>
          <w:rStyle w:val="7"/>
          <w:rFonts w:hint="eastAsia" w:ascii="方正楷体_GBK" w:hAnsi="微软雅黑" w:eastAsia="方正楷体_GBK"/>
          <w:color w:val="auto"/>
          <w:sz w:val="32"/>
          <w:szCs w:val="32"/>
        </w:rPr>
        <w:t>：</w:t>
      </w:r>
      <w:r>
        <w:rPr>
          <w:rFonts w:hint="eastAsia" w:ascii="方正仿宋_GBK" w:hAnsi="微软雅黑" w:eastAsia="方正仿宋_GBK"/>
          <w:color w:val="auto"/>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bookmarkStart w:id="0" w:name="_GoBack"/>
      <w:r>
        <w:rPr>
          <w:rStyle w:val="7"/>
          <w:rFonts w:hint="eastAsia" w:ascii="方正楷体_GBK" w:hAnsi="方正楷体_GBK" w:eastAsia="方正楷体_GBK" w:cs="方正楷体_GBK"/>
          <w:b w:val="0"/>
          <w:color w:val="auto"/>
          <w:sz w:val="32"/>
          <w:szCs w:val="32"/>
        </w:rPr>
        <w:t>（十）</w:t>
      </w:r>
      <w:bookmarkEnd w:id="0"/>
      <w:r>
        <w:rPr>
          <w:rFonts w:hint="eastAsia" w:ascii="方正楷体_GBK" w:hAnsi="微软雅黑" w:eastAsia="方正楷体_GBK"/>
          <w:color w:val="auto"/>
          <w:sz w:val="32"/>
          <w:szCs w:val="32"/>
        </w:rPr>
        <w:t>项目支出</w:t>
      </w:r>
      <w:r>
        <w:rPr>
          <w:rStyle w:val="7"/>
          <w:rFonts w:hint="eastAsia" w:ascii="方正楷体_GBK" w:hAnsi="微软雅黑" w:eastAsia="方正楷体_GBK"/>
          <w:color w:val="auto"/>
          <w:sz w:val="32"/>
          <w:szCs w:val="32"/>
        </w:rPr>
        <w:t>：</w:t>
      </w:r>
      <w:r>
        <w:rPr>
          <w:rFonts w:hint="eastAsia" w:ascii="方正仿宋_GBK" w:hAnsi="微软雅黑" w:eastAsia="方正仿宋_GBK"/>
          <w:color w:val="auto"/>
          <w:sz w:val="32"/>
          <w:szCs w:val="32"/>
        </w:rPr>
        <w:t>指在基本支出之外为完成特定行政任务和事业发展目标所发生的支出。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（十一）经营支出：</w:t>
      </w:r>
      <w:r>
        <w:rPr>
          <w:rFonts w:hint="eastAsia" w:ascii="方正仿宋_GBK" w:hAnsi="微软雅黑" w:eastAsia="方正仿宋_GBK"/>
          <w:color w:val="auto"/>
          <w:sz w:val="32"/>
          <w:szCs w:val="32"/>
        </w:rPr>
        <w:t>指事业单位在专业业务活动及其辅助活动之外开展非独立核算经营活动发生的支出。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Style w:val="7"/>
          <w:rFonts w:hint="eastAsia" w:ascii="方正楷体_GBK" w:hAnsi="方正楷体_GBK" w:eastAsia="方正楷体_GBK" w:cs="方正楷体_GBK"/>
          <w:b w:val="0"/>
          <w:color w:val="auto"/>
          <w:sz w:val="32"/>
          <w:szCs w:val="32"/>
        </w:rPr>
        <w:t>（十二）</w:t>
      </w:r>
      <w:r>
        <w:rPr>
          <w:rFonts w:hint="eastAsia" w:ascii="方正楷体_GBK" w:hAnsi="方正楷体_GBK" w:eastAsia="方正楷体_GBK" w:cs="方正楷体_GBK"/>
          <w:color w:val="auto"/>
          <w:sz w:val="32"/>
          <w:szCs w:val="32"/>
        </w:rPr>
        <w:t xml:space="preserve"> “三公”经费</w:t>
      </w:r>
      <w:r>
        <w:rPr>
          <w:rFonts w:hint="eastAsia" w:ascii="方正楷体_GBK" w:hAnsi="方正楷体_GBK" w:eastAsia="方正楷体_GBK" w:cs="方正楷体_GBK"/>
          <w:b/>
          <w:bCs/>
          <w:color w:val="auto"/>
          <w:sz w:val="32"/>
          <w:szCs w:val="32"/>
        </w:rPr>
        <w:t>：</w:t>
      </w:r>
      <w:r>
        <w:rPr>
          <w:rFonts w:hint="eastAsia" w:ascii="方正仿宋_GBK" w:hAnsi="微软雅黑" w:eastAsia="方正仿宋_GBK"/>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（十三）机关运行经费</w:t>
      </w:r>
      <w:r>
        <w:rPr>
          <w:rStyle w:val="7"/>
          <w:rFonts w:hint="eastAsia" w:ascii="方正楷体_GBK" w:hAnsi="微软雅黑" w:eastAsia="方正楷体_GBK"/>
          <w:color w:val="auto"/>
          <w:sz w:val="32"/>
          <w:szCs w:val="32"/>
        </w:rPr>
        <w:t>：</w:t>
      </w:r>
      <w:r>
        <w:rPr>
          <w:rFonts w:hint="eastAsia" w:ascii="方正仿宋_GBK" w:hAnsi="微软雅黑" w:eastAsia="方正仿宋_GBK"/>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ascii="微软雅黑" w:hAnsi="微软雅黑" w:eastAsia="微软雅黑"/>
          <w:color w:val="auto"/>
        </w:rPr>
      </w:pPr>
      <w:r>
        <w:rPr>
          <w:rFonts w:hint="eastAsia" w:ascii="方正楷体_GBK" w:hAnsi="微软雅黑" w:eastAsia="方正楷体_GBK"/>
          <w:color w:val="auto"/>
          <w:sz w:val="32"/>
          <w:szCs w:val="32"/>
        </w:rPr>
        <w:t>    （十四）工资福利支出（支出经济分类科目类级）</w:t>
      </w:r>
      <w:r>
        <w:rPr>
          <w:rFonts w:hint="eastAsia" w:ascii="方正仿宋_GBK" w:hAnsi="微软雅黑" w:eastAsia="方正仿宋_GBK"/>
          <w:color w:val="auto"/>
          <w:sz w:val="32"/>
          <w:szCs w:val="32"/>
        </w:rPr>
        <w:t>：反映单位开支的在职职工和编制外长期聘用人员的各类劳动报酬，以及为上述人员缴纳的各项社会保险费等。</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ascii="微软雅黑" w:hAnsi="微软雅黑" w:eastAsia="微软雅黑"/>
          <w:color w:val="auto"/>
        </w:rPr>
      </w:pPr>
      <w:r>
        <w:rPr>
          <w:rStyle w:val="7"/>
          <w:rFonts w:hint="eastAsia" w:ascii="方正仿宋_GBK" w:hAnsi="微软雅黑" w:eastAsia="方正仿宋_GBK"/>
          <w:color w:val="auto"/>
          <w:sz w:val="32"/>
          <w:szCs w:val="32"/>
        </w:rPr>
        <w:t> </w:t>
      </w:r>
      <w:r>
        <w:rPr>
          <w:rFonts w:hint="eastAsia" w:ascii="方正楷体_GBK" w:hAnsi="微软雅黑" w:eastAsia="方正楷体_GBK"/>
          <w:color w:val="auto"/>
          <w:sz w:val="32"/>
          <w:szCs w:val="32"/>
        </w:rPr>
        <w:t>   （十五）商品和服务支出（支出经济分类科目类级）</w:t>
      </w:r>
      <w:r>
        <w:rPr>
          <w:rStyle w:val="7"/>
          <w:rFonts w:hint="eastAsia" w:ascii="方正楷体_GBK" w:hAnsi="微软雅黑" w:eastAsia="方正楷体_GBK"/>
          <w:color w:val="auto"/>
          <w:sz w:val="32"/>
          <w:szCs w:val="32"/>
        </w:rPr>
        <w:t>：</w:t>
      </w:r>
      <w:r>
        <w:rPr>
          <w:rFonts w:hint="eastAsia" w:ascii="方正仿宋_GBK" w:hAnsi="微软雅黑" w:eastAsia="方正仿宋_GBK"/>
          <w:color w:val="auto"/>
          <w:sz w:val="32"/>
          <w:szCs w:val="32"/>
        </w:rPr>
        <w:t>反映单位购买商品和服务的支出（不包括用于购置固定资产的支出、战略性和应急储备支出）。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ascii="微软雅黑" w:hAnsi="微软雅黑" w:eastAsia="微软雅黑"/>
          <w:color w:val="auto"/>
        </w:rPr>
      </w:pPr>
      <w:r>
        <w:rPr>
          <w:rStyle w:val="7"/>
          <w:rFonts w:hint="eastAsia" w:ascii="方正仿宋_GBK" w:hAnsi="微软雅黑" w:eastAsia="方正仿宋_GBK"/>
          <w:color w:val="auto"/>
          <w:sz w:val="32"/>
          <w:szCs w:val="32"/>
        </w:rPr>
        <w:t> </w:t>
      </w:r>
      <w:r>
        <w:rPr>
          <w:rFonts w:hint="eastAsia" w:ascii="方正楷体_GBK" w:hAnsi="微软雅黑" w:eastAsia="方正楷体_GBK"/>
          <w:color w:val="auto"/>
          <w:sz w:val="32"/>
          <w:szCs w:val="32"/>
        </w:rPr>
        <w:t>   （十六）对个人和家庭的补助（支出经济分类科目类级）</w:t>
      </w:r>
      <w:r>
        <w:rPr>
          <w:rFonts w:hint="eastAsia" w:ascii="方正仿宋_GBK" w:hAnsi="微软雅黑" w:eastAsia="方正仿宋_GBK"/>
          <w:color w:val="auto"/>
          <w:sz w:val="32"/>
          <w:szCs w:val="32"/>
        </w:rPr>
        <w:t>：反映用于对个人和家庭的补助支出。</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outlineLvl w:val="0"/>
        <w:rPr>
          <w:rFonts w:eastAsia="方正黑体_GBK"/>
          <w:color w:val="auto"/>
          <w:szCs w:val="32"/>
        </w:rPr>
      </w:pPr>
      <w:r>
        <w:rPr>
          <w:rFonts w:eastAsia="方正黑体_GBK"/>
          <w:color w:val="auto"/>
          <w:szCs w:val="32"/>
        </w:rPr>
        <w:t>七、决算公开联系方式</w:t>
      </w:r>
    </w:p>
    <w:p>
      <w:pPr>
        <w:pStyle w:val="8"/>
        <w:keepNext w:val="0"/>
        <w:keepLines w:val="0"/>
        <w:pageBreakBefore w:val="0"/>
        <w:tabs>
          <w:tab w:val="center" w:pos="4153"/>
          <w:tab w:val="left" w:pos="7275"/>
        </w:tabs>
        <w:kinsoku/>
        <w:wordWrap/>
        <w:overflowPunct/>
        <w:topLinePunct w:val="0"/>
        <w:autoSpaceDE/>
        <w:autoSpaceDN/>
        <w:bidi w:val="0"/>
        <w:adjustRightInd/>
        <w:spacing w:line="600" w:lineRule="exact"/>
        <w:ind w:firstLine="640"/>
        <w:jc w:val="both"/>
        <w:textAlignment w:val="auto"/>
        <w:rPr>
          <w:rFonts w:hint="default" w:eastAsia="方正仿宋_GBK"/>
          <w:color w:val="auto"/>
          <w:szCs w:val="32"/>
          <w:lang w:val="en-US" w:eastAsia="zh-CN"/>
        </w:rPr>
      </w:pPr>
      <w:r>
        <w:rPr>
          <w:rFonts w:hint="eastAsia" w:ascii="方正仿宋_GBK"/>
          <w:color w:val="auto"/>
          <w:szCs w:val="32"/>
        </w:rPr>
        <w:t>本单位决算公开信息反馈和联系方式：023-58</w:t>
      </w:r>
      <w:r>
        <w:rPr>
          <w:rFonts w:hint="eastAsia" w:ascii="方正仿宋_GBK"/>
          <w:color w:val="auto"/>
          <w:szCs w:val="32"/>
          <w:lang w:val="en-US" w:eastAsia="zh-CN"/>
        </w:rPr>
        <w:t>252383</w:t>
      </w:r>
    </w:p>
    <w:sectPr>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0047D"/>
    <w:rsid w:val="0001196A"/>
    <w:rsid w:val="00022269"/>
    <w:rsid w:val="00027475"/>
    <w:rsid w:val="00034BDF"/>
    <w:rsid w:val="000A123D"/>
    <w:rsid w:val="000A2980"/>
    <w:rsid w:val="000A3F78"/>
    <w:rsid w:val="000C266C"/>
    <w:rsid w:val="000D34CC"/>
    <w:rsid w:val="000F15CB"/>
    <w:rsid w:val="00105B82"/>
    <w:rsid w:val="00136BF4"/>
    <w:rsid w:val="00145CE4"/>
    <w:rsid w:val="00155960"/>
    <w:rsid w:val="001568FD"/>
    <w:rsid w:val="0015752E"/>
    <w:rsid w:val="00177F4A"/>
    <w:rsid w:val="00184E13"/>
    <w:rsid w:val="001929CF"/>
    <w:rsid w:val="001C0B99"/>
    <w:rsid w:val="001C6D54"/>
    <w:rsid w:val="001D0B1F"/>
    <w:rsid w:val="001D19A0"/>
    <w:rsid w:val="001E4CFE"/>
    <w:rsid w:val="001F11FB"/>
    <w:rsid w:val="00201F37"/>
    <w:rsid w:val="0020242D"/>
    <w:rsid w:val="00211641"/>
    <w:rsid w:val="00222E62"/>
    <w:rsid w:val="002350C2"/>
    <w:rsid w:val="0024401D"/>
    <w:rsid w:val="00250F79"/>
    <w:rsid w:val="002540F7"/>
    <w:rsid w:val="00281CF3"/>
    <w:rsid w:val="00292820"/>
    <w:rsid w:val="002A2478"/>
    <w:rsid w:val="002A2ED2"/>
    <w:rsid w:val="002B1729"/>
    <w:rsid w:val="002D2E6E"/>
    <w:rsid w:val="002E2E11"/>
    <w:rsid w:val="002F6308"/>
    <w:rsid w:val="003103CE"/>
    <w:rsid w:val="00316CD1"/>
    <w:rsid w:val="00321343"/>
    <w:rsid w:val="00346D46"/>
    <w:rsid w:val="003920A0"/>
    <w:rsid w:val="00396823"/>
    <w:rsid w:val="003B586A"/>
    <w:rsid w:val="003B7A86"/>
    <w:rsid w:val="003F2313"/>
    <w:rsid w:val="00425380"/>
    <w:rsid w:val="00432509"/>
    <w:rsid w:val="0046344B"/>
    <w:rsid w:val="00491F66"/>
    <w:rsid w:val="004A6965"/>
    <w:rsid w:val="004C0E7F"/>
    <w:rsid w:val="004E3670"/>
    <w:rsid w:val="00502911"/>
    <w:rsid w:val="00514789"/>
    <w:rsid w:val="00530A7F"/>
    <w:rsid w:val="00560250"/>
    <w:rsid w:val="0059081A"/>
    <w:rsid w:val="00596D68"/>
    <w:rsid w:val="005C4619"/>
    <w:rsid w:val="005D02FC"/>
    <w:rsid w:val="005E0F8B"/>
    <w:rsid w:val="005E3AE9"/>
    <w:rsid w:val="005F3E2A"/>
    <w:rsid w:val="00600919"/>
    <w:rsid w:val="0062528F"/>
    <w:rsid w:val="0062796B"/>
    <w:rsid w:val="00660D90"/>
    <w:rsid w:val="006A69DF"/>
    <w:rsid w:val="006B5989"/>
    <w:rsid w:val="006F288D"/>
    <w:rsid w:val="006F2D91"/>
    <w:rsid w:val="007024FB"/>
    <w:rsid w:val="00714083"/>
    <w:rsid w:val="00716DCB"/>
    <w:rsid w:val="0072771C"/>
    <w:rsid w:val="00735AFD"/>
    <w:rsid w:val="00752214"/>
    <w:rsid w:val="007558BA"/>
    <w:rsid w:val="007A0101"/>
    <w:rsid w:val="007A09EE"/>
    <w:rsid w:val="007D46BA"/>
    <w:rsid w:val="007D5EBB"/>
    <w:rsid w:val="00850290"/>
    <w:rsid w:val="00873AA0"/>
    <w:rsid w:val="008827DC"/>
    <w:rsid w:val="0088420F"/>
    <w:rsid w:val="00887400"/>
    <w:rsid w:val="008A0DD9"/>
    <w:rsid w:val="008A6F99"/>
    <w:rsid w:val="008B6931"/>
    <w:rsid w:val="008D18FE"/>
    <w:rsid w:val="008E150E"/>
    <w:rsid w:val="008E2C2A"/>
    <w:rsid w:val="008E40D9"/>
    <w:rsid w:val="00901065"/>
    <w:rsid w:val="00955E23"/>
    <w:rsid w:val="009571B7"/>
    <w:rsid w:val="009615BE"/>
    <w:rsid w:val="00973054"/>
    <w:rsid w:val="009877F0"/>
    <w:rsid w:val="00996998"/>
    <w:rsid w:val="009C6CD4"/>
    <w:rsid w:val="009D0938"/>
    <w:rsid w:val="009D651E"/>
    <w:rsid w:val="009E1FAB"/>
    <w:rsid w:val="00A11AD2"/>
    <w:rsid w:val="00A14744"/>
    <w:rsid w:val="00A416CD"/>
    <w:rsid w:val="00A42FF7"/>
    <w:rsid w:val="00A51C8B"/>
    <w:rsid w:val="00A82F82"/>
    <w:rsid w:val="00AB0C06"/>
    <w:rsid w:val="00B04271"/>
    <w:rsid w:val="00B25CF2"/>
    <w:rsid w:val="00B53F88"/>
    <w:rsid w:val="00B57662"/>
    <w:rsid w:val="00B611B3"/>
    <w:rsid w:val="00B81F55"/>
    <w:rsid w:val="00BA4D56"/>
    <w:rsid w:val="00BC092E"/>
    <w:rsid w:val="00BC4E5B"/>
    <w:rsid w:val="00BD4494"/>
    <w:rsid w:val="00BF3F85"/>
    <w:rsid w:val="00C343F1"/>
    <w:rsid w:val="00C3453D"/>
    <w:rsid w:val="00C35716"/>
    <w:rsid w:val="00C530D2"/>
    <w:rsid w:val="00C67380"/>
    <w:rsid w:val="00CC163B"/>
    <w:rsid w:val="00CD0D2B"/>
    <w:rsid w:val="00CD24CD"/>
    <w:rsid w:val="00CE2EC7"/>
    <w:rsid w:val="00CF515B"/>
    <w:rsid w:val="00D034CB"/>
    <w:rsid w:val="00D176C8"/>
    <w:rsid w:val="00D507B0"/>
    <w:rsid w:val="00D6371F"/>
    <w:rsid w:val="00D93107"/>
    <w:rsid w:val="00D9446E"/>
    <w:rsid w:val="00DA04F1"/>
    <w:rsid w:val="00DB3426"/>
    <w:rsid w:val="00DD39FD"/>
    <w:rsid w:val="00E07767"/>
    <w:rsid w:val="00E13AF2"/>
    <w:rsid w:val="00E327DE"/>
    <w:rsid w:val="00E47185"/>
    <w:rsid w:val="00E6486F"/>
    <w:rsid w:val="00E8190C"/>
    <w:rsid w:val="00E821F9"/>
    <w:rsid w:val="00E82518"/>
    <w:rsid w:val="00E91D51"/>
    <w:rsid w:val="00EE18AE"/>
    <w:rsid w:val="00F04814"/>
    <w:rsid w:val="00F3487F"/>
    <w:rsid w:val="00F44B50"/>
    <w:rsid w:val="00F54C66"/>
    <w:rsid w:val="00F6444D"/>
    <w:rsid w:val="00F66904"/>
    <w:rsid w:val="00F757B1"/>
    <w:rsid w:val="00FD408D"/>
    <w:rsid w:val="00FD4F09"/>
    <w:rsid w:val="00FE569B"/>
    <w:rsid w:val="01806D81"/>
    <w:rsid w:val="01A655EC"/>
    <w:rsid w:val="02356CFC"/>
    <w:rsid w:val="026D3363"/>
    <w:rsid w:val="03483378"/>
    <w:rsid w:val="05826A24"/>
    <w:rsid w:val="06EB5AFF"/>
    <w:rsid w:val="095D70C8"/>
    <w:rsid w:val="09A447EA"/>
    <w:rsid w:val="0A387B45"/>
    <w:rsid w:val="0A90650D"/>
    <w:rsid w:val="0B0C1A81"/>
    <w:rsid w:val="0B881444"/>
    <w:rsid w:val="0C3E06B9"/>
    <w:rsid w:val="0CE10BDD"/>
    <w:rsid w:val="0D7A2D6A"/>
    <w:rsid w:val="0D874F2A"/>
    <w:rsid w:val="0E462F36"/>
    <w:rsid w:val="0E7E6AD3"/>
    <w:rsid w:val="0E7F1753"/>
    <w:rsid w:val="108801DA"/>
    <w:rsid w:val="122C582A"/>
    <w:rsid w:val="126E157F"/>
    <w:rsid w:val="13A63113"/>
    <w:rsid w:val="153D3761"/>
    <w:rsid w:val="163F66AE"/>
    <w:rsid w:val="16756CD4"/>
    <w:rsid w:val="168926D3"/>
    <w:rsid w:val="17014E5E"/>
    <w:rsid w:val="190B0C80"/>
    <w:rsid w:val="1CBF17AC"/>
    <w:rsid w:val="1F2E4612"/>
    <w:rsid w:val="1F511E69"/>
    <w:rsid w:val="205F5682"/>
    <w:rsid w:val="21977233"/>
    <w:rsid w:val="230D14FF"/>
    <w:rsid w:val="238149E5"/>
    <w:rsid w:val="242A4036"/>
    <w:rsid w:val="24925351"/>
    <w:rsid w:val="24B40F4D"/>
    <w:rsid w:val="263063A6"/>
    <w:rsid w:val="26551CA9"/>
    <w:rsid w:val="27820BFB"/>
    <w:rsid w:val="278A035A"/>
    <w:rsid w:val="27C71639"/>
    <w:rsid w:val="28041890"/>
    <w:rsid w:val="281833E1"/>
    <w:rsid w:val="28DF1690"/>
    <w:rsid w:val="2BBF06FD"/>
    <w:rsid w:val="2BC937CF"/>
    <w:rsid w:val="2C270A39"/>
    <w:rsid w:val="2C7129FC"/>
    <w:rsid w:val="2CB94EB2"/>
    <w:rsid w:val="2D2E2D7E"/>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411314FB"/>
    <w:rsid w:val="41C856DD"/>
    <w:rsid w:val="430054D8"/>
    <w:rsid w:val="43892913"/>
    <w:rsid w:val="44961154"/>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506F3616"/>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7633A5"/>
    <w:rsid w:val="66DA3C2B"/>
    <w:rsid w:val="67163CB8"/>
    <w:rsid w:val="688A6957"/>
    <w:rsid w:val="68A206D6"/>
    <w:rsid w:val="68EE6070"/>
    <w:rsid w:val="691A1FA9"/>
    <w:rsid w:val="69247AB6"/>
    <w:rsid w:val="69DA3F19"/>
    <w:rsid w:val="6B3A39D4"/>
    <w:rsid w:val="6B865E2E"/>
    <w:rsid w:val="6BAD4CEC"/>
    <w:rsid w:val="6DDA6878"/>
    <w:rsid w:val="6E6B0B15"/>
    <w:rsid w:val="6EC259AA"/>
    <w:rsid w:val="70085DA4"/>
    <w:rsid w:val="70760E92"/>
    <w:rsid w:val="71004A80"/>
    <w:rsid w:val="72065C93"/>
    <w:rsid w:val="746203D0"/>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FB508A0"/>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qFormat/>
    <w:uiPriority w:val="22"/>
    <w:rPr>
      <w:b/>
      <w:bCs/>
    </w:rPr>
  </w:style>
  <w:style w:type="paragraph" w:styleId="8">
    <w:name w:val="List Paragraph"/>
    <w:basedOn w:val="1"/>
    <w:qFormat/>
    <w:uiPriority w:val="34"/>
    <w:pPr>
      <w:ind w:firstLine="420" w:firstLineChars="200"/>
    </w:p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FF0000"/>
      <w:sz w:val="20"/>
      <w:szCs w:val="20"/>
      <w:u w:val="none"/>
    </w:rPr>
  </w:style>
  <w:style w:type="paragraph" w:customStyle="1" w:styleId="11">
    <w:name w:val="p"/>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区财政局</Company>
  <Pages>13</Pages>
  <Words>882</Words>
  <Characters>5029</Characters>
  <Lines>41</Lines>
  <Paragraphs>11</Paragraphs>
  <TotalTime>2</TotalTime>
  <ScaleCrop>false</ScaleCrop>
  <LinksUpToDate>false</LinksUpToDate>
  <CharactersWithSpaces>5900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2021-10-09T08:40:00Z</dcterms:created>
  <dc:creator>acer</dc:creator>
  <cp:lastModifiedBy>asus</cp:lastModifiedBy>
  <cp:lastPrinted>2021-09-09T10:04:00Z</cp:lastPrinted>
  <dcterms:modified xsi:type="dcterms:W3CDTF">2021-10-26T03:12:11Z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CA85E2B475EE4D488D87D77776DA632D</vt:lpwstr>
  </property>
</Properties>
</file>