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textAlignment w:val="auto"/>
        <w:rPr>
          <w:color w:val="auto"/>
        </w:rPr>
      </w:pPr>
    </w:p>
    <w:p>
      <w:pPr>
        <w:keepNext w:val="0"/>
        <w:keepLines w:val="0"/>
        <w:pageBreakBefore w:val="0"/>
        <w:kinsoku/>
        <w:wordWrap/>
        <w:overflowPunct/>
        <w:topLinePunct w:val="0"/>
        <w:autoSpaceDE/>
        <w:autoSpaceDN/>
        <w:bidi w:val="0"/>
        <w:adjustRightInd/>
        <w:snapToGrid/>
        <w:spacing w:line="600" w:lineRule="exact"/>
        <w:ind w:left="0" w:leftChars="0"/>
        <w:textAlignment w:val="auto"/>
        <w:rPr>
          <w:color w:val="auto"/>
        </w:rPr>
      </w:pPr>
    </w:p>
    <w:p>
      <w:pPr>
        <w:keepNext w:val="0"/>
        <w:keepLines w:val="0"/>
        <w:pageBreakBefore w:val="0"/>
        <w:tabs>
          <w:tab w:val="left" w:pos="-142"/>
        </w:tabs>
        <w:kinsoku/>
        <w:wordWrap/>
        <w:overflowPunct/>
        <w:topLinePunct w:val="0"/>
        <w:autoSpaceDE/>
        <w:autoSpaceDN/>
        <w:bidi w:val="0"/>
        <w:adjustRightInd/>
        <w:snapToGrid/>
        <w:spacing w:line="600" w:lineRule="exact"/>
        <w:ind w:left="0" w:leftChars="0" w:firstLine="140" w:firstLineChars="32"/>
        <w:jc w:val="center"/>
        <w:textAlignment w:val="auto"/>
        <w:outlineLvl w:val="0"/>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重庆市万州区建设工程造价管理站</w:t>
      </w:r>
    </w:p>
    <w:p>
      <w:pPr>
        <w:keepNext w:val="0"/>
        <w:keepLines w:val="0"/>
        <w:pageBreakBefore w:val="0"/>
        <w:tabs>
          <w:tab w:val="left" w:pos="-142"/>
        </w:tabs>
        <w:kinsoku/>
        <w:wordWrap/>
        <w:overflowPunct/>
        <w:topLinePunct w:val="0"/>
        <w:autoSpaceDE/>
        <w:autoSpaceDN/>
        <w:bidi w:val="0"/>
        <w:adjustRightInd/>
        <w:snapToGrid/>
        <w:spacing w:line="600" w:lineRule="exact"/>
        <w:ind w:left="0" w:leftChars="0" w:firstLine="140" w:firstLineChars="32"/>
        <w:jc w:val="center"/>
        <w:textAlignment w:val="auto"/>
        <w:outlineLvl w:val="0"/>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eastAsia="zh-CN"/>
        </w:rPr>
        <w:t>单位</w:t>
      </w:r>
      <w:r>
        <w:rPr>
          <w:rFonts w:hint="eastAsia" w:ascii="方正小标宋_GBK" w:hAnsi="方正小标宋_GBK" w:eastAsia="方正小标宋_GBK" w:cs="方正小标宋_GBK"/>
          <w:b w:val="0"/>
          <w:bCs/>
          <w:color w:val="auto"/>
          <w:sz w:val="44"/>
          <w:szCs w:val="44"/>
        </w:rPr>
        <w:t>2020年度部门决算情况说明</w:t>
      </w:r>
    </w:p>
    <w:p>
      <w:pPr>
        <w:keepNext w:val="0"/>
        <w:keepLines w:val="0"/>
        <w:pageBreakBefore w:val="0"/>
        <w:kinsoku/>
        <w:wordWrap/>
        <w:overflowPunct/>
        <w:topLinePunct w:val="0"/>
        <w:autoSpaceDE/>
        <w:autoSpaceDN/>
        <w:bidi w:val="0"/>
        <w:adjustRightInd/>
        <w:snapToGrid/>
        <w:spacing w:line="600" w:lineRule="exact"/>
        <w:ind w:left="0" w:leftChars="0"/>
        <w:textAlignment w:val="auto"/>
        <w:rPr>
          <w:color w:val="auto"/>
        </w:rPr>
      </w:pPr>
    </w:p>
    <w:p>
      <w:pPr>
        <w:pStyle w:val="11"/>
        <w:keepNext w:val="0"/>
        <w:keepLines w:val="0"/>
        <w:pageBreakBefore w:val="0"/>
        <w:tabs>
          <w:tab w:val="center" w:pos="4153"/>
          <w:tab w:val="left" w:pos="7275"/>
        </w:tabs>
        <w:kinsoku/>
        <w:wordWrap/>
        <w:overflowPunct/>
        <w:topLinePunct w:val="0"/>
        <w:autoSpaceDE/>
        <w:autoSpaceDN/>
        <w:bidi w:val="0"/>
        <w:adjustRightInd/>
        <w:snapToGrid/>
        <w:spacing w:line="600" w:lineRule="exact"/>
        <w:ind w:left="0" w:leftChars="0" w:firstLine="640"/>
        <w:textAlignment w:val="auto"/>
        <w:outlineLvl w:val="0"/>
        <w:rPr>
          <w:rFonts w:eastAsia="方正黑体_GBK"/>
          <w:b w:val="0"/>
          <w:bCs/>
          <w:color w:val="auto"/>
          <w:szCs w:val="32"/>
        </w:rPr>
      </w:pPr>
      <w:r>
        <w:rPr>
          <w:rFonts w:eastAsia="方正黑体_GBK"/>
          <w:b w:val="0"/>
          <w:bCs/>
          <w:color w:val="auto"/>
          <w:szCs w:val="32"/>
        </w:rPr>
        <w:t>一、单位基本情况</w:t>
      </w:r>
    </w:p>
    <w:p>
      <w:pPr>
        <w:pStyle w:val="11"/>
        <w:keepNext w:val="0"/>
        <w:keepLines w:val="0"/>
        <w:pageBreakBefore w:val="0"/>
        <w:tabs>
          <w:tab w:val="center" w:pos="4153"/>
          <w:tab w:val="left" w:pos="7275"/>
        </w:tabs>
        <w:kinsoku/>
        <w:wordWrap/>
        <w:overflowPunct/>
        <w:topLinePunct w:val="0"/>
        <w:autoSpaceDE/>
        <w:autoSpaceDN/>
        <w:bidi w:val="0"/>
        <w:adjustRightInd/>
        <w:snapToGrid/>
        <w:spacing w:line="600" w:lineRule="exact"/>
        <w:ind w:left="0" w:leftChars="0" w:firstLine="640"/>
        <w:textAlignment w:val="auto"/>
        <w:outlineLvl w:val="0"/>
        <w:rPr>
          <w:rFonts w:hint="eastAsia" w:ascii="方正楷体_GBK" w:hAnsi="方正楷体_GBK" w:eastAsia="方正楷体_GBK" w:cs="方正楷体_GBK"/>
          <w:b w:val="0"/>
          <w:bCs/>
          <w:color w:val="auto"/>
          <w:szCs w:val="32"/>
        </w:rPr>
      </w:pPr>
      <w:r>
        <w:rPr>
          <w:rFonts w:hint="eastAsia" w:ascii="方正楷体_GBK" w:hAnsi="方正楷体_GBK" w:eastAsia="方正楷体_GBK" w:cs="方正楷体_GBK"/>
          <w:b w:val="0"/>
          <w:bCs/>
          <w:color w:val="auto"/>
          <w:szCs w:val="32"/>
        </w:rPr>
        <w:t>（一）职能职责</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重庆市万州区建设工程造价管理站是公益一类事业单位，主要职能职责如下</w:t>
      </w:r>
      <w:r>
        <w:rPr>
          <w:rFonts w:hint="eastAsia" w:ascii="方正仿宋_GBK" w:hAnsi="方正仿宋_GBK" w:cs="方正仿宋_GBK"/>
          <w:color w:val="auto"/>
          <w:szCs w:val="32"/>
          <w:lang w:eastAsia="zh-CN"/>
        </w:rPr>
        <w:t>：</w:t>
      </w:r>
      <w:r>
        <w:rPr>
          <w:rFonts w:hint="eastAsia" w:ascii="方正仿宋_GBK" w:hAnsi="方正仿宋_GBK" w:eastAsia="方正仿宋_GBK" w:cs="方正仿宋_GBK"/>
          <w:color w:val="auto"/>
          <w:szCs w:val="32"/>
        </w:rPr>
        <w:t>贯彻执行国家有关造价管理方针政策和法律法规</w:t>
      </w:r>
      <w:r>
        <w:rPr>
          <w:rFonts w:hint="eastAsia" w:ascii="方正仿宋_GBK" w:hAnsi="方正仿宋_GBK" w:cs="方正仿宋_GBK"/>
          <w:color w:val="auto"/>
          <w:szCs w:val="32"/>
          <w:lang w:eastAsia="zh-CN"/>
        </w:rPr>
        <w:t>；</w:t>
      </w:r>
      <w:r>
        <w:rPr>
          <w:rFonts w:hint="eastAsia" w:ascii="方正仿宋_GBK" w:hAnsi="方正仿宋_GBK" w:eastAsia="方正仿宋_GBK" w:cs="方正仿宋_GBK"/>
          <w:color w:val="auto"/>
          <w:szCs w:val="32"/>
        </w:rPr>
        <w:t>负责全区建设工程估价指标、概算定额、预算</w:t>
      </w:r>
      <w:bookmarkStart w:id="0" w:name="_GoBack"/>
      <w:bookmarkEnd w:id="0"/>
      <w:r>
        <w:rPr>
          <w:rFonts w:hint="eastAsia" w:ascii="方正仿宋_GBK" w:hAnsi="方正仿宋_GBK" w:eastAsia="方正仿宋_GBK" w:cs="方正仿宋_GBK"/>
          <w:color w:val="auto"/>
          <w:szCs w:val="32"/>
        </w:rPr>
        <w:t>定额、消耗量定额、劳动定额、工期定额、费用定额、计量规则、工程造价计价办法的日常监督管理</w:t>
      </w:r>
      <w:r>
        <w:rPr>
          <w:rFonts w:hint="eastAsia" w:ascii="方正仿宋_GBK" w:hAnsi="方正仿宋_GBK" w:cs="方正仿宋_GBK"/>
          <w:color w:val="auto"/>
          <w:szCs w:val="32"/>
          <w:lang w:eastAsia="zh-CN"/>
        </w:rPr>
        <w:t>；</w:t>
      </w:r>
      <w:r>
        <w:rPr>
          <w:rFonts w:hint="eastAsia" w:ascii="方正仿宋_GBK" w:hAnsi="方正仿宋_GBK" w:eastAsia="方正仿宋_GBK" w:cs="方正仿宋_GBK"/>
          <w:color w:val="auto"/>
          <w:szCs w:val="32"/>
        </w:rPr>
        <w:t>负责搜集、测算、发布全区建设工程造价信息</w:t>
      </w:r>
      <w:r>
        <w:rPr>
          <w:rFonts w:hint="eastAsia" w:ascii="方正仿宋_GBK" w:hAnsi="方正仿宋_GBK" w:cs="方正仿宋_GBK"/>
          <w:color w:val="auto"/>
          <w:szCs w:val="32"/>
          <w:lang w:eastAsia="zh-CN"/>
        </w:rPr>
        <w:t>；</w:t>
      </w:r>
      <w:r>
        <w:rPr>
          <w:rFonts w:hint="eastAsia" w:ascii="方正仿宋_GBK" w:hAnsi="方正仿宋_GBK" w:eastAsia="方正仿宋_GBK" w:cs="方正仿宋_GBK"/>
          <w:color w:val="auto"/>
          <w:szCs w:val="32"/>
        </w:rPr>
        <w:t>调解、复核工程造价经济纠纷，负责委内项目工程造价的结算审查和造价管理</w:t>
      </w:r>
      <w:r>
        <w:rPr>
          <w:rFonts w:hint="eastAsia" w:ascii="方正仿宋_GBK" w:hAnsi="方正仿宋_GBK" w:cs="方正仿宋_GBK"/>
          <w:color w:val="auto"/>
          <w:szCs w:val="32"/>
          <w:lang w:eastAsia="zh-CN"/>
        </w:rPr>
        <w:t>；</w:t>
      </w:r>
      <w:r>
        <w:rPr>
          <w:rFonts w:hint="eastAsia" w:ascii="方正仿宋_GBK" w:hAnsi="方正仿宋_GBK" w:eastAsia="方正仿宋_GBK" w:cs="方正仿宋_GBK"/>
          <w:color w:val="auto"/>
          <w:szCs w:val="32"/>
        </w:rPr>
        <w:t>负责全区建设工程造价咨询企业和造价从业人员的监督管理</w:t>
      </w:r>
      <w:r>
        <w:rPr>
          <w:rFonts w:hint="eastAsia" w:ascii="方正仿宋_GBK" w:hAnsi="方正仿宋_GBK" w:cs="方正仿宋_GBK"/>
          <w:color w:val="auto"/>
          <w:szCs w:val="32"/>
          <w:lang w:eastAsia="zh-CN"/>
        </w:rPr>
        <w:t>；</w:t>
      </w:r>
      <w:r>
        <w:rPr>
          <w:rFonts w:hint="eastAsia" w:ascii="方正仿宋_GBK" w:hAnsi="方正仿宋_GBK" w:eastAsia="方正仿宋_GBK" w:cs="方正仿宋_GBK"/>
          <w:color w:val="auto"/>
          <w:szCs w:val="32"/>
        </w:rPr>
        <w:t>负责全区建设工程计价软件推广应用</w:t>
      </w:r>
      <w:r>
        <w:rPr>
          <w:rFonts w:hint="eastAsia" w:ascii="方正仿宋_GBK" w:hAnsi="方正仿宋_GBK" w:cs="方正仿宋_GBK"/>
          <w:color w:val="auto"/>
          <w:szCs w:val="32"/>
          <w:lang w:eastAsia="zh-CN"/>
        </w:rPr>
        <w:t>；</w:t>
      </w:r>
      <w:r>
        <w:rPr>
          <w:rFonts w:hint="eastAsia" w:ascii="方正仿宋_GBK" w:hAnsi="方正仿宋_GBK" w:eastAsia="方正仿宋_GBK" w:cs="方正仿宋_GBK"/>
          <w:color w:val="auto"/>
          <w:szCs w:val="32"/>
        </w:rPr>
        <w:t>负责全区建筑施工企业合同履约评价工作</w:t>
      </w:r>
      <w:r>
        <w:rPr>
          <w:rFonts w:hint="eastAsia" w:ascii="方正仿宋_GBK" w:hAnsi="方正仿宋_GBK" w:cs="方正仿宋_GBK"/>
          <w:color w:val="auto"/>
          <w:szCs w:val="32"/>
          <w:lang w:eastAsia="zh-CN"/>
        </w:rPr>
        <w:t>；</w:t>
      </w:r>
      <w:r>
        <w:rPr>
          <w:rFonts w:hint="eastAsia" w:ascii="方正仿宋_GBK" w:hAnsi="方正仿宋_GBK" w:eastAsia="方正仿宋_GBK" w:cs="方正仿宋_GBK"/>
          <w:color w:val="auto"/>
          <w:szCs w:val="32"/>
        </w:rPr>
        <w:t>负责全区建设领域农民工工资专用账户管理及银行代发具体监管工作。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楷体_GBK" w:hAnsi="方正楷体_GBK" w:eastAsia="方正楷体_GBK" w:cs="方正楷体_GBK"/>
          <w:b w:val="0"/>
          <w:bCs/>
          <w:color w:val="auto"/>
          <w:kern w:val="0"/>
          <w:szCs w:val="32"/>
        </w:rPr>
      </w:pPr>
      <w:r>
        <w:rPr>
          <w:rFonts w:hint="eastAsia" w:ascii="方正楷体_GBK" w:hAnsi="方正楷体_GBK" w:eastAsia="方正楷体_GBK" w:cs="方正楷体_GBK"/>
          <w:b w:val="0"/>
          <w:bCs/>
          <w:color w:val="auto"/>
          <w:kern w:val="0"/>
          <w:szCs w:val="32"/>
        </w:rPr>
        <w:t>（二）机构设置</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color w:val="auto"/>
          <w:kern w:val="0"/>
          <w:szCs w:val="32"/>
        </w:rPr>
      </w:pPr>
      <w:r>
        <w:rPr>
          <w:rFonts w:hint="eastAsia" w:ascii="仿宋_GB2312" w:eastAsia="仿宋_GB2312"/>
          <w:color w:val="auto"/>
          <w:kern w:val="0"/>
          <w:szCs w:val="32"/>
        </w:rPr>
        <w:t>单位内设4个科室：办公室、财务室、造价科、信息科。</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color w:val="auto"/>
          <w:kern w:val="0"/>
          <w:szCs w:val="32"/>
        </w:rPr>
      </w:pPr>
      <w:r>
        <w:rPr>
          <w:rFonts w:hint="eastAsia" w:ascii="方正楷体_GBK" w:hAnsi="方正楷体_GBK" w:eastAsia="方正楷体_GBK" w:cs="方正楷体_GBK"/>
          <w:b w:val="0"/>
          <w:bCs/>
          <w:color w:val="auto"/>
          <w:kern w:val="0"/>
          <w:szCs w:val="32"/>
        </w:rPr>
        <w:t>（三）单位构成</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eastAsia="仿宋_GB2312"/>
          <w:color w:val="auto"/>
          <w:kern w:val="0"/>
          <w:szCs w:val="32"/>
        </w:rPr>
      </w:pPr>
      <w:r>
        <w:rPr>
          <w:rFonts w:hint="eastAsia" w:ascii="仿宋_GB2312" w:eastAsia="仿宋_GB2312"/>
          <w:color w:val="auto"/>
          <w:kern w:val="0"/>
          <w:szCs w:val="32"/>
        </w:rPr>
        <w:t>本单位无下级预算单位</w:t>
      </w:r>
      <w:r>
        <w:rPr>
          <w:rFonts w:hint="eastAsia" w:ascii="仿宋_GB2312" w:eastAsia="仿宋_GB2312"/>
          <w:color w:val="auto"/>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方正黑体_GBK" w:hAnsi="方正黑体_GBK" w:eastAsia="方正黑体_GBK" w:cs="方正黑体_GBK"/>
          <w:b w:val="0"/>
          <w:bCs/>
          <w:color w:val="auto"/>
          <w:kern w:val="0"/>
          <w:szCs w:val="32"/>
        </w:rPr>
      </w:pPr>
      <w:r>
        <w:rPr>
          <w:rFonts w:hint="eastAsia" w:ascii="方正黑体_GBK" w:hAnsi="方正黑体_GBK" w:eastAsia="方正黑体_GBK" w:cs="方正黑体_GBK"/>
          <w:b w:val="0"/>
          <w:bCs/>
          <w:color w:val="auto"/>
          <w:szCs w:val="32"/>
        </w:rPr>
        <w:t>二、部门决算情况说明</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color w:val="auto"/>
          <w:kern w:val="0"/>
          <w:szCs w:val="32"/>
          <w:lang w:eastAsia="zh-CN"/>
        </w:rPr>
      </w:pPr>
      <w:r>
        <w:rPr>
          <w:rFonts w:hint="eastAsia" w:ascii="方正楷体_GBK" w:hAnsi="方正楷体_GBK" w:eastAsia="方正楷体_GBK" w:cs="方正楷体_GBK"/>
          <w:b w:val="0"/>
          <w:bCs/>
          <w:color w:val="auto"/>
          <w:kern w:val="0"/>
          <w:szCs w:val="32"/>
        </w:rPr>
        <w:t>（一）收入支出决算总体情况</w:t>
      </w:r>
      <w:r>
        <w:rPr>
          <w:rFonts w:hint="eastAsia" w:ascii="方正楷体_GBK" w:hAnsi="方正楷体_GBK" w:eastAsia="方正楷体_GBK" w:cs="方正楷体_GBK"/>
          <w:b w:val="0"/>
          <w:bCs/>
          <w:color w:val="auto"/>
          <w:kern w:val="0"/>
          <w:szCs w:val="32"/>
          <w:lang w:eastAsia="zh-CN"/>
        </w:rPr>
        <w:t>说明</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kern w:val="0"/>
          <w:szCs w:val="32"/>
        </w:rPr>
      </w:pPr>
      <w:r>
        <w:rPr>
          <w:rFonts w:hint="eastAsia" w:ascii="方正仿宋_GBK" w:hAnsi="方正仿宋_GBK" w:eastAsia="方正仿宋_GBK" w:cs="方正仿宋_GBK"/>
          <w:color w:val="auto"/>
          <w:kern w:val="0"/>
          <w:szCs w:val="32"/>
          <w:lang w:val="en-US" w:eastAsia="zh-CN"/>
        </w:rPr>
        <w:t>1.</w:t>
      </w:r>
      <w:r>
        <w:rPr>
          <w:rFonts w:hint="eastAsia" w:ascii="方正仿宋_GBK" w:hAnsi="方正仿宋_GBK" w:eastAsia="方正仿宋_GBK" w:cs="方正仿宋_GBK"/>
          <w:color w:val="auto"/>
          <w:kern w:val="0"/>
          <w:szCs w:val="32"/>
        </w:rPr>
        <w:t>总体情况</w:t>
      </w:r>
      <w:r>
        <w:rPr>
          <w:rFonts w:hint="eastAsia" w:ascii="方正仿宋_GBK" w:hAnsi="方正仿宋_GBK" w:cs="方正仿宋_GBK"/>
          <w:color w:val="auto"/>
          <w:kern w:val="0"/>
          <w:szCs w:val="32"/>
          <w:lang w:eastAsia="zh-CN"/>
        </w:rPr>
        <w:t>。</w:t>
      </w:r>
      <w:r>
        <w:rPr>
          <w:rFonts w:hint="eastAsia" w:ascii="方正仿宋_GBK" w:hAnsi="方正仿宋_GBK" w:eastAsia="方正仿宋_GBK" w:cs="方正仿宋_GBK"/>
          <w:color w:val="auto"/>
          <w:kern w:val="0"/>
          <w:szCs w:val="32"/>
        </w:rPr>
        <w:t>2020年度收入总计226.74万元，支出总计226.74万元、全年收支持平，结转（余）数为0.00万元,收支较上年决算数增加4.09万元，增长1.84%；收入总计包括一般公共预算财政拨款收入和政府性基金预算财政拨款收入，支出总计包括社会保障和就业支出、卫生健康支出、城乡社区支出住房保障支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cs="方正仿宋_GBK"/>
          <w:color w:val="auto"/>
          <w:kern w:val="0"/>
          <w:szCs w:val="32"/>
          <w:lang w:eastAsia="zh-CN"/>
        </w:rPr>
      </w:pPr>
      <w:r>
        <w:rPr>
          <w:rFonts w:hint="eastAsia" w:ascii="方正仿宋_GBK" w:hAnsi="方正仿宋_GBK" w:eastAsia="方正仿宋_GBK" w:cs="方正仿宋_GBK"/>
          <w:color w:val="auto"/>
          <w:kern w:val="0"/>
          <w:szCs w:val="32"/>
          <w:lang w:val="en-US" w:eastAsia="zh-CN"/>
        </w:rPr>
        <w:t>2.</w:t>
      </w:r>
      <w:r>
        <w:rPr>
          <w:rFonts w:hint="eastAsia" w:ascii="方正仿宋_GBK" w:hAnsi="方正仿宋_GBK" w:eastAsia="方正仿宋_GBK" w:cs="方正仿宋_GBK"/>
          <w:color w:val="auto"/>
          <w:kern w:val="0"/>
          <w:szCs w:val="32"/>
        </w:rPr>
        <w:t>收入情况</w:t>
      </w:r>
      <w:r>
        <w:rPr>
          <w:rFonts w:hint="eastAsia" w:ascii="方正仿宋_GBK" w:hAnsi="方正仿宋_GBK" w:cs="方正仿宋_GBK"/>
          <w:color w:val="auto"/>
          <w:kern w:val="0"/>
          <w:szCs w:val="32"/>
          <w:lang w:eastAsia="zh-CN"/>
        </w:rPr>
        <w:t>。</w:t>
      </w:r>
      <w:r>
        <w:rPr>
          <w:rFonts w:hint="eastAsia" w:ascii="方正仿宋_GBK" w:hAnsi="方正仿宋_GBK" w:eastAsia="方正仿宋_GBK" w:cs="方正仿宋_GBK"/>
          <w:color w:val="auto"/>
          <w:kern w:val="0"/>
          <w:szCs w:val="32"/>
        </w:rPr>
        <w:t>2020年度全年收入合计226.74万元，比上年增加4.09万元，财政拨款收入占比100%；其中；其中，一般公共预算财政拨款收入较上年决算数增加5.19万元，增长1.84%；政府性基金预算财政拨款收入较上年决算数减少1.1万元，减少1.47%，一般公共预算财政拨款收入决算数为152.84万元、政府性基金预算财政拨款收入决算数为73.9万元，全年度收入较上年决算数增加4.09万元</w:t>
      </w:r>
      <w:r>
        <w:rPr>
          <w:rFonts w:hint="eastAsia" w:ascii="方正仿宋_GBK" w:hAnsi="方正仿宋_GBK" w:cs="方正仿宋_GBK"/>
          <w:color w:val="auto"/>
          <w:kern w:val="0"/>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szCs w:val="32"/>
        </w:rPr>
      </w:pPr>
      <w:r>
        <w:rPr>
          <w:rFonts w:hint="eastAsia" w:ascii="方正仿宋_GBK" w:hAnsi="方正仿宋_GBK" w:cs="方正仿宋_GBK"/>
          <w:color w:val="auto"/>
          <w:kern w:val="0"/>
          <w:szCs w:val="32"/>
          <w:lang w:val="en-US" w:eastAsia="zh-CN"/>
        </w:rPr>
        <w:t>3.</w:t>
      </w:r>
      <w:r>
        <w:rPr>
          <w:rFonts w:hint="eastAsia" w:ascii="方正仿宋_GBK" w:hAnsi="方正仿宋_GBK" w:eastAsia="方正仿宋_GBK" w:cs="方正仿宋_GBK"/>
          <w:color w:val="auto"/>
          <w:kern w:val="0"/>
          <w:szCs w:val="32"/>
        </w:rPr>
        <w:t>支出情况</w:t>
      </w:r>
      <w:r>
        <w:rPr>
          <w:rFonts w:hint="eastAsia" w:ascii="方正仿宋_GBK" w:hAnsi="方正仿宋_GBK" w:cs="方正仿宋_GBK"/>
          <w:color w:val="auto"/>
          <w:kern w:val="0"/>
          <w:szCs w:val="32"/>
          <w:lang w:eastAsia="zh-CN"/>
        </w:rPr>
        <w:t>。</w:t>
      </w:r>
      <w:r>
        <w:rPr>
          <w:rFonts w:hint="eastAsia" w:ascii="方正仿宋_GBK" w:hAnsi="方正仿宋_GBK" w:eastAsia="方正仿宋_GBK" w:cs="方正仿宋_GBK"/>
          <w:color w:val="auto"/>
          <w:kern w:val="0"/>
          <w:szCs w:val="32"/>
        </w:rPr>
        <w:t>2020年全年支出226.74万元，支出与上年相比增加4.09万元，与上年相比增加1.84%；其中；社会保障和就业支出24.15万元、卫生健康支出6.21万元、城乡社区支出189.88万元、住房保障支出6.50万元</w:t>
      </w:r>
      <w:r>
        <w:rPr>
          <w:rFonts w:hint="eastAsia" w:ascii="方正仿宋_GBK" w:hAnsi="方正仿宋_GBK" w:eastAsia="方正仿宋_GBK" w:cs="方正仿宋_GBK"/>
          <w:color w:val="auto"/>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kern w:val="0"/>
          <w:szCs w:val="32"/>
        </w:rPr>
      </w:pPr>
      <w:r>
        <w:rPr>
          <w:rFonts w:hint="eastAsia" w:ascii="方正仿宋_GBK" w:hAnsi="方正仿宋_GBK" w:cs="方正仿宋_GBK"/>
          <w:color w:val="auto"/>
          <w:szCs w:val="32"/>
          <w:lang w:val="en-US" w:eastAsia="zh-CN"/>
        </w:rPr>
        <w:t>4.</w:t>
      </w:r>
      <w:r>
        <w:rPr>
          <w:rFonts w:hint="eastAsia" w:ascii="方正仿宋_GBK" w:hAnsi="方正仿宋_GBK" w:eastAsia="方正仿宋_GBK" w:cs="方正仿宋_GBK"/>
          <w:color w:val="auto"/>
          <w:szCs w:val="32"/>
        </w:rPr>
        <w:t>结转结余情况</w:t>
      </w:r>
      <w:r>
        <w:rPr>
          <w:rFonts w:hint="eastAsia" w:ascii="方正仿宋_GBK" w:hAnsi="方正仿宋_GBK" w:cs="方正仿宋_GBK"/>
          <w:color w:val="auto"/>
          <w:szCs w:val="32"/>
          <w:lang w:eastAsia="zh-CN"/>
        </w:rPr>
        <w:t>。</w:t>
      </w:r>
      <w:r>
        <w:rPr>
          <w:rFonts w:hint="eastAsia" w:ascii="方正仿宋_GBK" w:hAnsi="方正仿宋_GBK" w:eastAsia="方正仿宋_GBK" w:cs="方正仿宋_GBK"/>
          <w:color w:val="auto"/>
          <w:kern w:val="0"/>
          <w:szCs w:val="32"/>
        </w:rPr>
        <w:t>全年收支持平，结转结余数为0.00万元，</w:t>
      </w:r>
      <w:r>
        <w:rPr>
          <w:rFonts w:hint="eastAsia" w:ascii="方正仿宋_GBK" w:hAnsi="方正仿宋_GBK" w:eastAsia="方正仿宋_GBK" w:cs="方正仿宋_GBK"/>
          <w:color w:val="auto"/>
          <w:szCs w:val="32"/>
        </w:rPr>
        <w:t>与上年一致。</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color w:val="auto"/>
          <w:kern w:val="0"/>
          <w:szCs w:val="32"/>
        </w:rPr>
      </w:pPr>
      <w:r>
        <w:rPr>
          <w:rFonts w:hint="eastAsia" w:ascii="方正楷体_GBK" w:hAnsi="方正楷体_GBK" w:eastAsia="方正楷体_GBK" w:cs="方正楷体_GBK"/>
          <w:b w:val="0"/>
          <w:bCs/>
          <w:color w:val="auto"/>
          <w:kern w:val="0"/>
          <w:szCs w:val="32"/>
        </w:rPr>
        <w:t>（二）</w:t>
      </w:r>
      <w:r>
        <w:rPr>
          <w:rFonts w:hint="eastAsia" w:eastAsia="方正楷体_GBK"/>
          <w:color w:val="auto"/>
          <w:szCs w:val="32"/>
        </w:rPr>
        <w:t>财政拨款收入支出决算总体情况说明</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b w:val="0"/>
          <w:bCs/>
          <w:color w:val="auto"/>
          <w:kern w:val="0"/>
          <w:szCs w:val="32"/>
          <w:lang w:val="en-US" w:eastAsia="zh-CN"/>
        </w:rPr>
        <w:t>1.</w:t>
      </w:r>
      <w:r>
        <w:rPr>
          <w:rFonts w:hint="eastAsia" w:ascii="方正仿宋_GBK" w:hAnsi="方正仿宋_GBK" w:eastAsia="方正仿宋_GBK" w:cs="方正仿宋_GBK"/>
          <w:color w:val="auto"/>
          <w:kern w:val="0"/>
          <w:szCs w:val="32"/>
        </w:rPr>
        <w:t>收入情况</w:t>
      </w:r>
      <w:r>
        <w:rPr>
          <w:rFonts w:hint="eastAsia" w:ascii="方正仿宋_GBK" w:hAnsi="方正仿宋_GBK" w:eastAsia="方正仿宋_GBK" w:cs="方正仿宋_GBK"/>
          <w:color w:val="auto"/>
          <w:kern w:val="0"/>
          <w:szCs w:val="32"/>
          <w:lang w:eastAsia="zh-CN"/>
        </w:rPr>
        <w:t>。</w:t>
      </w:r>
      <w:r>
        <w:rPr>
          <w:rFonts w:hint="eastAsia" w:ascii="方正仿宋_GBK" w:hAnsi="方正仿宋_GBK" w:eastAsia="方正仿宋_GBK" w:cs="方正仿宋_GBK"/>
          <w:color w:val="auto"/>
          <w:kern w:val="0"/>
          <w:szCs w:val="32"/>
        </w:rPr>
        <w:t>本部分的财政拨款收入总计包括一般公共预算财政拨款收入和政府性基金预算财政拨款收入，2020年度财政拨款收入总计226.74万元</w:t>
      </w:r>
      <w:r>
        <w:rPr>
          <w:rFonts w:hint="eastAsia" w:ascii="方正仿宋_GBK" w:hAnsi="方正仿宋_GBK" w:eastAsia="方正仿宋_GBK" w:cs="方正仿宋_GBK"/>
          <w:color w:val="auto"/>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lang w:val="en-US" w:eastAsia="zh-CN"/>
        </w:rPr>
        <w:t>2.</w:t>
      </w:r>
      <w:r>
        <w:rPr>
          <w:rFonts w:hint="eastAsia" w:ascii="方正仿宋_GBK" w:hAnsi="方正仿宋_GBK" w:eastAsia="方正仿宋_GBK" w:cs="方正仿宋_GBK"/>
          <w:color w:val="auto"/>
          <w:kern w:val="0"/>
          <w:szCs w:val="32"/>
        </w:rPr>
        <w:t>支出情况</w:t>
      </w:r>
      <w:r>
        <w:rPr>
          <w:rFonts w:hint="eastAsia" w:ascii="方正仿宋_GBK" w:hAnsi="方正仿宋_GBK" w:eastAsia="方正仿宋_GBK" w:cs="方正仿宋_GBK"/>
          <w:color w:val="auto"/>
          <w:kern w:val="0"/>
          <w:szCs w:val="32"/>
          <w:lang w:eastAsia="zh-CN"/>
        </w:rPr>
        <w:t>。</w:t>
      </w:r>
      <w:r>
        <w:rPr>
          <w:rFonts w:hint="eastAsia" w:ascii="方正仿宋_GBK" w:hAnsi="方正仿宋_GBK" w:eastAsia="方正仿宋_GBK" w:cs="方正仿宋_GBK"/>
          <w:color w:val="auto"/>
          <w:kern w:val="0"/>
          <w:szCs w:val="32"/>
        </w:rPr>
        <w:t>财政拨款支出总计包括一般公共预算财政拨款支出和政府性基金预算财政拨款支出</w:t>
      </w:r>
      <w:r>
        <w:rPr>
          <w:rFonts w:hint="eastAsia" w:ascii="方正仿宋_GBK" w:hAnsi="方正仿宋_GBK" w:eastAsia="方正仿宋_GBK" w:cs="方正仿宋_GBK"/>
          <w:color w:val="auto"/>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lang w:val="en-US" w:eastAsia="zh-CN"/>
        </w:rPr>
        <w:t>3.</w:t>
      </w:r>
      <w:r>
        <w:rPr>
          <w:rFonts w:hint="eastAsia" w:ascii="方正仿宋_GBK" w:hAnsi="方正仿宋_GBK" w:eastAsia="方正仿宋_GBK" w:cs="方正仿宋_GBK"/>
          <w:color w:val="auto"/>
          <w:kern w:val="0"/>
          <w:szCs w:val="32"/>
        </w:rPr>
        <w:t>结转结余情况</w:t>
      </w:r>
      <w:r>
        <w:rPr>
          <w:rFonts w:hint="eastAsia" w:ascii="方正仿宋_GBK" w:hAnsi="方正仿宋_GBK" w:eastAsia="方正仿宋_GBK" w:cs="方正仿宋_GBK"/>
          <w:color w:val="auto"/>
          <w:kern w:val="0"/>
          <w:szCs w:val="32"/>
          <w:lang w:eastAsia="zh-CN"/>
        </w:rPr>
        <w:t>。</w:t>
      </w:r>
      <w:r>
        <w:rPr>
          <w:rFonts w:hint="eastAsia" w:ascii="方正仿宋_GBK" w:hAnsi="方正仿宋_GBK" w:eastAsia="方正仿宋_GBK" w:cs="方正仿宋_GBK"/>
          <w:color w:val="auto"/>
          <w:kern w:val="0"/>
          <w:szCs w:val="32"/>
        </w:rPr>
        <w:t>2020年度一般</w:t>
      </w:r>
      <w:r>
        <w:rPr>
          <w:rFonts w:hint="eastAsia" w:ascii="方正仿宋_GBK" w:hAnsi="方正仿宋_GBK" w:eastAsia="方正仿宋_GBK" w:cs="方正仿宋_GBK"/>
          <w:color w:val="auto"/>
          <w:szCs w:val="32"/>
        </w:rPr>
        <w:t>公共预算财政拨款收入和支出年末结转结余为0.00万元，与上年一致。</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kern w:val="0"/>
          <w:szCs w:val="32"/>
        </w:rPr>
      </w:pPr>
      <w:r>
        <w:rPr>
          <w:rFonts w:hint="eastAsia" w:ascii="方正仿宋_GBK" w:hAnsi="方正仿宋_GBK" w:eastAsia="方正仿宋_GBK" w:cs="方正仿宋_GBK"/>
          <w:color w:val="auto"/>
          <w:szCs w:val="32"/>
          <w:lang w:val="en-US" w:eastAsia="zh-CN"/>
        </w:rPr>
        <w:t>4.</w:t>
      </w:r>
      <w:r>
        <w:rPr>
          <w:rFonts w:hint="eastAsia" w:ascii="方正仿宋_GBK" w:hAnsi="方正仿宋_GBK" w:cs="方正仿宋_GBK"/>
          <w:color w:val="auto"/>
          <w:kern w:val="0"/>
          <w:szCs w:val="32"/>
          <w:lang w:eastAsia="zh-CN"/>
        </w:rPr>
        <w:t>比较</w:t>
      </w:r>
      <w:r>
        <w:rPr>
          <w:rFonts w:hint="eastAsia" w:ascii="方正仿宋_GBK" w:hAnsi="方正仿宋_GBK" w:eastAsia="方正仿宋_GBK" w:cs="方正仿宋_GBK"/>
          <w:color w:val="auto"/>
          <w:kern w:val="0"/>
          <w:szCs w:val="32"/>
        </w:rPr>
        <w:t>情况</w:t>
      </w:r>
      <w:r>
        <w:rPr>
          <w:rFonts w:hint="eastAsia" w:ascii="方正仿宋_GBK" w:hAnsi="方正仿宋_GBK" w:eastAsia="方正仿宋_GBK" w:cs="方正仿宋_GBK"/>
          <w:color w:val="auto"/>
          <w:kern w:val="0"/>
          <w:szCs w:val="32"/>
          <w:lang w:eastAsia="zh-CN"/>
        </w:rPr>
        <w:t>。</w:t>
      </w:r>
      <w:r>
        <w:rPr>
          <w:rFonts w:hint="eastAsia" w:ascii="方正仿宋_GBK" w:hAnsi="方正仿宋_GBK" w:eastAsia="方正仿宋_GBK" w:cs="方正仿宋_GBK"/>
          <w:color w:val="auto"/>
          <w:kern w:val="0"/>
          <w:szCs w:val="32"/>
        </w:rPr>
        <w:t>本单位2020年度财政拨款支出主要用于以下几个方面：</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kern w:val="0"/>
          <w:szCs w:val="32"/>
        </w:rPr>
      </w:pPr>
      <w:r>
        <w:rPr>
          <w:rFonts w:hint="eastAsia" w:ascii="方正仿宋_GBK" w:hAnsi="方正仿宋_GBK" w:eastAsia="方正仿宋_GBK" w:cs="方正仿宋_GBK"/>
          <w:color w:val="auto"/>
          <w:kern w:val="0"/>
          <w:szCs w:val="32"/>
        </w:rPr>
        <w:t>（1）社会保障和就业支出24.15万元，占比10.65%、与年初预算数相等</w:t>
      </w:r>
      <w:r>
        <w:rPr>
          <w:rFonts w:hint="eastAsia" w:ascii="方正仿宋_GBK" w:hAnsi="方正仿宋_GBK" w:eastAsia="方正仿宋_GBK" w:cs="方正仿宋_GBK"/>
          <w:color w:val="auto"/>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kern w:val="0"/>
          <w:szCs w:val="32"/>
        </w:rPr>
      </w:pPr>
      <w:r>
        <w:rPr>
          <w:rFonts w:hint="eastAsia" w:ascii="方正仿宋_GBK" w:hAnsi="方正仿宋_GBK" w:eastAsia="方正仿宋_GBK" w:cs="方正仿宋_GBK"/>
          <w:color w:val="auto"/>
          <w:kern w:val="0"/>
          <w:szCs w:val="32"/>
        </w:rPr>
        <w:t>（2）卫生健康支出6.21万元，占比2.74%、与年初预算数相等</w:t>
      </w:r>
      <w:r>
        <w:rPr>
          <w:rFonts w:hint="eastAsia" w:ascii="方正仿宋_GBK" w:hAnsi="方正仿宋_GBK" w:eastAsia="方正仿宋_GBK" w:cs="方正仿宋_GBK"/>
          <w:color w:val="auto"/>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kern w:val="0"/>
          <w:szCs w:val="32"/>
        </w:rPr>
      </w:pPr>
      <w:r>
        <w:rPr>
          <w:rFonts w:hint="eastAsia" w:ascii="方正仿宋_GBK" w:hAnsi="方正仿宋_GBK" w:eastAsia="方正仿宋_GBK" w:cs="方正仿宋_GBK"/>
          <w:color w:val="auto"/>
          <w:kern w:val="0"/>
          <w:szCs w:val="32"/>
        </w:rPr>
        <w:t>（3）城乡社区支出189.88万元，占比83.74%、较年初预算数增加32.39万元，主要原因是上级专项补助和政策调整增加的人员经费预算指标。</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kern w:val="0"/>
          <w:szCs w:val="32"/>
        </w:rPr>
      </w:pPr>
      <w:r>
        <w:rPr>
          <w:rFonts w:hint="eastAsia" w:ascii="方正仿宋_GBK" w:hAnsi="方正仿宋_GBK" w:eastAsia="方正仿宋_GBK" w:cs="方正仿宋_GBK"/>
          <w:color w:val="auto"/>
          <w:kern w:val="0"/>
          <w:szCs w:val="32"/>
        </w:rPr>
        <w:t>（4）住房保障支出6.50万元，占比2.87%。与年初预算数相等。</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color w:val="auto"/>
          <w:szCs w:val="32"/>
        </w:rPr>
      </w:pPr>
      <w:r>
        <w:rPr>
          <w:rFonts w:hint="eastAsia" w:ascii="方正楷体_GBK" w:hAnsi="方正楷体_GBK" w:eastAsia="方正楷体_GBK" w:cs="方正楷体_GBK"/>
          <w:b w:val="0"/>
          <w:bCs/>
          <w:color w:val="auto"/>
          <w:szCs w:val="32"/>
        </w:rPr>
        <w:t>(三）一般公共预算财政拨款基本支出决算情况说明</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kern w:val="0"/>
          <w:szCs w:val="32"/>
        </w:rPr>
      </w:pPr>
      <w:r>
        <w:rPr>
          <w:rFonts w:hint="eastAsia" w:ascii="方正仿宋_GBK" w:hAnsi="方正仿宋_GBK" w:eastAsia="方正仿宋_GBK" w:cs="方正仿宋_GBK"/>
          <w:color w:val="auto"/>
          <w:szCs w:val="32"/>
        </w:rPr>
        <w:t>一般公共预算财政拨款基本支出</w:t>
      </w:r>
      <w:r>
        <w:rPr>
          <w:rFonts w:hint="eastAsia" w:ascii="方正仿宋_GBK" w:hAnsi="方正仿宋_GBK" w:eastAsia="方正仿宋_GBK" w:cs="方正仿宋_GBK"/>
          <w:color w:val="auto"/>
          <w:kern w:val="0"/>
          <w:szCs w:val="32"/>
        </w:rPr>
        <w:t>包括工资福利支出、个人和家庭补助支出、商品和服务支出和资本性支出。2020年度</w:t>
      </w:r>
      <w:r>
        <w:rPr>
          <w:rFonts w:hint="eastAsia" w:ascii="方正仿宋_GBK" w:hAnsi="方正仿宋_GBK" w:eastAsia="方正仿宋_GBK" w:cs="方正仿宋_GBK"/>
          <w:color w:val="auto"/>
          <w:szCs w:val="32"/>
        </w:rPr>
        <w:t>一般公共预算财政拨款基本支出</w:t>
      </w:r>
      <w:r>
        <w:rPr>
          <w:rFonts w:hint="eastAsia" w:ascii="方正仿宋_GBK" w:hAnsi="方正仿宋_GBK" w:eastAsia="方正仿宋_GBK" w:cs="方正仿宋_GBK"/>
          <w:color w:val="auto"/>
          <w:kern w:val="0"/>
          <w:szCs w:val="32"/>
        </w:rPr>
        <w:t>152.84万元，其中：</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kern w:val="0"/>
          <w:szCs w:val="32"/>
        </w:rPr>
      </w:pPr>
      <w:r>
        <w:rPr>
          <w:rFonts w:hint="eastAsia" w:ascii="方正仿宋_GBK" w:hAnsi="方正仿宋_GBK" w:eastAsia="方正仿宋_GBK" w:cs="方正仿宋_GBK"/>
          <w:color w:val="auto"/>
          <w:kern w:val="0"/>
          <w:szCs w:val="32"/>
        </w:rPr>
        <w:t>工资福利支出113.45万元，工资福利支出用途主要包括基本工资、津贴补贴、绩效工资、职工养老保险缴费、职业年金缴费、职工医疗保险缴费、住房公积金缴费及其他工资福利支出等。</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kern w:val="0"/>
          <w:szCs w:val="32"/>
        </w:rPr>
      </w:pPr>
      <w:r>
        <w:rPr>
          <w:rFonts w:hint="eastAsia" w:ascii="方正仿宋_GBK" w:hAnsi="方正仿宋_GBK" w:eastAsia="方正仿宋_GBK" w:cs="方正仿宋_GBK"/>
          <w:color w:val="auto"/>
          <w:kern w:val="0"/>
          <w:szCs w:val="32"/>
        </w:rPr>
        <w:t>对个人和家庭补助支出14.32万元，个人和家庭补助支出用途主要包括医疗补助支出和退休人员生活补助支出等。</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kern w:val="0"/>
          <w:szCs w:val="32"/>
        </w:rPr>
      </w:pPr>
      <w:r>
        <w:rPr>
          <w:rFonts w:hint="eastAsia" w:ascii="方正仿宋_GBK" w:hAnsi="方正仿宋_GBK" w:eastAsia="方正仿宋_GBK" w:cs="方正仿宋_GBK"/>
          <w:color w:val="auto"/>
          <w:kern w:val="0"/>
          <w:szCs w:val="32"/>
        </w:rPr>
        <w:t>商品和服务支出25.07万元，商品和服务支出用途主要包括办公费、咨询费、水电费、邮电费、物业管理费、差旅费、维修维护费、公务接待费、工会经费福利费、公务车辆运行维护费及其他商品和服务支出等。</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kern w:val="0"/>
          <w:szCs w:val="32"/>
        </w:rPr>
      </w:pPr>
      <w:r>
        <w:rPr>
          <w:rFonts w:hint="eastAsia" w:ascii="方正仿宋_GBK" w:hAnsi="方正仿宋_GBK" w:eastAsia="方正仿宋_GBK" w:cs="方正仿宋_GBK"/>
          <w:color w:val="auto"/>
          <w:kern w:val="0"/>
          <w:szCs w:val="32"/>
        </w:rPr>
        <w:t>本年度无资本性支出。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color w:val="auto"/>
          <w:szCs w:val="32"/>
        </w:rPr>
      </w:pPr>
      <w:r>
        <w:rPr>
          <w:rFonts w:hint="eastAsia" w:ascii="方正楷体_GBK" w:hAnsi="方正楷体_GBK" w:eastAsia="方正楷体_GBK" w:cs="方正楷体_GBK"/>
          <w:b w:val="0"/>
          <w:bCs/>
          <w:color w:val="auto"/>
          <w:szCs w:val="32"/>
        </w:rPr>
        <w:t>（四）政府性基金预算收支决算情况说明</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2020年度政府性基金预算财政拨款年初结转结余0.00万元，年末结转结余0.00万元，本年度政府性基金预算财政拨款收入73.90万元，本年项目支出73.9万元，均较上年决算数减少1.10万元，下降1.47%，主要原因是本单位2020年度项目支出安排的政府性基金预算财政拨款收入数较上年减少。</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color w:val="auto"/>
          <w:szCs w:val="32"/>
        </w:rPr>
      </w:pPr>
      <w:r>
        <w:rPr>
          <w:rFonts w:hint="eastAsia" w:ascii="方正楷体_GBK" w:hAnsi="方正楷体_GBK" w:eastAsia="方正楷体_GBK" w:cs="方正楷体_GBK"/>
          <w:b w:val="0"/>
          <w:bCs/>
          <w:color w:val="auto"/>
          <w:szCs w:val="32"/>
        </w:rPr>
        <w:t>（五）国有资本经营预算财政拨款支出决算情况说明</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本单位2020年度无国有资本经营预算财政拨款支出。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方正黑体_GBK" w:hAnsi="方正黑体_GBK" w:eastAsia="方正黑体_GBK" w:cs="方正黑体_GBK"/>
          <w:b w:val="0"/>
          <w:bCs/>
          <w:color w:val="auto"/>
          <w:szCs w:val="32"/>
        </w:rPr>
      </w:pPr>
      <w:r>
        <w:rPr>
          <w:rFonts w:hint="eastAsia" w:ascii="方正黑体_GBK" w:hAnsi="方正黑体_GBK" w:eastAsia="方正黑体_GBK" w:cs="方正黑体_GBK"/>
          <w:b w:val="0"/>
          <w:bCs/>
          <w:color w:val="auto"/>
          <w:szCs w:val="32"/>
        </w:rPr>
        <w:t xml:space="preserve">三、“三公”经费情况说明 </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color w:val="auto"/>
          <w:szCs w:val="32"/>
          <w:lang w:eastAsia="zh-CN"/>
        </w:rPr>
      </w:pPr>
      <w:r>
        <w:rPr>
          <w:rFonts w:hint="eastAsia" w:ascii="方正楷体_GBK" w:hAnsi="方正楷体_GBK" w:eastAsia="方正楷体_GBK" w:cs="方正楷体_GBK"/>
          <w:b w:val="0"/>
          <w:bCs/>
          <w:color w:val="auto"/>
          <w:szCs w:val="32"/>
        </w:rPr>
        <w:t>（一）“三公”经费支出</w:t>
      </w:r>
      <w:r>
        <w:rPr>
          <w:rFonts w:hint="eastAsia" w:ascii="方正楷体_GBK" w:hAnsi="方正楷体_GBK" w:eastAsia="方正楷体_GBK" w:cs="方正楷体_GBK"/>
          <w:b w:val="0"/>
          <w:bCs/>
          <w:color w:val="auto"/>
          <w:szCs w:val="32"/>
          <w:lang w:eastAsia="zh-CN"/>
        </w:rPr>
        <w:t>总体</w:t>
      </w:r>
      <w:r>
        <w:rPr>
          <w:rFonts w:hint="eastAsia" w:ascii="方正楷体_GBK" w:hAnsi="方正楷体_GBK" w:eastAsia="方正楷体_GBK" w:cs="方正楷体_GBK"/>
          <w:b w:val="0"/>
          <w:bCs/>
          <w:color w:val="auto"/>
          <w:szCs w:val="32"/>
        </w:rPr>
        <w:t>情况</w:t>
      </w:r>
      <w:r>
        <w:rPr>
          <w:rFonts w:hint="eastAsia" w:ascii="方正楷体_GBK" w:hAnsi="方正楷体_GBK" w:eastAsia="方正楷体_GBK" w:cs="方正楷体_GBK"/>
          <w:b w:val="0"/>
          <w:bCs/>
          <w:color w:val="auto"/>
          <w:szCs w:val="32"/>
          <w:lang w:eastAsia="zh-CN"/>
        </w:rPr>
        <w:t>说明</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szCs w:val="32"/>
          <w:shd w:val="clear" w:color="auto" w:fill="FFFFFF"/>
        </w:rPr>
      </w:pPr>
      <w:r>
        <w:rPr>
          <w:rFonts w:hint="eastAsia" w:ascii="方正仿宋_GBK" w:hAnsi="方正仿宋_GBK" w:eastAsia="方正仿宋_GBK" w:cs="方正仿宋_GBK"/>
          <w:color w:val="auto"/>
          <w:szCs w:val="32"/>
        </w:rPr>
        <w:t>2020全年“三公”经费年初预算数2.76万元，决算支出总额2.72万元，其中公务车辆运行维护费2.26万元、公务接待费0.47万元，实际支出数小于年初预算数，与上年决算支出数相比减少0.03万元，减少的</w:t>
      </w:r>
      <w:r>
        <w:rPr>
          <w:rFonts w:hint="eastAsia" w:ascii="方正仿宋_GBK" w:hAnsi="方正仿宋_GBK" w:eastAsia="方正仿宋_GBK" w:cs="方正仿宋_GBK"/>
          <w:color w:val="auto"/>
          <w:szCs w:val="32"/>
          <w:shd w:val="clear" w:color="auto" w:fill="FFFFFF"/>
        </w:rPr>
        <w:t>主要原因是本单位认真贯彻落实中央八项规定精神，按照只减不增的要求从严控制“三公”经费支出，全年实际支出较上年支出数和年初预算数均有下降。</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Style w:val="9"/>
          <w:rFonts w:hint="eastAsia" w:ascii="方正楷体_GBK" w:hAnsi="方正楷体_GBK" w:eastAsia="方正楷体_GBK" w:cs="方正楷体_GBK"/>
          <w:b w:val="0"/>
          <w:bCs/>
          <w:color w:val="auto"/>
          <w:sz w:val="32"/>
          <w:szCs w:val="32"/>
        </w:rPr>
      </w:pPr>
      <w:r>
        <w:rPr>
          <w:rStyle w:val="9"/>
          <w:rFonts w:hint="eastAsia" w:ascii="方正楷体_GBK" w:hAnsi="方正楷体_GBK" w:eastAsia="方正楷体_GBK" w:cs="方正楷体_GBK"/>
          <w:b w:val="0"/>
          <w:bCs/>
          <w:color w:val="auto"/>
          <w:sz w:val="32"/>
          <w:szCs w:val="32"/>
        </w:rPr>
        <w:t>（二）“三公”经费分项支出情况</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2020年度本单位因公出国（境）费用0.00万元，费用支出较年初预算数增加0.00万元，增长0%，主要原因是本单位2020年度未发生因公出国（境）费用支出,与上年决算数持平。</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szCs w:val="32"/>
          <w:shd w:val="clear" w:color="auto" w:fill="FFFFFF"/>
        </w:rPr>
      </w:pPr>
      <w:r>
        <w:rPr>
          <w:rFonts w:hint="eastAsia" w:ascii="方正仿宋_GBK" w:hAnsi="方正仿宋_GBK" w:eastAsia="方正仿宋_GBK" w:cs="方正仿宋_GBK"/>
          <w:color w:val="auto"/>
          <w:szCs w:val="32"/>
          <w:shd w:val="clear" w:color="auto" w:fill="FFFFFF"/>
        </w:rPr>
        <w:t>公务车购置费0.00万元，费用支出较年初预算数增加0.00万元，增长0%，本单位2019年度未发生</w:t>
      </w:r>
      <w:r>
        <w:rPr>
          <w:rFonts w:hint="eastAsia" w:ascii="方正仿宋_GBK" w:hAnsi="方正仿宋_GBK" w:eastAsia="方正仿宋_GBK" w:cs="方正仿宋_GBK"/>
          <w:color w:val="auto"/>
          <w:szCs w:val="32"/>
        </w:rPr>
        <w:t>公务车购置费用</w:t>
      </w:r>
      <w:r>
        <w:rPr>
          <w:rFonts w:hint="eastAsia" w:ascii="方正仿宋_GBK" w:hAnsi="方正仿宋_GBK" w:eastAsia="方正仿宋_GBK" w:cs="方正仿宋_GBK"/>
          <w:color w:val="auto"/>
          <w:szCs w:val="32"/>
          <w:shd w:val="clear" w:color="auto" w:fill="FFFFFF"/>
        </w:rPr>
        <w:t>支出，与上年决算数持平。</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kern w:val="2"/>
          <w:sz w:val="32"/>
          <w:szCs w:val="32"/>
          <w:shd w:val="clear" w:color="auto" w:fill="FFFFFF"/>
        </w:rPr>
        <w:t>公务车运行维护费2.26万元，主要用于应急保障等工作所需车辆的燃料费、维修费、过路费、保险费等。费用支出较年初预算数减少0.03万元，减少1.5%，主要原因是严格落实公务车管理规定，车辆运行维护费用下降</w:t>
      </w:r>
      <w:r>
        <w:rPr>
          <w:rFonts w:hint="eastAsia" w:ascii="方正仿宋_GBK" w:hAnsi="方正仿宋_GBK" w:eastAsia="方正仿宋_GBK" w:cs="方正仿宋_GBK"/>
          <w:color w:val="auto"/>
          <w:sz w:val="32"/>
          <w:szCs w:val="32"/>
          <w:shd w:val="clear" w:color="auto" w:fill="FFFFFF"/>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公务接待费支出0.47万元，费用支出与年初预算数持平。</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Style w:val="9"/>
          <w:rFonts w:hint="eastAsia" w:ascii="方正楷体_GBK" w:hAnsi="方正楷体_GBK" w:eastAsia="方正楷体_GBK" w:cs="方正楷体_GBK"/>
          <w:b w:val="0"/>
          <w:bCs/>
          <w:color w:val="auto"/>
          <w:sz w:val="32"/>
          <w:szCs w:val="32"/>
        </w:rPr>
      </w:pPr>
      <w:r>
        <w:rPr>
          <w:rStyle w:val="9"/>
          <w:rFonts w:hint="eastAsia" w:ascii="方正楷体_GBK" w:hAnsi="方正楷体_GBK" w:eastAsia="方正楷体_GBK" w:cs="方正楷体_GBK"/>
          <w:b w:val="0"/>
          <w:bCs/>
          <w:color w:val="auto"/>
          <w:sz w:val="32"/>
          <w:szCs w:val="32"/>
        </w:rPr>
        <w:t>（三）“三公”经费实物量情况</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2020年度本单位部门因公出国（境）共计0个团组，0人；公务用车购置0辆，公务车保有量为1辆；国内公务接待6批次,47人，其中：国内外事接待0批次，0人；国（境）外公务接待0批次，0人。2020年本单位人均接待费100.00元，车均购置费0.00万元，车均运行维护费2.25万元。</w:t>
      </w:r>
    </w:p>
    <w:p>
      <w:pPr>
        <w:keepNext w:val="0"/>
        <w:keepLines w:val="0"/>
        <w:pageBreakBefore w:val="0"/>
        <w:kinsoku/>
        <w:wordWrap/>
        <w:overflowPunct/>
        <w:topLinePunct w:val="0"/>
        <w:autoSpaceDE/>
        <w:autoSpaceDN/>
        <w:bidi w:val="0"/>
        <w:adjustRightInd/>
        <w:snapToGrid/>
        <w:spacing w:line="600" w:lineRule="exact"/>
        <w:ind w:left="0" w:leftChars="0"/>
        <w:textAlignment w:val="auto"/>
        <w:rPr>
          <w:rFonts w:hint="eastAsia" w:ascii="方正黑体_GBK" w:hAnsi="方正黑体_GBK" w:eastAsia="方正黑体_GBK" w:cs="方正黑体_GBK"/>
          <w:b w:val="0"/>
          <w:bCs w:val="0"/>
          <w:color w:val="auto"/>
          <w:kern w:val="0"/>
          <w:szCs w:val="32"/>
        </w:rPr>
      </w:pPr>
      <w:r>
        <w:rPr>
          <w:rFonts w:hint="eastAsia" w:ascii="方正黑体_GBK" w:hAnsi="方正黑体_GBK" w:eastAsia="方正黑体_GBK" w:cs="方正黑体_GBK"/>
          <w:b w:val="0"/>
          <w:bCs w:val="0"/>
          <w:color w:val="auto"/>
          <w:kern w:val="0"/>
          <w:szCs w:val="32"/>
        </w:rPr>
        <w:t xml:space="preserve">    </w:t>
      </w:r>
      <w:r>
        <w:rPr>
          <w:rFonts w:hint="eastAsia" w:ascii="方正黑体_GBK" w:hAnsi="方正黑体_GBK" w:eastAsia="方正黑体_GBK" w:cs="方正黑体_GBK"/>
          <w:b w:val="0"/>
          <w:bCs w:val="0"/>
          <w:color w:val="auto"/>
          <w:szCs w:val="32"/>
        </w:rPr>
        <w:t>四、其他需要说明的事项</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kern w:val="0"/>
          <w:szCs w:val="32"/>
        </w:rPr>
      </w:pPr>
      <w:r>
        <w:rPr>
          <w:rFonts w:hint="eastAsia" w:ascii="方正楷体_GBK" w:hAnsi="方正楷体_GBK" w:eastAsia="方正楷体_GBK" w:cs="方正楷体_GBK"/>
          <w:b w:val="0"/>
          <w:bCs/>
          <w:color w:val="auto"/>
          <w:szCs w:val="32"/>
        </w:rPr>
        <w:t>（一）机关运行经费情况说明</w:t>
      </w:r>
      <w:r>
        <w:rPr>
          <w:rFonts w:hint="eastAsia" w:ascii="方正楷体_GBK" w:hAnsi="方正楷体_GBK" w:eastAsia="方正楷体_GBK" w:cs="方正楷体_GBK"/>
          <w:b w:val="0"/>
          <w:bCs/>
          <w:color w:val="auto"/>
          <w:szCs w:val="32"/>
          <w:lang w:eastAsia="zh-CN"/>
        </w:rPr>
        <w:t>。</w:t>
      </w:r>
      <w:r>
        <w:rPr>
          <w:rFonts w:hint="eastAsia" w:ascii="方正仿宋_GBK" w:hAnsi="方正仿宋_GBK" w:eastAsia="方正仿宋_GBK" w:cs="方正仿宋_GBK"/>
          <w:color w:val="auto"/>
          <w:kern w:val="0"/>
          <w:szCs w:val="32"/>
        </w:rPr>
        <w:t>按照部门决算列报口径，我单位不在机关运行经费统计范围之内。</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kern w:val="0"/>
          <w:szCs w:val="32"/>
        </w:rPr>
      </w:pPr>
      <w:r>
        <w:rPr>
          <w:rFonts w:hint="eastAsia" w:ascii="方正仿宋_GBK" w:hAnsi="方正仿宋_GBK" w:eastAsia="方正仿宋_GBK" w:cs="方正仿宋_GBK"/>
          <w:color w:val="auto"/>
          <w:kern w:val="0"/>
          <w:szCs w:val="32"/>
        </w:rPr>
        <w:t>本年度会议费支出0.00万元，培训费支出0.00万元，均与上年决算数持平。</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kern w:val="0"/>
          <w:szCs w:val="32"/>
        </w:rPr>
      </w:pPr>
      <w:r>
        <w:rPr>
          <w:rFonts w:hint="eastAsia" w:ascii="方正楷体_GBK" w:hAnsi="方正楷体_GBK" w:eastAsia="方正楷体_GBK" w:cs="方正楷体_GBK"/>
          <w:b w:val="0"/>
          <w:bCs/>
          <w:color w:val="auto"/>
          <w:szCs w:val="32"/>
        </w:rPr>
        <w:t>（二）国有资产占用情况说明。</w:t>
      </w:r>
      <w:r>
        <w:rPr>
          <w:rFonts w:hint="eastAsia" w:ascii="方正仿宋_GBK" w:hAnsi="方正仿宋_GBK" w:eastAsia="方正仿宋_GBK" w:cs="方正仿宋_GBK"/>
          <w:color w:val="auto"/>
          <w:kern w:val="0"/>
          <w:szCs w:val="32"/>
        </w:rPr>
        <w:t>截至2020年12月31日，本单位共有车辆1辆。其中：副部（省）级及以上领导用车0辆，主要领导干部用车0辆，机要通信用车0辆，应急保障用车1辆，执法执勤用车0辆，特种专业技术用车0辆，离退休干部用车0辆，其他用车0辆。单价50万元（含）以上通用设备0台（套），单价100万元（含）以上专用设备0台（套）。</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kern w:val="0"/>
          <w:szCs w:val="32"/>
        </w:rPr>
      </w:pPr>
      <w:r>
        <w:rPr>
          <w:rFonts w:hint="eastAsia" w:ascii="方正楷体_GBK" w:hAnsi="方正楷体_GBK" w:eastAsia="方正楷体_GBK" w:cs="方正楷体_GBK"/>
          <w:b w:val="0"/>
          <w:bCs/>
          <w:color w:val="auto"/>
          <w:szCs w:val="32"/>
        </w:rPr>
        <w:t>（三）政府采购支出情况说明。</w:t>
      </w:r>
      <w:r>
        <w:rPr>
          <w:rFonts w:hint="eastAsia" w:ascii="方正仿宋_GBK" w:hAnsi="方正仿宋_GBK" w:eastAsia="方正仿宋_GBK" w:cs="方正仿宋_GBK"/>
          <w:color w:val="auto"/>
          <w:kern w:val="0"/>
          <w:szCs w:val="32"/>
        </w:rPr>
        <w:t>本单位政府采购支出主要用于采购办公设备、办公设备设施维护等支出，2020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color w:val="auto"/>
          <w:kern w:val="0"/>
          <w:szCs w:val="32"/>
        </w:rPr>
      </w:pPr>
      <w:r>
        <w:rPr>
          <w:rFonts w:hint="eastAsia" w:ascii="方正楷体_GBK" w:hAnsi="方正楷体_GBK" w:eastAsia="方正楷体_GBK" w:cs="方正楷体_GBK"/>
          <w:b w:val="0"/>
          <w:bCs/>
          <w:color w:val="auto"/>
          <w:kern w:val="0"/>
          <w:szCs w:val="32"/>
        </w:rPr>
        <w:t>（四）其他说明</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kern w:val="0"/>
          <w:szCs w:val="32"/>
        </w:rPr>
      </w:pPr>
      <w:r>
        <w:rPr>
          <w:rFonts w:hint="eastAsia" w:ascii="方正仿宋_GBK" w:hAnsi="方正仿宋_GBK" w:eastAsia="方正仿宋_GBK" w:cs="方正仿宋_GBK"/>
          <w:color w:val="auto"/>
          <w:kern w:val="0"/>
          <w:szCs w:val="32"/>
        </w:rPr>
        <w:t>本单位严格按照财政决算批复公开数据进行情况说明，因表格单项数据系经过四舍五入后保留到两位小数的数字，部分分项数字加减之和与表中原数据合计数存在0.01万元的差异，因单项保留数据无误，故该差异为合理差异，特此说明。</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方正黑体_GBK" w:hAnsi="方正黑体_GBK" w:eastAsia="方正黑体_GBK" w:cs="方正黑体_GBK"/>
          <w:b w:val="0"/>
          <w:bCs/>
          <w:color w:val="auto"/>
          <w:kern w:val="0"/>
          <w:szCs w:val="32"/>
        </w:rPr>
      </w:pPr>
      <w:r>
        <w:rPr>
          <w:rFonts w:hint="eastAsia" w:ascii="方正黑体_GBK" w:hAnsi="方正黑体_GBK" w:eastAsia="方正黑体_GBK" w:cs="方正黑体_GBK"/>
          <w:b w:val="0"/>
          <w:bCs/>
          <w:color w:val="auto"/>
          <w:kern w:val="0"/>
          <w:szCs w:val="32"/>
        </w:rPr>
        <w:t>五、预算绩效管理情况说明</w:t>
      </w:r>
    </w:p>
    <w:p>
      <w:pPr>
        <w:pStyle w:val="11"/>
        <w:keepNext w:val="0"/>
        <w:keepLines w:val="0"/>
        <w:pageBreakBefore w:val="0"/>
        <w:tabs>
          <w:tab w:val="center" w:pos="4153"/>
          <w:tab w:val="left" w:pos="7275"/>
        </w:tabs>
        <w:kinsoku/>
        <w:wordWrap/>
        <w:overflowPunct/>
        <w:topLinePunct w:val="0"/>
        <w:autoSpaceDE/>
        <w:autoSpaceDN/>
        <w:bidi w:val="0"/>
        <w:adjustRightInd/>
        <w:snapToGrid/>
        <w:spacing w:line="600" w:lineRule="exact"/>
        <w:ind w:left="0" w:leftChars="0" w:firstLine="643"/>
        <w:textAlignment w:val="auto"/>
        <w:outlineLvl w:val="1"/>
        <w:rPr>
          <w:rFonts w:hint="eastAsia" w:ascii="方正楷体_GBK" w:hAnsi="方正楷体_GBK" w:eastAsia="方正楷体_GBK" w:cs="方正楷体_GBK"/>
          <w:b w:val="0"/>
          <w:bCs/>
          <w:color w:val="auto"/>
          <w:szCs w:val="32"/>
        </w:rPr>
      </w:pPr>
      <w:r>
        <w:rPr>
          <w:rFonts w:hint="eastAsia" w:ascii="方正楷体_GBK" w:hAnsi="方正楷体_GBK" w:eastAsia="方正楷体_GBK" w:cs="方正楷体_GBK"/>
          <w:b w:val="0"/>
          <w:bCs/>
          <w:color w:val="auto"/>
          <w:szCs w:val="32"/>
        </w:rPr>
        <w:t>（一）预算绩效管理工作开展情况</w:t>
      </w:r>
    </w:p>
    <w:p>
      <w:pPr>
        <w:pStyle w:val="11"/>
        <w:keepNext w:val="0"/>
        <w:keepLines w:val="0"/>
        <w:pageBreakBefore w:val="0"/>
        <w:tabs>
          <w:tab w:val="center" w:pos="4153"/>
          <w:tab w:val="left" w:pos="7275"/>
        </w:tabs>
        <w:kinsoku/>
        <w:wordWrap/>
        <w:overflowPunct/>
        <w:topLinePunct w:val="0"/>
        <w:autoSpaceDE/>
        <w:autoSpaceDN/>
        <w:bidi w:val="0"/>
        <w:adjustRightInd/>
        <w:snapToGrid/>
        <w:spacing w:line="600" w:lineRule="exact"/>
        <w:ind w:left="0" w:leftChars="0" w:firstLine="640"/>
        <w:textAlignment w:val="auto"/>
        <w:rPr>
          <w:rFonts w:hint="eastAsia" w:ascii="方正仿宋_GBK" w:hAnsi="方正仿宋_GBK" w:eastAsia="方正仿宋_GBK" w:cs="方正仿宋_GBK"/>
          <w:color w:val="auto"/>
          <w:kern w:val="0"/>
          <w:szCs w:val="32"/>
        </w:rPr>
      </w:pPr>
      <w:r>
        <w:rPr>
          <w:rFonts w:hint="eastAsia" w:ascii="方正仿宋_GBK" w:hAnsi="方正仿宋_GBK" w:eastAsia="方正仿宋_GBK" w:cs="方正仿宋_GBK"/>
          <w:color w:val="auto"/>
          <w:kern w:val="0"/>
          <w:szCs w:val="32"/>
        </w:rPr>
        <w:t>根据预算绩效管理要求，本单位对两个项目开展了绩效自评，其中，以填报绩效自评表形式开展自评两项，涉及资金73.9万元；</w:t>
      </w:r>
      <w:r>
        <w:rPr>
          <w:rFonts w:hint="eastAsia" w:ascii="方正仿宋_GBK" w:hAnsi="方正仿宋_GBK" w:eastAsia="方正仿宋_GBK" w:cs="方正仿宋_GBK"/>
          <w:color w:val="auto"/>
          <w:szCs w:val="32"/>
        </w:rPr>
        <w:t>以委托第三方形式开展绩效自评0项，涉及资金0万元，从评价情况来看，被评价项目总体绩效目标明确，工作计划安排较完整，决策依据充分，项目在实施过程中严格执行有关制度规定；项目计划编制较完整，编制依据充分完善，并按项目设立档案，项目资金按规定程序拨付，会计核算总体规范、准确；提高了项目资金使用效益，社会、生态效益明显，达到了预期效果。</w:t>
      </w:r>
    </w:p>
    <w:p>
      <w:pPr>
        <w:pStyle w:val="11"/>
        <w:keepNext w:val="0"/>
        <w:keepLines w:val="0"/>
        <w:pageBreakBefore w:val="0"/>
        <w:tabs>
          <w:tab w:val="center" w:pos="4153"/>
          <w:tab w:val="left" w:pos="7275"/>
        </w:tabs>
        <w:kinsoku/>
        <w:wordWrap/>
        <w:overflowPunct/>
        <w:topLinePunct w:val="0"/>
        <w:autoSpaceDE/>
        <w:autoSpaceDN/>
        <w:bidi w:val="0"/>
        <w:adjustRightInd/>
        <w:snapToGrid/>
        <w:spacing w:line="600" w:lineRule="exact"/>
        <w:ind w:left="0" w:leftChars="0" w:firstLine="643"/>
        <w:textAlignment w:val="auto"/>
        <w:outlineLvl w:val="1"/>
        <w:rPr>
          <w:rFonts w:ascii="仿宋_GB2312" w:eastAsia="仿宋_GB2312"/>
          <w:b/>
          <w:color w:val="auto"/>
          <w:szCs w:val="32"/>
        </w:rPr>
        <w:sectPr>
          <w:footerReference r:id="rId5" w:type="default"/>
          <w:footerReference r:id="rId6" w:type="even"/>
          <w:pgSz w:w="11906" w:h="16838"/>
          <w:pgMar w:top="2155" w:right="1871" w:bottom="2268" w:left="1871" w:header="851" w:footer="1474" w:gutter="0"/>
          <w:cols w:space="720" w:num="1"/>
          <w:docGrid w:type="lines" w:linePitch="312" w:charSpace="0"/>
        </w:sectPr>
      </w:pPr>
      <w:r>
        <w:rPr>
          <w:rFonts w:hint="eastAsia" w:ascii="方正楷体_GBK" w:hAnsi="方正楷体_GBK" w:eastAsia="方正楷体_GBK" w:cs="方正楷体_GBK"/>
          <w:b w:val="0"/>
          <w:bCs/>
          <w:color w:val="auto"/>
          <w:szCs w:val="32"/>
        </w:rPr>
        <w:t>（二）绩效自评结果</w:t>
      </w:r>
      <w:r>
        <w:rPr>
          <w:rFonts w:hint="eastAsia" w:ascii="方正楷体_GBK" w:hAnsi="方正楷体_GBK" w:eastAsia="方正楷体_GBK" w:cs="方正楷体_GBK"/>
          <w:b w:val="0"/>
          <w:bCs/>
          <w:color w:val="auto"/>
          <w:kern w:val="0"/>
          <w:szCs w:val="32"/>
        </w:rPr>
        <w:t xml:space="preserve">   </w:t>
      </w:r>
      <w:r>
        <w:rPr>
          <w:rFonts w:hint="eastAsia"/>
          <w:color w:val="auto"/>
          <w:kern w:val="0"/>
          <w:szCs w:val="32"/>
        </w:rPr>
        <w:t xml:space="preserve"> </w:t>
      </w:r>
    </w:p>
    <w:p>
      <w:pPr>
        <w:keepNext w:val="0"/>
        <w:keepLines w:val="0"/>
        <w:pageBreakBefore w:val="0"/>
        <w:kinsoku/>
        <w:wordWrap/>
        <w:overflowPunct/>
        <w:topLinePunct w:val="0"/>
        <w:autoSpaceDE/>
        <w:autoSpaceDN/>
        <w:bidi w:val="0"/>
        <w:adjustRightInd/>
        <w:snapToGrid/>
        <w:spacing w:line="600" w:lineRule="exact"/>
        <w:ind w:left="0" w:leftChars="0"/>
        <w:textAlignment w:val="auto"/>
        <w:rPr>
          <w:color w:val="auto"/>
          <w:kern w:val="0"/>
          <w:szCs w:val="32"/>
        </w:rPr>
      </w:pPr>
    </w:p>
    <w:tbl>
      <w:tblPr>
        <w:tblStyle w:val="7"/>
        <w:tblW w:w="9531" w:type="dxa"/>
        <w:jc w:val="center"/>
        <w:tblLayout w:type="fixed"/>
        <w:tblCellMar>
          <w:top w:w="0" w:type="dxa"/>
          <w:left w:w="108" w:type="dxa"/>
          <w:bottom w:w="0" w:type="dxa"/>
          <w:right w:w="108" w:type="dxa"/>
        </w:tblCellMar>
      </w:tblPr>
      <w:tblGrid>
        <w:gridCol w:w="853"/>
        <w:gridCol w:w="853"/>
        <w:gridCol w:w="587"/>
        <w:gridCol w:w="587"/>
        <w:gridCol w:w="587"/>
        <w:gridCol w:w="587"/>
        <w:gridCol w:w="1120"/>
        <w:gridCol w:w="997"/>
        <w:gridCol w:w="1120"/>
        <w:gridCol w:w="1120"/>
        <w:gridCol w:w="1120"/>
      </w:tblGrid>
      <w:tr>
        <w:tblPrEx>
          <w:tblCellMar>
            <w:top w:w="0" w:type="dxa"/>
            <w:left w:w="108" w:type="dxa"/>
            <w:bottom w:w="0" w:type="dxa"/>
            <w:right w:w="108" w:type="dxa"/>
          </w:tblCellMar>
        </w:tblPrEx>
        <w:trPr>
          <w:trHeight w:val="601" w:hRule="atLeast"/>
          <w:jc w:val="center"/>
        </w:trPr>
        <w:tc>
          <w:tcPr>
            <w:tcW w:w="9531" w:type="dxa"/>
            <w:gridSpan w:val="11"/>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eastAsia="方正小标宋_GBK"/>
                <w:color w:val="auto"/>
                <w:kern w:val="0"/>
                <w:sz w:val="36"/>
                <w:szCs w:val="36"/>
              </w:rPr>
            </w:pPr>
            <w:r>
              <w:rPr>
                <w:rFonts w:eastAsia="方正小标宋_GBK"/>
                <w:color w:val="auto"/>
                <w:kern w:val="0"/>
                <w:sz w:val="36"/>
                <w:szCs w:val="36"/>
              </w:rPr>
              <w:t>一般性项目绩效自评表样</w:t>
            </w:r>
          </w:p>
        </w:tc>
      </w:tr>
      <w:tr>
        <w:tblPrEx>
          <w:tblCellMar>
            <w:top w:w="0" w:type="dxa"/>
            <w:left w:w="108" w:type="dxa"/>
            <w:bottom w:w="0" w:type="dxa"/>
            <w:right w:w="108" w:type="dxa"/>
          </w:tblCellMar>
        </w:tblPrEx>
        <w:trPr>
          <w:trHeight w:val="1118"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项目名称</w:t>
            </w: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市政基础建设工程造价审核项目</w:t>
            </w:r>
          </w:p>
        </w:tc>
        <w:tc>
          <w:tcPr>
            <w:tcW w:w="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项目编码</w:t>
            </w:r>
          </w:p>
        </w:tc>
        <w:tc>
          <w:tcPr>
            <w:tcW w:w="117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无</w:t>
            </w:r>
          </w:p>
        </w:tc>
        <w:tc>
          <w:tcPr>
            <w:tcW w:w="11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自评总分</w:t>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（分）</w:t>
            </w:r>
          </w:p>
        </w:tc>
        <w:tc>
          <w:tcPr>
            <w:tcW w:w="4357"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98</w:t>
            </w:r>
          </w:p>
        </w:tc>
      </w:tr>
      <w:tr>
        <w:tblPrEx>
          <w:tblCellMar>
            <w:top w:w="0" w:type="dxa"/>
            <w:left w:w="108" w:type="dxa"/>
            <w:bottom w:w="0" w:type="dxa"/>
            <w:right w:w="108" w:type="dxa"/>
          </w:tblCellMar>
        </w:tblPrEx>
        <w:trPr>
          <w:trHeight w:val="601" w:hRule="atLeast"/>
          <w:jc w:val="center"/>
        </w:trPr>
        <w:tc>
          <w:tcPr>
            <w:tcW w:w="85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主管部门</w:t>
            </w: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区住房和城乡建委</w:t>
            </w:r>
          </w:p>
        </w:tc>
        <w:tc>
          <w:tcPr>
            <w:tcW w:w="5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财政科室</w:t>
            </w:r>
          </w:p>
        </w:tc>
        <w:tc>
          <w:tcPr>
            <w:tcW w:w="117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经建科</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项目</w:t>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联系人</w:t>
            </w:r>
          </w:p>
        </w:tc>
        <w:tc>
          <w:tcPr>
            <w:tcW w:w="9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华安娜</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联系电话</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85762357</w:t>
            </w:r>
          </w:p>
        </w:tc>
      </w:tr>
      <w:tr>
        <w:tblPrEx>
          <w:tblCellMar>
            <w:top w:w="0" w:type="dxa"/>
            <w:left w:w="108" w:type="dxa"/>
            <w:bottom w:w="0" w:type="dxa"/>
            <w:right w:w="108" w:type="dxa"/>
          </w:tblCellMar>
        </w:tblPrEx>
        <w:trPr>
          <w:trHeight w:val="601" w:hRule="atLeast"/>
          <w:jc w:val="center"/>
        </w:trPr>
        <w:tc>
          <w:tcPr>
            <w:tcW w:w="85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项目资金（万元）</w:t>
            </w:r>
          </w:p>
        </w:tc>
        <w:tc>
          <w:tcPr>
            <w:tcW w:w="853"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p>
        </w:tc>
        <w:tc>
          <w:tcPr>
            <w:tcW w:w="117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年初预算数</w:t>
            </w:r>
          </w:p>
        </w:tc>
        <w:tc>
          <w:tcPr>
            <w:tcW w:w="117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全年（调整）预算数</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全年执行数</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执行率</w:t>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执行率</w:t>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权重</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执行率得分</w:t>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（分）</w:t>
            </w:r>
          </w:p>
        </w:tc>
      </w:tr>
      <w:tr>
        <w:tblPrEx>
          <w:tblCellMar>
            <w:top w:w="0" w:type="dxa"/>
            <w:left w:w="108" w:type="dxa"/>
            <w:bottom w:w="0" w:type="dxa"/>
            <w:right w:w="108" w:type="dxa"/>
          </w:tblCellMar>
        </w:tblPrEx>
        <w:trPr>
          <w:trHeight w:val="601"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p>
        </w:tc>
        <w:tc>
          <w:tcPr>
            <w:tcW w:w="853"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年度总金额</w:t>
            </w:r>
          </w:p>
        </w:tc>
        <w:tc>
          <w:tcPr>
            <w:tcW w:w="117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34.8万元</w:t>
            </w:r>
          </w:p>
        </w:tc>
        <w:tc>
          <w:tcPr>
            <w:tcW w:w="117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34.8万元</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34.8万元</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100%</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100%</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100%</w:t>
            </w:r>
          </w:p>
        </w:tc>
      </w:tr>
      <w:tr>
        <w:tblPrEx>
          <w:tblCellMar>
            <w:top w:w="0" w:type="dxa"/>
            <w:left w:w="108" w:type="dxa"/>
            <w:bottom w:w="0" w:type="dxa"/>
            <w:right w:w="108" w:type="dxa"/>
          </w:tblCellMar>
        </w:tblPrEx>
        <w:trPr>
          <w:trHeight w:val="601"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p>
        </w:tc>
        <w:tc>
          <w:tcPr>
            <w:tcW w:w="853"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其中：市级支出</w:t>
            </w:r>
          </w:p>
        </w:tc>
        <w:tc>
          <w:tcPr>
            <w:tcW w:w="117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0</w:t>
            </w:r>
          </w:p>
        </w:tc>
        <w:tc>
          <w:tcPr>
            <w:tcW w:w="117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0</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0</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0</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0</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0</w:t>
            </w:r>
          </w:p>
        </w:tc>
      </w:tr>
      <w:tr>
        <w:tblPrEx>
          <w:tblCellMar>
            <w:top w:w="0" w:type="dxa"/>
            <w:left w:w="108" w:type="dxa"/>
            <w:bottom w:w="0" w:type="dxa"/>
            <w:right w:w="108" w:type="dxa"/>
          </w:tblCellMar>
        </w:tblPrEx>
        <w:trPr>
          <w:trHeight w:val="601"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p>
        </w:tc>
        <w:tc>
          <w:tcPr>
            <w:tcW w:w="853"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补助区县</w:t>
            </w:r>
          </w:p>
        </w:tc>
        <w:tc>
          <w:tcPr>
            <w:tcW w:w="117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0</w:t>
            </w:r>
          </w:p>
        </w:tc>
        <w:tc>
          <w:tcPr>
            <w:tcW w:w="117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0</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0</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0</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0</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0</w:t>
            </w:r>
          </w:p>
        </w:tc>
      </w:tr>
      <w:tr>
        <w:tblPrEx>
          <w:tblCellMar>
            <w:top w:w="0" w:type="dxa"/>
            <w:left w:w="108" w:type="dxa"/>
            <w:bottom w:w="0" w:type="dxa"/>
            <w:right w:w="108" w:type="dxa"/>
          </w:tblCellMar>
        </w:tblPrEx>
        <w:trPr>
          <w:trHeight w:val="442" w:hRule="atLeast"/>
          <w:jc w:val="center"/>
        </w:trPr>
        <w:tc>
          <w:tcPr>
            <w:tcW w:w="85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当年绩效目标</w:t>
            </w:r>
          </w:p>
        </w:tc>
        <w:tc>
          <w:tcPr>
            <w:tcW w:w="2027"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年初绩效目标</w:t>
            </w:r>
          </w:p>
        </w:tc>
        <w:tc>
          <w:tcPr>
            <w:tcW w:w="329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全年（调整）绩效目标</w:t>
            </w:r>
          </w:p>
        </w:tc>
        <w:tc>
          <w:tcPr>
            <w:tcW w:w="33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全年目标实际完成情况</w:t>
            </w:r>
          </w:p>
        </w:tc>
      </w:tr>
      <w:tr>
        <w:tblPrEx>
          <w:tblCellMar>
            <w:top w:w="0" w:type="dxa"/>
            <w:left w:w="108" w:type="dxa"/>
            <w:bottom w:w="0" w:type="dxa"/>
            <w:right w:w="108" w:type="dxa"/>
          </w:tblCellMar>
        </w:tblPrEx>
        <w:trPr>
          <w:trHeight w:val="1840"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p>
        </w:tc>
        <w:tc>
          <w:tcPr>
            <w:tcW w:w="2027" w:type="dxa"/>
            <w:gridSpan w:val="3"/>
            <w:tcBorders>
              <w:top w:val="single" w:color="auto" w:sz="4" w:space="0"/>
              <w:left w:val="nil"/>
              <w:bottom w:val="single" w:color="auto"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履行工程造价审核和造价管理职能：1、完成全区市政基础建设项目造价审核工作。2、完成区住建委200万元以下建设项目造价审核工作</w:t>
            </w:r>
          </w:p>
        </w:tc>
        <w:tc>
          <w:tcPr>
            <w:tcW w:w="3291" w:type="dxa"/>
            <w:gridSpan w:val="4"/>
            <w:tcBorders>
              <w:top w:val="single" w:color="auto" w:sz="4" w:space="0"/>
              <w:left w:val="nil"/>
              <w:bottom w:val="single" w:color="auto"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履行工程造价审核和造价管理职能：1、完成全区市政基础建设项目造价审核工作。2、完成区住建委200万元以下建设项目造价审核工作</w:t>
            </w:r>
          </w:p>
        </w:tc>
        <w:tc>
          <w:tcPr>
            <w:tcW w:w="3360" w:type="dxa"/>
            <w:gridSpan w:val="3"/>
            <w:tcBorders>
              <w:top w:val="single" w:color="auto" w:sz="4" w:space="0"/>
              <w:left w:val="nil"/>
              <w:bottom w:val="single" w:color="auto"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履行工程造价审核职能和造价管理：1、全年完成了全区市政基础建设项目造价审核工作。2、全年完成了区住建委200万元以下建设项目造价审核工作。</w:t>
            </w:r>
          </w:p>
        </w:tc>
      </w:tr>
      <w:tr>
        <w:tblPrEx>
          <w:tblCellMar>
            <w:top w:w="0" w:type="dxa"/>
            <w:left w:w="108" w:type="dxa"/>
            <w:bottom w:w="0" w:type="dxa"/>
            <w:right w:w="108" w:type="dxa"/>
          </w:tblCellMar>
        </w:tblPrEx>
        <w:trPr>
          <w:trHeight w:val="2265" w:hRule="atLeast"/>
          <w:jc w:val="center"/>
        </w:trPr>
        <w:tc>
          <w:tcPr>
            <w:tcW w:w="853"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绩效指标</w:t>
            </w:r>
          </w:p>
        </w:tc>
        <w:tc>
          <w:tcPr>
            <w:tcW w:w="853"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指标名称</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计量</w:t>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单位</w:t>
            </w:r>
          </w:p>
        </w:tc>
        <w:tc>
          <w:tcPr>
            <w:tcW w:w="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指标</w:t>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性质</w:t>
            </w:r>
          </w:p>
        </w:tc>
        <w:tc>
          <w:tcPr>
            <w:tcW w:w="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年初</w:t>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指标值</w:t>
            </w:r>
          </w:p>
        </w:tc>
        <w:tc>
          <w:tcPr>
            <w:tcW w:w="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调整</w:t>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指标值</w:t>
            </w:r>
          </w:p>
        </w:tc>
        <w:tc>
          <w:tcPr>
            <w:tcW w:w="11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全年</w:t>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完成值</w:t>
            </w:r>
          </w:p>
        </w:tc>
        <w:tc>
          <w:tcPr>
            <w:tcW w:w="9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得分系数</w:t>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w:t>
            </w:r>
          </w:p>
        </w:tc>
        <w:tc>
          <w:tcPr>
            <w:tcW w:w="11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指标权重</w:t>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（分）</w:t>
            </w:r>
          </w:p>
        </w:tc>
        <w:tc>
          <w:tcPr>
            <w:tcW w:w="11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指标得分</w:t>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（分）</w:t>
            </w:r>
          </w:p>
        </w:tc>
        <w:tc>
          <w:tcPr>
            <w:tcW w:w="11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是否核心</w:t>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指标</w:t>
            </w:r>
          </w:p>
        </w:tc>
      </w:tr>
      <w:tr>
        <w:tblPrEx>
          <w:tblCellMar>
            <w:top w:w="0" w:type="dxa"/>
            <w:left w:w="108" w:type="dxa"/>
            <w:bottom w:w="0" w:type="dxa"/>
            <w:right w:w="108" w:type="dxa"/>
          </w:tblCellMar>
        </w:tblPrEx>
        <w:trPr>
          <w:trHeight w:val="566"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p>
        </w:tc>
        <w:tc>
          <w:tcPr>
            <w:tcW w:w="853"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项目资金到位（15）</w:t>
            </w:r>
          </w:p>
        </w:tc>
        <w:tc>
          <w:tcPr>
            <w:tcW w:w="58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15</w:t>
            </w:r>
          </w:p>
        </w:tc>
        <w:tc>
          <w:tcPr>
            <w:tcW w:w="58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1120"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15</w:t>
            </w:r>
          </w:p>
        </w:tc>
        <w:tc>
          <w:tcPr>
            <w:tcW w:w="99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100%</w:t>
            </w:r>
          </w:p>
        </w:tc>
        <w:tc>
          <w:tcPr>
            <w:tcW w:w="1120"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15</w:t>
            </w:r>
          </w:p>
        </w:tc>
        <w:tc>
          <w:tcPr>
            <w:tcW w:w="1120"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15</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是</w:t>
            </w:r>
          </w:p>
        </w:tc>
      </w:tr>
      <w:tr>
        <w:tblPrEx>
          <w:tblCellMar>
            <w:top w:w="0" w:type="dxa"/>
            <w:left w:w="108" w:type="dxa"/>
            <w:bottom w:w="0" w:type="dxa"/>
            <w:right w:w="108" w:type="dxa"/>
          </w:tblCellMar>
        </w:tblPrEx>
        <w:trPr>
          <w:trHeight w:val="523"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p>
        </w:tc>
        <w:tc>
          <w:tcPr>
            <w:tcW w:w="853"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项目资金执行（15）</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15</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15</w:t>
            </w:r>
          </w:p>
        </w:tc>
        <w:tc>
          <w:tcPr>
            <w:tcW w:w="99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100%</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15</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15</w:t>
            </w:r>
          </w:p>
        </w:tc>
        <w:tc>
          <w:tcPr>
            <w:tcW w:w="1120" w:type="dxa"/>
            <w:tcBorders>
              <w:top w:val="nil"/>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是</w:t>
            </w:r>
          </w:p>
        </w:tc>
      </w:tr>
      <w:tr>
        <w:tblPrEx>
          <w:tblCellMar>
            <w:top w:w="0" w:type="dxa"/>
            <w:left w:w="108" w:type="dxa"/>
            <w:bottom w:w="0" w:type="dxa"/>
            <w:right w:w="108" w:type="dxa"/>
          </w:tblCellMar>
        </w:tblPrEx>
        <w:trPr>
          <w:trHeight w:val="523"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p>
        </w:tc>
        <w:tc>
          <w:tcPr>
            <w:tcW w:w="853"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项目资金管理（10）</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10</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10</w:t>
            </w:r>
          </w:p>
        </w:tc>
        <w:tc>
          <w:tcPr>
            <w:tcW w:w="99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100%</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10</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10</w:t>
            </w:r>
          </w:p>
        </w:tc>
        <w:tc>
          <w:tcPr>
            <w:tcW w:w="1120" w:type="dxa"/>
            <w:tcBorders>
              <w:top w:val="nil"/>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是</w:t>
            </w:r>
          </w:p>
        </w:tc>
      </w:tr>
      <w:tr>
        <w:tblPrEx>
          <w:tblCellMar>
            <w:top w:w="0" w:type="dxa"/>
            <w:left w:w="108" w:type="dxa"/>
            <w:bottom w:w="0" w:type="dxa"/>
            <w:right w:w="108" w:type="dxa"/>
          </w:tblCellMar>
        </w:tblPrEx>
        <w:trPr>
          <w:trHeight w:val="523"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p>
        </w:tc>
        <w:tc>
          <w:tcPr>
            <w:tcW w:w="853"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数量指标（5）</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99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100%</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1120" w:type="dxa"/>
            <w:tcBorders>
              <w:top w:val="nil"/>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rPr>
            </w:pPr>
            <w:r>
              <w:rPr>
                <w:rFonts w:hint="eastAsia"/>
                <w:color w:val="auto"/>
                <w:kern w:val="0"/>
                <w:sz w:val="15"/>
                <w:szCs w:val="15"/>
              </w:rPr>
              <w:t>否</w:t>
            </w:r>
          </w:p>
        </w:tc>
      </w:tr>
      <w:tr>
        <w:tblPrEx>
          <w:tblCellMar>
            <w:top w:w="0" w:type="dxa"/>
            <w:left w:w="108" w:type="dxa"/>
            <w:bottom w:w="0" w:type="dxa"/>
            <w:right w:w="108" w:type="dxa"/>
          </w:tblCellMar>
        </w:tblPrEx>
        <w:trPr>
          <w:trHeight w:val="523"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p>
        </w:tc>
        <w:tc>
          <w:tcPr>
            <w:tcW w:w="853"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质量指标（5）</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997" w:type="dxa"/>
            <w:tcBorders>
              <w:top w:val="nil"/>
              <w:left w:val="single" w:color="auto" w:sz="4" w:space="0"/>
              <w:bottom w:val="single" w:color="auto" w:sz="4" w:space="0"/>
              <w:right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rPr>
            </w:pPr>
            <w:r>
              <w:rPr>
                <w:rFonts w:hint="eastAsia"/>
                <w:color w:val="auto"/>
                <w:kern w:val="0"/>
                <w:sz w:val="15"/>
                <w:szCs w:val="15"/>
              </w:rPr>
              <w:t>100%</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1120" w:type="dxa"/>
            <w:tcBorders>
              <w:top w:val="nil"/>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rPr>
            </w:pPr>
            <w:r>
              <w:rPr>
                <w:rFonts w:hint="eastAsia"/>
                <w:color w:val="auto"/>
                <w:kern w:val="0"/>
                <w:sz w:val="15"/>
                <w:szCs w:val="15"/>
              </w:rPr>
              <w:t>否</w:t>
            </w:r>
          </w:p>
        </w:tc>
      </w:tr>
      <w:tr>
        <w:tblPrEx>
          <w:tblCellMar>
            <w:top w:w="0" w:type="dxa"/>
            <w:left w:w="108" w:type="dxa"/>
            <w:bottom w:w="0" w:type="dxa"/>
            <w:right w:w="108" w:type="dxa"/>
          </w:tblCellMar>
        </w:tblPrEx>
        <w:trPr>
          <w:trHeight w:val="523"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p>
        </w:tc>
        <w:tc>
          <w:tcPr>
            <w:tcW w:w="853"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成本指标（5）</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997" w:type="dxa"/>
            <w:tcBorders>
              <w:top w:val="nil"/>
              <w:left w:val="single" w:color="auto" w:sz="4" w:space="0"/>
              <w:bottom w:val="single" w:color="auto" w:sz="4" w:space="0"/>
              <w:right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rPr>
            </w:pPr>
            <w:r>
              <w:rPr>
                <w:rFonts w:hint="eastAsia"/>
                <w:color w:val="auto"/>
                <w:kern w:val="0"/>
                <w:sz w:val="15"/>
                <w:szCs w:val="15"/>
              </w:rPr>
              <w:t>100%</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1120" w:type="dxa"/>
            <w:tcBorders>
              <w:top w:val="nil"/>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rPr>
            </w:pPr>
            <w:r>
              <w:rPr>
                <w:rFonts w:hint="eastAsia"/>
                <w:color w:val="auto"/>
                <w:kern w:val="0"/>
                <w:sz w:val="15"/>
                <w:szCs w:val="15"/>
              </w:rPr>
              <w:t>否</w:t>
            </w:r>
          </w:p>
        </w:tc>
      </w:tr>
      <w:tr>
        <w:tblPrEx>
          <w:tblCellMar>
            <w:top w:w="0" w:type="dxa"/>
            <w:left w:w="108" w:type="dxa"/>
            <w:bottom w:w="0" w:type="dxa"/>
            <w:right w:w="108" w:type="dxa"/>
          </w:tblCellMar>
        </w:tblPrEx>
        <w:trPr>
          <w:trHeight w:val="523"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p>
        </w:tc>
        <w:tc>
          <w:tcPr>
            <w:tcW w:w="853"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社会效益（10）</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10</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9</w:t>
            </w:r>
          </w:p>
        </w:tc>
        <w:tc>
          <w:tcPr>
            <w:tcW w:w="997" w:type="dxa"/>
            <w:tcBorders>
              <w:top w:val="nil"/>
              <w:left w:val="single" w:color="auto" w:sz="4" w:space="0"/>
              <w:bottom w:val="single" w:color="auto" w:sz="4" w:space="0"/>
              <w:right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rPr>
            </w:pPr>
            <w:r>
              <w:rPr>
                <w:rFonts w:hint="eastAsia"/>
                <w:color w:val="auto"/>
                <w:kern w:val="0"/>
                <w:sz w:val="15"/>
                <w:szCs w:val="15"/>
              </w:rPr>
              <w:t>90%</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9</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9</w:t>
            </w:r>
          </w:p>
        </w:tc>
        <w:tc>
          <w:tcPr>
            <w:tcW w:w="1120" w:type="dxa"/>
            <w:tcBorders>
              <w:top w:val="nil"/>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rPr>
            </w:pPr>
            <w:r>
              <w:rPr>
                <w:rFonts w:hint="eastAsia"/>
                <w:color w:val="auto"/>
                <w:kern w:val="0"/>
                <w:sz w:val="15"/>
                <w:szCs w:val="15"/>
              </w:rPr>
              <w:t>否</w:t>
            </w:r>
          </w:p>
        </w:tc>
      </w:tr>
      <w:tr>
        <w:tblPrEx>
          <w:tblCellMar>
            <w:top w:w="0" w:type="dxa"/>
            <w:left w:w="108" w:type="dxa"/>
            <w:bottom w:w="0" w:type="dxa"/>
            <w:right w:w="108" w:type="dxa"/>
          </w:tblCellMar>
        </w:tblPrEx>
        <w:trPr>
          <w:trHeight w:val="523"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p>
        </w:tc>
        <w:tc>
          <w:tcPr>
            <w:tcW w:w="853"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经济效益（5）</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997" w:type="dxa"/>
            <w:tcBorders>
              <w:top w:val="nil"/>
              <w:left w:val="single" w:color="auto" w:sz="4" w:space="0"/>
              <w:bottom w:val="single" w:color="auto" w:sz="4" w:space="0"/>
              <w:right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rPr>
            </w:pPr>
            <w:r>
              <w:rPr>
                <w:rFonts w:hint="eastAsia"/>
                <w:color w:val="auto"/>
                <w:kern w:val="0"/>
                <w:sz w:val="15"/>
                <w:szCs w:val="15"/>
              </w:rPr>
              <w:t>100%</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1120" w:type="dxa"/>
            <w:tcBorders>
              <w:top w:val="nil"/>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rPr>
            </w:pPr>
            <w:r>
              <w:rPr>
                <w:rFonts w:hint="eastAsia"/>
                <w:color w:val="auto"/>
                <w:kern w:val="0"/>
                <w:sz w:val="15"/>
                <w:szCs w:val="15"/>
              </w:rPr>
              <w:t>否</w:t>
            </w:r>
          </w:p>
        </w:tc>
      </w:tr>
      <w:tr>
        <w:tblPrEx>
          <w:tblCellMar>
            <w:top w:w="0" w:type="dxa"/>
            <w:left w:w="108" w:type="dxa"/>
            <w:bottom w:w="0" w:type="dxa"/>
            <w:right w:w="108" w:type="dxa"/>
          </w:tblCellMar>
        </w:tblPrEx>
        <w:trPr>
          <w:trHeight w:val="523"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p>
        </w:tc>
        <w:tc>
          <w:tcPr>
            <w:tcW w:w="853"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管理制度健全性(5)</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997" w:type="dxa"/>
            <w:tcBorders>
              <w:top w:val="nil"/>
              <w:left w:val="single" w:color="auto" w:sz="4" w:space="0"/>
              <w:bottom w:val="single" w:color="auto" w:sz="4" w:space="0"/>
              <w:right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rPr>
            </w:pPr>
            <w:r>
              <w:rPr>
                <w:rFonts w:hint="eastAsia"/>
                <w:color w:val="auto"/>
                <w:kern w:val="0"/>
                <w:sz w:val="15"/>
                <w:szCs w:val="15"/>
              </w:rPr>
              <w:t>100%</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1120" w:type="dxa"/>
            <w:tcBorders>
              <w:top w:val="nil"/>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rPr>
            </w:pPr>
            <w:r>
              <w:rPr>
                <w:rFonts w:hint="eastAsia"/>
                <w:color w:val="auto"/>
                <w:kern w:val="0"/>
                <w:sz w:val="15"/>
                <w:szCs w:val="15"/>
              </w:rPr>
              <w:t>否</w:t>
            </w:r>
          </w:p>
        </w:tc>
      </w:tr>
      <w:tr>
        <w:tblPrEx>
          <w:tblCellMar>
            <w:top w:w="0" w:type="dxa"/>
            <w:left w:w="108" w:type="dxa"/>
            <w:bottom w:w="0" w:type="dxa"/>
            <w:right w:w="108" w:type="dxa"/>
          </w:tblCellMar>
        </w:tblPrEx>
        <w:trPr>
          <w:trHeight w:val="523"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p>
        </w:tc>
        <w:tc>
          <w:tcPr>
            <w:tcW w:w="853"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制度执行有效性（5）</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997" w:type="dxa"/>
            <w:tcBorders>
              <w:top w:val="nil"/>
              <w:left w:val="single" w:color="auto" w:sz="4" w:space="0"/>
              <w:bottom w:val="single" w:color="auto" w:sz="4" w:space="0"/>
              <w:right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rPr>
            </w:pPr>
            <w:r>
              <w:rPr>
                <w:rFonts w:hint="eastAsia"/>
                <w:color w:val="auto"/>
                <w:kern w:val="0"/>
                <w:sz w:val="15"/>
                <w:szCs w:val="15"/>
              </w:rPr>
              <w:t>100%</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1120" w:type="dxa"/>
            <w:tcBorders>
              <w:top w:val="nil"/>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rPr>
            </w:pPr>
            <w:r>
              <w:rPr>
                <w:rFonts w:hint="eastAsia"/>
                <w:color w:val="auto"/>
                <w:kern w:val="0"/>
                <w:sz w:val="15"/>
                <w:szCs w:val="15"/>
              </w:rPr>
              <w:t>否</w:t>
            </w:r>
          </w:p>
        </w:tc>
      </w:tr>
      <w:tr>
        <w:tblPrEx>
          <w:tblCellMar>
            <w:top w:w="0" w:type="dxa"/>
            <w:left w:w="108" w:type="dxa"/>
            <w:bottom w:w="0" w:type="dxa"/>
            <w:right w:w="108" w:type="dxa"/>
          </w:tblCellMar>
        </w:tblPrEx>
        <w:trPr>
          <w:trHeight w:val="523"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p>
        </w:tc>
        <w:tc>
          <w:tcPr>
            <w:tcW w:w="853"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项目质量可控性（5）</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997" w:type="dxa"/>
            <w:tcBorders>
              <w:top w:val="nil"/>
              <w:left w:val="single" w:color="auto" w:sz="4" w:space="0"/>
              <w:bottom w:val="single" w:color="auto" w:sz="4" w:space="0"/>
              <w:right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rPr>
            </w:pPr>
            <w:r>
              <w:rPr>
                <w:rFonts w:hint="eastAsia"/>
                <w:color w:val="auto"/>
                <w:kern w:val="0"/>
                <w:sz w:val="15"/>
                <w:szCs w:val="15"/>
              </w:rPr>
              <w:t>100%</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1120" w:type="dxa"/>
            <w:tcBorders>
              <w:top w:val="nil"/>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否</w:t>
            </w:r>
          </w:p>
        </w:tc>
      </w:tr>
      <w:tr>
        <w:tblPrEx>
          <w:tblCellMar>
            <w:top w:w="0" w:type="dxa"/>
            <w:left w:w="108" w:type="dxa"/>
            <w:bottom w:w="0" w:type="dxa"/>
            <w:right w:w="108" w:type="dxa"/>
          </w:tblCellMar>
        </w:tblPrEx>
        <w:trPr>
          <w:trHeight w:val="523"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p>
        </w:tc>
        <w:tc>
          <w:tcPr>
            <w:tcW w:w="853"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项目实际完成率（10）</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997" w:type="dxa"/>
            <w:tcBorders>
              <w:top w:val="nil"/>
              <w:left w:val="single" w:color="auto" w:sz="4" w:space="0"/>
              <w:bottom w:val="single" w:color="auto" w:sz="4" w:space="0"/>
              <w:right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rPr>
            </w:pPr>
            <w:r>
              <w:rPr>
                <w:rFonts w:hint="eastAsia"/>
                <w:color w:val="auto"/>
                <w:kern w:val="0"/>
                <w:sz w:val="15"/>
                <w:szCs w:val="15"/>
              </w:rPr>
              <w:t>100%</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5</w:t>
            </w:r>
          </w:p>
        </w:tc>
        <w:tc>
          <w:tcPr>
            <w:tcW w:w="1120" w:type="dxa"/>
            <w:tcBorders>
              <w:top w:val="nil"/>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是</w:t>
            </w:r>
          </w:p>
        </w:tc>
      </w:tr>
      <w:tr>
        <w:tblPrEx>
          <w:tblCellMar>
            <w:top w:w="0" w:type="dxa"/>
            <w:left w:w="108" w:type="dxa"/>
            <w:bottom w:w="0" w:type="dxa"/>
            <w:right w:w="108" w:type="dxa"/>
          </w:tblCellMar>
        </w:tblPrEx>
        <w:trPr>
          <w:trHeight w:val="523"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p>
        </w:tc>
        <w:tc>
          <w:tcPr>
            <w:tcW w:w="853"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社会公众满意度（5）</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10</w:t>
            </w:r>
          </w:p>
        </w:tc>
        <w:tc>
          <w:tcPr>
            <w:tcW w:w="587"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9</w:t>
            </w:r>
          </w:p>
        </w:tc>
        <w:tc>
          <w:tcPr>
            <w:tcW w:w="997" w:type="dxa"/>
            <w:tcBorders>
              <w:top w:val="nil"/>
              <w:left w:val="single" w:color="auto" w:sz="4" w:space="0"/>
              <w:bottom w:val="single" w:color="auto" w:sz="4" w:space="0"/>
              <w:right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rPr>
            </w:pPr>
            <w:r>
              <w:rPr>
                <w:rFonts w:hint="eastAsia"/>
                <w:color w:val="auto"/>
                <w:kern w:val="0"/>
                <w:sz w:val="15"/>
                <w:szCs w:val="15"/>
              </w:rPr>
              <w:t>90%</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9</w:t>
            </w:r>
          </w:p>
        </w:tc>
        <w:tc>
          <w:tcPr>
            <w:tcW w:w="1120"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9</w:t>
            </w:r>
          </w:p>
        </w:tc>
        <w:tc>
          <w:tcPr>
            <w:tcW w:w="1120" w:type="dxa"/>
            <w:tcBorders>
              <w:top w:val="nil"/>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5"/>
                <w:szCs w:val="15"/>
              </w:rPr>
            </w:pPr>
            <w:r>
              <w:rPr>
                <w:rFonts w:hint="eastAsia"/>
                <w:color w:val="auto"/>
                <w:kern w:val="0"/>
                <w:sz w:val="15"/>
                <w:szCs w:val="15"/>
              </w:rPr>
              <w:t>是</w:t>
            </w:r>
          </w:p>
        </w:tc>
      </w:tr>
      <w:tr>
        <w:tblPrEx>
          <w:tblCellMar>
            <w:top w:w="0" w:type="dxa"/>
            <w:left w:w="108" w:type="dxa"/>
            <w:bottom w:w="0" w:type="dxa"/>
            <w:right w:w="108" w:type="dxa"/>
          </w:tblCellMar>
        </w:tblPrEx>
        <w:trPr>
          <w:trHeight w:val="755" w:hRule="atLeast"/>
          <w:jc w:val="center"/>
        </w:trPr>
        <w:tc>
          <w:tcPr>
            <w:tcW w:w="85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color w:val="auto"/>
                <w:kern w:val="0"/>
                <w:sz w:val="18"/>
                <w:szCs w:val="18"/>
              </w:rPr>
              <w:t>说明</w:t>
            </w:r>
          </w:p>
        </w:tc>
        <w:tc>
          <w:tcPr>
            <w:tcW w:w="8678"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color w:val="auto"/>
                <w:kern w:val="0"/>
                <w:sz w:val="18"/>
                <w:szCs w:val="18"/>
              </w:rPr>
            </w:pPr>
            <w:r>
              <w:rPr>
                <w:rFonts w:hint="eastAsia"/>
                <w:color w:val="auto"/>
                <w:kern w:val="0"/>
                <w:sz w:val="18"/>
                <w:szCs w:val="18"/>
              </w:rPr>
              <w:t>无</w:t>
            </w:r>
          </w:p>
        </w:tc>
      </w:tr>
    </w:tbl>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eastAsia="方正黑体_GBK"/>
          <w:color w:val="auto"/>
          <w:szCs w:val="32"/>
        </w:rPr>
      </w:pPr>
      <w:r>
        <w:rPr>
          <w:rFonts w:eastAsia="方正黑体_GBK"/>
          <w:b/>
          <w:color w:val="auto"/>
          <w:szCs w:val="32"/>
        </w:rPr>
        <w:t>六、专业名词解释</w:t>
      </w:r>
      <w:r>
        <w:rPr>
          <w:rFonts w:hint="eastAsia" w:eastAsia="方正黑体_GBK"/>
          <w:color w:val="auto"/>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（一）财政拨款收入：指本年度从本级财政部门取得的财政拨款，包括一般公共预算财政拨款和政府性基金预算财政拨款。</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（二）事业收入：指事业单位开展专业业务活动及其辅助活动取得的现金流入；事业单位收到的财政专户实际核拨的教育收费等资金在此反映。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（三）经营收入：指事业单位在专业业务活动及其辅助活动之外开展非独立核算经营活动取得的现金流入。</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（四）其他收入：指单位取得的除“财政拨款收入”、“事业收入”、“经营收入”等以外的收入，包括未纳入财政预算或财政专户管理的投资收益、银行存款利息收入、租金收入、 捐赠收入，现金盘盈收入、存货盘盈收入、收回已核销的应收及预付款项、无法偿付的应付及预收款项等。各单位从本级财政部门以外的同级单位取得的经费、从非 本级财政部门取得的经费，以及行政单位收到的财政专户管理资金反映在本项内。</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（五）使用非财政拨款结余：指单位在当年的“财政拨款收入”、“事业收入”、“经营收入”、“其他收入”等不足以安排当年支出的情况下，使用以前年度积累的非财政拨款结余弥补本年度收支缺口的资金。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（六）年初结转和结余：指单位上年结转本年使用的基本支出结转、项目支出结转和结余、经营结余。</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（七）结余分配：指单位按照国家有关规定，缴纳所得税、提取专用基金、转入非财政拨款结余等当年结余的分配情况。</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（八）年末结转和结余：指单位结转下年的基本支出结转、项目支出结转和结余、经营结余。</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（十）项目支出：指在基本支出之外为完成特定行政任务和事业发展目标所发生的支出。</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（十一）经营支出：指事业单位在专业业务活动及其辅助活动之外开展非独立核算经营活动发生的支出。</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（十二）“三公”经费：指用一般公共预算财政拨款安排的因公出国（境）费、公务用车购置及运行维护费、公务接待费。其中，因公出国（境）费反映单位公务出国（境）的国际旅费、国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（十三）工资福利支出（支出经济分类科目类级）：反映单位开支的在职职工和编制外长期聘用人员的各类劳动报酬，以及为上述人员缴纳的各项社会保险费等。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（十四）商品和服务支出（支出经济分类科目类级）：反映单位购买商品和服务的支出（不包括用于购置固定资产的支出、战略性和应急储备支出）。</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（十五）对个人和家庭的补助（支出经济分类科目类级）：反映用于对个人和家庭的补助支出。</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十六）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ascii="方正黑体_GBK" w:hAnsi="方正黑体_GBK" w:eastAsia="方正黑体_GBK" w:cs="方正黑体_GBK"/>
          <w:b w:val="0"/>
          <w:bCs/>
          <w:color w:val="auto"/>
          <w:sz w:val="32"/>
          <w:szCs w:val="32"/>
        </w:rPr>
      </w:pPr>
      <w:r>
        <w:rPr>
          <w:rStyle w:val="9"/>
          <w:rFonts w:hint="eastAsia" w:ascii="方正黑体_GBK" w:hAnsi="方正黑体_GBK" w:eastAsia="方正黑体_GBK" w:cs="方正黑体_GBK"/>
          <w:b w:val="0"/>
          <w:bCs/>
          <w:color w:val="auto"/>
          <w:sz w:val="32"/>
          <w:szCs w:val="32"/>
        </w:rPr>
        <w:t>七、决算公开联系方式及信息反馈渠道</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2"/>
          <w:sz w:val="32"/>
          <w:szCs w:val="32"/>
        </w:rPr>
        <w:t>本单位决算公开信息反馈和联系方式：023-85762357。</w:t>
      </w:r>
    </w:p>
    <w:p>
      <w:pPr>
        <w:pStyle w:val="11"/>
        <w:keepNext w:val="0"/>
        <w:keepLines w:val="0"/>
        <w:pageBreakBefore w:val="0"/>
        <w:tabs>
          <w:tab w:val="center" w:pos="4153"/>
          <w:tab w:val="left" w:pos="7275"/>
        </w:tabs>
        <w:kinsoku/>
        <w:wordWrap/>
        <w:overflowPunct/>
        <w:topLinePunct w:val="0"/>
        <w:autoSpaceDE/>
        <w:autoSpaceDN/>
        <w:bidi w:val="0"/>
        <w:adjustRightInd/>
        <w:snapToGrid/>
        <w:spacing w:line="600" w:lineRule="exact"/>
        <w:ind w:left="0" w:leftChars="0" w:firstLine="640"/>
        <w:textAlignment w:val="auto"/>
        <w:rPr>
          <w:rFonts w:hint="eastAsia" w:ascii="方正仿宋_GBK" w:hAnsi="方正仿宋_GBK" w:eastAsia="方正仿宋_GBK" w:cs="方正仿宋_GBK"/>
          <w:color w:val="auto"/>
          <w:szCs w:val="32"/>
        </w:rPr>
      </w:pPr>
    </w:p>
    <w:sectPr>
      <w:headerReference r:id="rId7" w:type="default"/>
      <w:footerReference r:id="rId8" w:type="default"/>
      <w:pgSz w:w="11906" w:h="16838"/>
      <w:pgMar w:top="1701" w:right="1531" w:bottom="1418" w:left="1531" w:header="851" w:footer="1474"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22960665"/>
                </w:sdtPr>
                <w:sdtContent>
                  <w:p>
                    <w:pPr>
                      <w:pStyle w:val="3"/>
                      <w:jc w:val="right"/>
                    </w:pPr>
                    <w:r>
                      <w:fldChar w:fldCharType="begin"/>
                    </w:r>
                    <w:r>
                      <w:instrText xml:space="preserve"> PAGE   \* MERGEFORMAT </w:instrText>
                    </w:r>
                    <w:r>
                      <w:fldChar w:fldCharType="separate"/>
                    </w:r>
                    <w:r>
                      <w:rPr>
                        <w:lang w:val="zh-CN"/>
                      </w:rPr>
                      <w:t>8</w:t>
                    </w:r>
                    <w:r>
                      <w:rPr>
                        <w:lang w:val="zh-CN"/>
                      </w:rPr>
                      <w:fldChar w:fldCharType="end"/>
                    </w:r>
                  </w:p>
                </w:sdtContent>
              </w:sdt>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22C582A"/>
    <w:rsid w:val="00004D73"/>
    <w:rsid w:val="00064F3A"/>
    <w:rsid w:val="00067506"/>
    <w:rsid w:val="0007787E"/>
    <w:rsid w:val="0008256C"/>
    <w:rsid w:val="00095E4B"/>
    <w:rsid w:val="000A3F78"/>
    <w:rsid w:val="000C0E8E"/>
    <w:rsid w:val="000C10EF"/>
    <w:rsid w:val="000D0233"/>
    <w:rsid w:val="000E63C6"/>
    <w:rsid w:val="000F0515"/>
    <w:rsid w:val="000F5073"/>
    <w:rsid w:val="00111F77"/>
    <w:rsid w:val="00124AE8"/>
    <w:rsid w:val="001312A2"/>
    <w:rsid w:val="00147E81"/>
    <w:rsid w:val="001555E1"/>
    <w:rsid w:val="001629DD"/>
    <w:rsid w:val="001813A0"/>
    <w:rsid w:val="0019191C"/>
    <w:rsid w:val="001D3C2E"/>
    <w:rsid w:val="00210736"/>
    <w:rsid w:val="0021486B"/>
    <w:rsid w:val="00227C25"/>
    <w:rsid w:val="00230B99"/>
    <w:rsid w:val="00246877"/>
    <w:rsid w:val="002652C7"/>
    <w:rsid w:val="0027508B"/>
    <w:rsid w:val="00282483"/>
    <w:rsid w:val="00283B66"/>
    <w:rsid w:val="00286D19"/>
    <w:rsid w:val="002A62F5"/>
    <w:rsid w:val="002C285F"/>
    <w:rsid w:val="002D4FE0"/>
    <w:rsid w:val="002F0413"/>
    <w:rsid w:val="003226A5"/>
    <w:rsid w:val="00332916"/>
    <w:rsid w:val="00334D35"/>
    <w:rsid w:val="00336182"/>
    <w:rsid w:val="00341E55"/>
    <w:rsid w:val="00352DB2"/>
    <w:rsid w:val="003668A2"/>
    <w:rsid w:val="003730B5"/>
    <w:rsid w:val="00382980"/>
    <w:rsid w:val="00391CA3"/>
    <w:rsid w:val="003B100D"/>
    <w:rsid w:val="003F21C4"/>
    <w:rsid w:val="003F2CF8"/>
    <w:rsid w:val="003F6B01"/>
    <w:rsid w:val="00413F4C"/>
    <w:rsid w:val="004220DC"/>
    <w:rsid w:val="00435D5C"/>
    <w:rsid w:val="0043697B"/>
    <w:rsid w:val="00441B85"/>
    <w:rsid w:val="00473D46"/>
    <w:rsid w:val="004836B4"/>
    <w:rsid w:val="00486581"/>
    <w:rsid w:val="0049109B"/>
    <w:rsid w:val="004B09AE"/>
    <w:rsid w:val="004B545B"/>
    <w:rsid w:val="004C1B38"/>
    <w:rsid w:val="004D1E36"/>
    <w:rsid w:val="004D3F12"/>
    <w:rsid w:val="004E2908"/>
    <w:rsid w:val="0051448F"/>
    <w:rsid w:val="00527A82"/>
    <w:rsid w:val="005345C3"/>
    <w:rsid w:val="00536184"/>
    <w:rsid w:val="00556B9E"/>
    <w:rsid w:val="00576E06"/>
    <w:rsid w:val="00581134"/>
    <w:rsid w:val="00582785"/>
    <w:rsid w:val="00593E20"/>
    <w:rsid w:val="005B3D77"/>
    <w:rsid w:val="005E52DC"/>
    <w:rsid w:val="005F4820"/>
    <w:rsid w:val="00602866"/>
    <w:rsid w:val="00623115"/>
    <w:rsid w:val="00631B1E"/>
    <w:rsid w:val="00633463"/>
    <w:rsid w:val="0063557B"/>
    <w:rsid w:val="006429B5"/>
    <w:rsid w:val="00645929"/>
    <w:rsid w:val="006B0424"/>
    <w:rsid w:val="006B195B"/>
    <w:rsid w:val="006B4840"/>
    <w:rsid w:val="006C361F"/>
    <w:rsid w:val="006C54E8"/>
    <w:rsid w:val="006E0152"/>
    <w:rsid w:val="006E5492"/>
    <w:rsid w:val="00700FB6"/>
    <w:rsid w:val="007133E0"/>
    <w:rsid w:val="007136B7"/>
    <w:rsid w:val="00730969"/>
    <w:rsid w:val="0073463F"/>
    <w:rsid w:val="00765062"/>
    <w:rsid w:val="007805AB"/>
    <w:rsid w:val="00785843"/>
    <w:rsid w:val="007B00B3"/>
    <w:rsid w:val="007B03E4"/>
    <w:rsid w:val="007D5324"/>
    <w:rsid w:val="007E4099"/>
    <w:rsid w:val="00800FC1"/>
    <w:rsid w:val="0080509C"/>
    <w:rsid w:val="00817DD8"/>
    <w:rsid w:val="00882B24"/>
    <w:rsid w:val="008A118B"/>
    <w:rsid w:val="008B24E5"/>
    <w:rsid w:val="008B5388"/>
    <w:rsid w:val="008E0505"/>
    <w:rsid w:val="008E384B"/>
    <w:rsid w:val="008F335A"/>
    <w:rsid w:val="009070A1"/>
    <w:rsid w:val="00907800"/>
    <w:rsid w:val="009264E5"/>
    <w:rsid w:val="00931F02"/>
    <w:rsid w:val="009514F3"/>
    <w:rsid w:val="009727A6"/>
    <w:rsid w:val="00982569"/>
    <w:rsid w:val="0098585C"/>
    <w:rsid w:val="00986B9C"/>
    <w:rsid w:val="00992069"/>
    <w:rsid w:val="009D7A3F"/>
    <w:rsid w:val="009E4C62"/>
    <w:rsid w:val="009F2B1F"/>
    <w:rsid w:val="009F33FB"/>
    <w:rsid w:val="009F4C61"/>
    <w:rsid w:val="00A03C98"/>
    <w:rsid w:val="00A078AE"/>
    <w:rsid w:val="00A1305A"/>
    <w:rsid w:val="00A44C1A"/>
    <w:rsid w:val="00A46FD2"/>
    <w:rsid w:val="00A541FA"/>
    <w:rsid w:val="00A645C9"/>
    <w:rsid w:val="00A84677"/>
    <w:rsid w:val="00AB4E15"/>
    <w:rsid w:val="00AD0C6B"/>
    <w:rsid w:val="00AE7E76"/>
    <w:rsid w:val="00B03BAF"/>
    <w:rsid w:val="00B06279"/>
    <w:rsid w:val="00B14891"/>
    <w:rsid w:val="00B17647"/>
    <w:rsid w:val="00B25457"/>
    <w:rsid w:val="00B33EFF"/>
    <w:rsid w:val="00B3574F"/>
    <w:rsid w:val="00B36E10"/>
    <w:rsid w:val="00B40639"/>
    <w:rsid w:val="00B71EFA"/>
    <w:rsid w:val="00B74D40"/>
    <w:rsid w:val="00B87076"/>
    <w:rsid w:val="00BA4B3E"/>
    <w:rsid w:val="00BA5AB2"/>
    <w:rsid w:val="00BB5B76"/>
    <w:rsid w:val="00BB7413"/>
    <w:rsid w:val="00BC1AF6"/>
    <w:rsid w:val="00BC6236"/>
    <w:rsid w:val="00BC690E"/>
    <w:rsid w:val="00BC78E9"/>
    <w:rsid w:val="00BE508A"/>
    <w:rsid w:val="00C35817"/>
    <w:rsid w:val="00C37BFF"/>
    <w:rsid w:val="00C907BE"/>
    <w:rsid w:val="00C9325B"/>
    <w:rsid w:val="00C947D2"/>
    <w:rsid w:val="00C9550F"/>
    <w:rsid w:val="00CB2158"/>
    <w:rsid w:val="00CB4183"/>
    <w:rsid w:val="00CB5EC0"/>
    <w:rsid w:val="00CC5C70"/>
    <w:rsid w:val="00CD6076"/>
    <w:rsid w:val="00CE5D82"/>
    <w:rsid w:val="00D00156"/>
    <w:rsid w:val="00D037A5"/>
    <w:rsid w:val="00D21BD6"/>
    <w:rsid w:val="00D23A61"/>
    <w:rsid w:val="00D42F88"/>
    <w:rsid w:val="00D54125"/>
    <w:rsid w:val="00D636AB"/>
    <w:rsid w:val="00DA0384"/>
    <w:rsid w:val="00E429DE"/>
    <w:rsid w:val="00E47891"/>
    <w:rsid w:val="00E52CDE"/>
    <w:rsid w:val="00E55A07"/>
    <w:rsid w:val="00E61677"/>
    <w:rsid w:val="00E62959"/>
    <w:rsid w:val="00E657FA"/>
    <w:rsid w:val="00E7106C"/>
    <w:rsid w:val="00E760A5"/>
    <w:rsid w:val="00EB0DA4"/>
    <w:rsid w:val="00EB6AA9"/>
    <w:rsid w:val="00EC116F"/>
    <w:rsid w:val="00ED0A4E"/>
    <w:rsid w:val="00ED5296"/>
    <w:rsid w:val="00F07D3B"/>
    <w:rsid w:val="00F142CF"/>
    <w:rsid w:val="00F36472"/>
    <w:rsid w:val="00F41900"/>
    <w:rsid w:val="00F62708"/>
    <w:rsid w:val="00F830BF"/>
    <w:rsid w:val="00F8401F"/>
    <w:rsid w:val="00F901ED"/>
    <w:rsid w:val="00FA4A1F"/>
    <w:rsid w:val="00FD0649"/>
    <w:rsid w:val="00FD381D"/>
    <w:rsid w:val="00FE4F32"/>
    <w:rsid w:val="00FF480E"/>
    <w:rsid w:val="01806D81"/>
    <w:rsid w:val="01A655EC"/>
    <w:rsid w:val="02356CFC"/>
    <w:rsid w:val="026D3363"/>
    <w:rsid w:val="03483378"/>
    <w:rsid w:val="05826A24"/>
    <w:rsid w:val="06EB5AFF"/>
    <w:rsid w:val="095D70C8"/>
    <w:rsid w:val="09A447EA"/>
    <w:rsid w:val="0A387B45"/>
    <w:rsid w:val="0A90650D"/>
    <w:rsid w:val="0B881444"/>
    <w:rsid w:val="0C3E06B9"/>
    <w:rsid w:val="0CE10BDD"/>
    <w:rsid w:val="0D7A2D6A"/>
    <w:rsid w:val="0D874F2A"/>
    <w:rsid w:val="0E462F36"/>
    <w:rsid w:val="0E7E6AD3"/>
    <w:rsid w:val="0E7F1753"/>
    <w:rsid w:val="108801DA"/>
    <w:rsid w:val="122C582A"/>
    <w:rsid w:val="126E157F"/>
    <w:rsid w:val="13A63113"/>
    <w:rsid w:val="153D3761"/>
    <w:rsid w:val="163F66AE"/>
    <w:rsid w:val="16756CD4"/>
    <w:rsid w:val="168926D3"/>
    <w:rsid w:val="17014E5E"/>
    <w:rsid w:val="190B0C80"/>
    <w:rsid w:val="1CBF17AC"/>
    <w:rsid w:val="1F2E4612"/>
    <w:rsid w:val="1F511E69"/>
    <w:rsid w:val="205F5682"/>
    <w:rsid w:val="21977233"/>
    <w:rsid w:val="238149E5"/>
    <w:rsid w:val="242A4036"/>
    <w:rsid w:val="24925351"/>
    <w:rsid w:val="24B40F4D"/>
    <w:rsid w:val="263063A6"/>
    <w:rsid w:val="26551CA9"/>
    <w:rsid w:val="278A035A"/>
    <w:rsid w:val="27C71639"/>
    <w:rsid w:val="28041890"/>
    <w:rsid w:val="281833E1"/>
    <w:rsid w:val="28DF1690"/>
    <w:rsid w:val="297C4434"/>
    <w:rsid w:val="2BBF06FD"/>
    <w:rsid w:val="2BC937CF"/>
    <w:rsid w:val="2C270A39"/>
    <w:rsid w:val="2C7129FC"/>
    <w:rsid w:val="2CB94EB2"/>
    <w:rsid w:val="2D2E2D7E"/>
    <w:rsid w:val="31C57554"/>
    <w:rsid w:val="33391C8E"/>
    <w:rsid w:val="345A76DF"/>
    <w:rsid w:val="352F4AAB"/>
    <w:rsid w:val="356D2148"/>
    <w:rsid w:val="364E327C"/>
    <w:rsid w:val="36776800"/>
    <w:rsid w:val="378F009A"/>
    <w:rsid w:val="3985333E"/>
    <w:rsid w:val="39D6258F"/>
    <w:rsid w:val="3A691188"/>
    <w:rsid w:val="3A7E4AE2"/>
    <w:rsid w:val="3AAE5809"/>
    <w:rsid w:val="3ADC7039"/>
    <w:rsid w:val="3B1A6EB9"/>
    <w:rsid w:val="3B670912"/>
    <w:rsid w:val="3BE56E26"/>
    <w:rsid w:val="3C66310B"/>
    <w:rsid w:val="3C783E72"/>
    <w:rsid w:val="3D1D7069"/>
    <w:rsid w:val="3D87699E"/>
    <w:rsid w:val="3EA326DE"/>
    <w:rsid w:val="3ED22F91"/>
    <w:rsid w:val="3EF6139C"/>
    <w:rsid w:val="411314FB"/>
    <w:rsid w:val="41C856DD"/>
    <w:rsid w:val="430054D8"/>
    <w:rsid w:val="43892913"/>
    <w:rsid w:val="44BA1F1D"/>
    <w:rsid w:val="455326A3"/>
    <w:rsid w:val="46596C11"/>
    <w:rsid w:val="46D6525F"/>
    <w:rsid w:val="476B3399"/>
    <w:rsid w:val="47C06BB9"/>
    <w:rsid w:val="47CE5B03"/>
    <w:rsid w:val="48406B08"/>
    <w:rsid w:val="48861842"/>
    <w:rsid w:val="496E3698"/>
    <w:rsid w:val="496F10DE"/>
    <w:rsid w:val="4AC8460B"/>
    <w:rsid w:val="4CD07BC6"/>
    <w:rsid w:val="4D4F49FC"/>
    <w:rsid w:val="4E195C47"/>
    <w:rsid w:val="506F3616"/>
    <w:rsid w:val="52421C31"/>
    <w:rsid w:val="52A427B6"/>
    <w:rsid w:val="52F25B90"/>
    <w:rsid w:val="53670BC4"/>
    <w:rsid w:val="53D447AB"/>
    <w:rsid w:val="540D7BCE"/>
    <w:rsid w:val="54CF4FD8"/>
    <w:rsid w:val="56172954"/>
    <w:rsid w:val="56D9076F"/>
    <w:rsid w:val="57131783"/>
    <w:rsid w:val="58450EAE"/>
    <w:rsid w:val="58563A03"/>
    <w:rsid w:val="58981CB2"/>
    <w:rsid w:val="595128EA"/>
    <w:rsid w:val="59D94699"/>
    <w:rsid w:val="5A5E128E"/>
    <w:rsid w:val="5B992DA7"/>
    <w:rsid w:val="5C2C50A0"/>
    <w:rsid w:val="5CBD02B1"/>
    <w:rsid w:val="5D8E0E1D"/>
    <w:rsid w:val="5D9C59A0"/>
    <w:rsid w:val="60333493"/>
    <w:rsid w:val="604D2A30"/>
    <w:rsid w:val="60DC245A"/>
    <w:rsid w:val="610F2FF6"/>
    <w:rsid w:val="61935AF5"/>
    <w:rsid w:val="628D5173"/>
    <w:rsid w:val="62F74F9E"/>
    <w:rsid w:val="634203B0"/>
    <w:rsid w:val="634C6ABE"/>
    <w:rsid w:val="636F5754"/>
    <w:rsid w:val="63744B02"/>
    <w:rsid w:val="64492EB3"/>
    <w:rsid w:val="64794AE6"/>
    <w:rsid w:val="64C2339D"/>
    <w:rsid w:val="657633A5"/>
    <w:rsid w:val="66D83C66"/>
    <w:rsid w:val="66DA3C2B"/>
    <w:rsid w:val="67163CB8"/>
    <w:rsid w:val="688A6957"/>
    <w:rsid w:val="68A206D6"/>
    <w:rsid w:val="68EE6070"/>
    <w:rsid w:val="691A1FA9"/>
    <w:rsid w:val="69247AB6"/>
    <w:rsid w:val="69DA3F19"/>
    <w:rsid w:val="6B3A39D4"/>
    <w:rsid w:val="6B865E2E"/>
    <w:rsid w:val="6BAD4CEC"/>
    <w:rsid w:val="6DDA6878"/>
    <w:rsid w:val="6E6B0B15"/>
    <w:rsid w:val="6EC259AA"/>
    <w:rsid w:val="70085DA4"/>
    <w:rsid w:val="70760E92"/>
    <w:rsid w:val="71004A80"/>
    <w:rsid w:val="72065C93"/>
    <w:rsid w:val="755E52AA"/>
    <w:rsid w:val="75772B29"/>
    <w:rsid w:val="75BC7B77"/>
    <w:rsid w:val="771D5F27"/>
    <w:rsid w:val="776611C7"/>
    <w:rsid w:val="776A0DAA"/>
    <w:rsid w:val="778C0EA9"/>
    <w:rsid w:val="791A0FC5"/>
    <w:rsid w:val="79CE244C"/>
    <w:rsid w:val="79DF2FD0"/>
    <w:rsid w:val="7B341E31"/>
    <w:rsid w:val="7B4E5914"/>
    <w:rsid w:val="7B83471E"/>
    <w:rsid w:val="7C967920"/>
    <w:rsid w:val="7D8064B5"/>
    <w:rsid w:val="7E894654"/>
    <w:rsid w:val="7FC85298"/>
    <w:rsid w:val="CAFB0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方正仿宋_GBK" w:cs="Times New Roman"/>
      <w:kern w:val="2"/>
      <w:sz w:val="3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pPr>
      <w:spacing w:line="240" w:lineRule="auto"/>
    </w:pPr>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footnote text"/>
    <w:basedOn w:val="1"/>
    <w:link w:val="14"/>
    <w:qFormat/>
    <w:uiPriority w:val="0"/>
    <w:pPr>
      <w:snapToGrid w:val="0"/>
      <w:jc w:val="left"/>
    </w:pPr>
    <w:rPr>
      <w:sz w:val="18"/>
      <w:szCs w:val="18"/>
    </w:rPr>
  </w:style>
  <w:style w:type="paragraph" w:styleId="6">
    <w:name w:val="Normal (Web)"/>
    <w:basedOn w:val="1"/>
    <w:unhideWhenUsed/>
    <w:qFormat/>
    <w:uiPriority w:val="99"/>
    <w:pPr>
      <w:spacing w:before="100" w:beforeAutospacing="1" w:after="100" w:afterAutospacing="1" w:line="240" w:lineRule="auto"/>
      <w:jc w:val="left"/>
    </w:pPr>
    <w:rPr>
      <w:rFonts w:ascii="Calibri" w:hAnsi="Calibri" w:eastAsia="宋体"/>
      <w:kern w:val="0"/>
      <w:sz w:val="24"/>
      <w:szCs w:val="20"/>
    </w:rPr>
  </w:style>
  <w:style w:type="character" w:styleId="9">
    <w:name w:val="Strong"/>
    <w:qFormat/>
    <w:uiPriority w:val="22"/>
    <w:rPr>
      <w:b/>
      <w:bCs/>
    </w:rPr>
  </w:style>
  <w:style w:type="character" w:styleId="10">
    <w:name w:val="footnote reference"/>
    <w:basedOn w:val="8"/>
    <w:qFormat/>
    <w:uiPriority w:val="0"/>
    <w:rPr>
      <w:vertAlign w:val="superscript"/>
    </w:rPr>
  </w:style>
  <w:style w:type="paragraph" w:styleId="11">
    <w:name w:val="List Paragraph"/>
    <w:basedOn w:val="1"/>
    <w:qFormat/>
    <w:uiPriority w:val="34"/>
    <w:pPr>
      <w:ind w:firstLine="420" w:firstLineChars="200"/>
    </w:pPr>
  </w:style>
  <w:style w:type="character" w:customStyle="1" w:styleId="12">
    <w:name w:val="font41"/>
    <w:basedOn w:val="8"/>
    <w:qFormat/>
    <w:uiPriority w:val="0"/>
    <w:rPr>
      <w:rFonts w:hint="eastAsia" w:ascii="宋体" w:hAnsi="宋体" w:eastAsia="宋体" w:cs="宋体"/>
      <w:color w:val="000000"/>
      <w:sz w:val="20"/>
      <w:szCs w:val="20"/>
      <w:u w:val="none"/>
    </w:rPr>
  </w:style>
  <w:style w:type="character" w:customStyle="1" w:styleId="13">
    <w:name w:val="font01"/>
    <w:basedOn w:val="8"/>
    <w:qFormat/>
    <w:uiPriority w:val="0"/>
    <w:rPr>
      <w:rFonts w:hint="eastAsia" w:ascii="宋体" w:hAnsi="宋体" w:eastAsia="宋体" w:cs="宋体"/>
      <w:color w:val="FF0000"/>
      <w:sz w:val="20"/>
      <w:szCs w:val="20"/>
      <w:u w:val="none"/>
    </w:rPr>
  </w:style>
  <w:style w:type="character" w:customStyle="1" w:styleId="14">
    <w:name w:val="脚注文本 Char"/>
    <w:basedOn w:val="8"/>
    <w:link w:val="5"/>
    <w:qFormat/>
    <w:uiPriority w:val="0"/>
    <w:rPr>
      <w:rFonts w:ascii="Times New Roman" w:hAnsi="Times New Roman" w:eastAsia="方正仿宋_GBK"/>
      <w:kern w:val="2"/>
      <w:sz w:val="18"/>
      <w:szCs w:val="18"/>
    </w:rPr>
  </w:style>
  <w:style w:type="character" w:customStyle="1" w:styleId="15">
    <w:name w:val="页脚 Char"/>
    <w:basedOn w:val="8"/>
    <w:link w:val="3"/>
    <w:qFormat/>
    <w:uiPriority w:val="99"/>
    <w:rPr>
      <w:rFonts w:ascii="Times New Roman" w:hAnsi="Times New Roman" w:eastAsia="方正仿宋_GBK"/>
      <w:kern w:val="2"/>
      <w:sz w:val="18"/>
      <w:szCs w:val="18"/>
    </w:rPr>
  </w:style>
  <w:style w:type="character" w:customStyle="1" w:styleId="16">
    <w:name w:val="批注框文本 Char"/>
    <w:basedOn w:val="8"/>
    <w:link w:val="2"/>
    <w:qFormat/>
    <w:uiPriority w:val="0"/>
    <w:rPr>
      <w:rFonts w:ascii="Times New Roman" w:hAnsi="Times New Roman"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572B82-77AB-488E-A964-4A1D13F639D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Company>
  <Pages>13</Pages>
  <Words>5038</Words>
  <Characters>849</Characters>
  <Lines>7</Lines>
  <Paragraphs>11</Paragraphs>
  <TotalTime>12</TotalTime>
  <ScaleCrop>false</ScaleCrop>
  <LinksUpToDate>false</LinksUpToDate>
  <CharactersWithSpaces>5876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2021-10-22T06:40:00Z</dcterms:created>
  <dc:creator>acer</dc:creator>
  <cp:lastModifiedBy>张晶</cp:lastModifiedBy>
  <cp:lastPrinted>2021-10-22T06:39:00Z</cp:lastPrinted>
  <dcterms:modified xsi:type="dcterms:W3CDTF">2021-10-25T03:06:29Z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1E1C9C1E17FA446E8FE58C8C36C81200</vt:lpwstr>
  </property>
</Properties>
</file>