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center"/>
        <w:textAlignment w:val="auto"/>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重庆市万州区住房和城乡建设服务中心</w:t>
      </w:r>
    </w:p>
    <w:p>
      <w:pPr>
        <w:keepNext w:val="0"/>
        <w:keepLines w:val="0"/>
        <w:pageBreakBefore w:val="0"/>
        <w:kinsoku/>
        <w:wordWrap/>
        <w:overflowPunct/>
        <w:topLinePunct w:val="0"/>
        <w:autoSpaceDE/>
        <w:autoSpaceDN/>
        <w:bidi w:val="0"/>
        <w:adjustRightInd/>
        <w:spacing w:line="600" w:lineRule="exact"/>
        <w:jc w:val="center"/>
        <w:textAlignment w:val="auto"/>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单位</w:t>
      </w:r>
      <w:r>
        <w:rPr>
          <w:rFonts w:hint="eastAsia" w:ascii="方正小标宋_GBK" w:hAnsi="方正小标宋_GBK" w:eastAsia="方正小标宋_GBK" w:cs="方正小标宋_GBK"/>
          <w:color w:val="auto"/>
          <w:sz w:val="44"/>
          <w:szCs w:val="44"/>
        </w:rPr>
        <w:t>2020部门决算情况说明</w:t>
      </w:r>
    </w:p>
    <w:p>
      <w:pPr>
        <w:keepNext w:val="0"/>
        <w:keepLines w:val="0"/>
        <w:pageBreakBefore w:val="0"/>
        <w:kinsoku/>
        <w:wordWrap/>
        <w:overflowPunct/>
        <w:topLinePunct w:val="0"/>
        <w:autoSpaceDE/>
        <w:autoSpaceDN/>
        <w:bidi w:val="0"/>
        <w:adjustRightInd/>
        <w:spacing w:line="600" w:lineRule="exact"/>
        <w:jc w:val="both"/>
        <w:textAlignment w:val="auto"/>
        <w:outlineLvl w:val="0"/>
        <w:rPr>
          <w:rFonts w:eastAsia="方正小标宋_GBK"/>
          <w:color w:val="auto"/>
          <w:sz w:val="44"/>
          <w:szCs w:val="44"/>
        </w:rPr>
      </w:pP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outlineLvl w:val="0"/>
        <w:rPr>
          <w:rFonts w:eastAsia="方正黑体_GBK"/>
          <w:color w:val="auto"/>
          <w:szCs w:val="32"/>
        </w:rPr>
      </w:pPr>
      <w:r>
        <w:rPr>
          <w:rFonts w:eastAsia="方正黑体_GBK"/>
          <w:color w:val="auto"/>
          <w:szCs w:val="32"/>
        </w:rPr>
        <w:t>一、单位基本情况</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eastAsia="方正楷体_GBK"/>
          <w:color w:val="auto"/>
          <w:szCs w:val="32"/>
        </w:rPr>
      </w:pPr>
      <w:r>
        <w:rPr>
          <w:rFonts w:hint="eastAsia" w:eastAsia="方正楷体_GBK"/>
          <w:color w:val="auto"/>
          <w:szCs w:val="32"/>
        </w:rPr>
        <w:t>（一）职能职责</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ascii="方正仿宋_GBK"/>
          <w:color w:val="auto"/>
          <w:szCs w:val="32"/>
        </w:rPr>
        <w:t>承担住房和城乡建设、人民防空领域发展规划的编制和研究事务；承担房屋建筑和市政基础设施工程、人民防空工程、装饰装修工程的质量、安全监督管理的事务性工作；承担房屋使用安全管理的事务性工作；完成区委、区政府和区住房城乡建委交办的其他任务。</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eastAsia="方正楷体_GBK"/>
          <w:color w:val="auto"/>
          <w:szCs w:val="32"/>
        </w:rPr>
      </w:pPr>
      <w:r>
        <w:rPr>
          <w:rFonts w:hint="eastAsia" w:eastAsia="方正楷体_GBK"/>
          <w:color w:val="auto"/>
          <w:szCs w:val="32"/>
        </w:rPr>
        <w:t>（二）机构设置</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根据万州区编委《关于同意组建重庆市万州区住房和城乡建设服务中心的批复》（万州委编委发</w:t>
      </w:r>
      <w:r>
        <w:rPr>
          <w:rFonts w:ascii="方正仿宋_GBK"/>
          <w:color w:val="auto"/>
          <w:szCs w:val="32"/>
        </w:rPr>
        <w:t>〔</w:t>
      </w:r>
      <w:r>
        <w:rPr>
          <w:rFonts w:hint="eastAsia" w:ascii="方正仿宋_GBK"/>
          <w:color w:val="auto"/>
          <w:szCs w:val="32"/>
        </w:rPr>
        <w:t>2020</w:t>
      </w:r>
      <w:r>
        <w:rPr>
          <w:rFonts w:ascii="方正仿宋_GBK"/>
          <w:color w:val="auto"/>
          <w:szCs w:val="32"/>
        </w:rPr>
        <w:t>〕</w:t>
      </w:r>
      <w:r>
        <w:rPr>
          <w:rFonts w:hint="eastAsia" w:ascii="方正仿宋_GBK"/>
          <w:color w:val="auto"/>
          <w:szCs w:val="32"/>
        </w:rPr>
        <w:t>12号）文件精神，本单位是整合重庆市万州区建设工程施工安全管理站、重庆市万州区建设工程质量监督站，以及人民防空工程管理方面的公益服务职责而组建，为公益一类、全额拨款的副处级单位，设8个内设科室。</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eastAsia="方正楷体_GBK"/>
          <w:color w:val="auto"/>
          <w:szCs w:val="32"/>
        </w:rPr>
      </w:pPr>
      <w:r>
        <w:rPr>
          <w:rFonts w:hint="eastAsia" w:eastAsia="方正楷体_GBK"/>
          <w:color w:val="auto"/>
          <w:szCs w:val="32"/>
        </w:rPr>
        <w:t>（三）单位构成</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ascii="方正仿宋_GBK"/>
          <w:color w:val="auto"/>
          <w:szCs w:val="32"/>
        </w:rPr>
        <w:t>本单位无</w:t>
      </w:r>
      <w:r>
        <w:rPr>
          <w:rFonts w:hint="eastAsia" w:ascii="方正仿宋_GBK"/>
          <w:color w:val="auto"/>
          <w:szCs w:val="32"/>
        </w:rPr>
        <w:t>下级</w:t>
      </w:r>
      <w:r>
        <w:rPr>
          <w:rFonts w:ascii="方正仿宋_GBK"/>
          <w:color w:val="auto"/>
          <w:szCs w:val="32"/>
        </w:rPr>
        <w:t>预算单位。</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outlineLvl w:val="0"/>
        <w:rPr>
          <w:rFonts w:eastAsia="方正黑体_GBK"/>
          <w:color w:val="auto"/>
          <w:szCs w:val="32"/>
        </w:rPr>
      </w:pPr>
      <w:r>
        <w:rPr>
          <w:rFonts w:eastAsia="方正黑体_GBK"/>
          <w:color w:val="auto"/>
          <w:szCs w:val="32"/>
        </w:rPr>
        <w:t>二、部门决算情况说明</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hint="eastAsia" w:eastAsia="方正楷体_GBK"/>
          <w:color w:val="auto"/>
          <w:szCs w:val="32"/>
        </w:rPr>
      </w:pPr>
      <w:r>
        <w:rPr>
          <w:rFonts w:hint="eastAsia" w:eastAsia="方正楷体_GBK"/>
          <w:color w:val="auto"/>
          <w:szCs w:val="32"/>
        </w:rPr>
        <w:t>（一）收入支出决算总体情况说明</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hint="eastAsia" w:ascii="方正仿宋_GBK"/>
          <w:color w:val="auto"/>
          <w:szCs w:val="32"/>
        </w:rPr>
      </w:pPr>
      <w:r>
        <w:rPr>
          <w:rFonts w:hint="eastAsia" w:ascii="方正仿宋_GBK"/>
          <w:color w:val="auto"/>
          <w:szCs w:val="32"/>
        </w:rPr>
        <w:t>1.总体情况。本单位2020年度收入总计1477.69万元，支出总计1477.69万元。收支较上年决算数增加445.76元、增长43.2%，主要原因是根据万州委编委发</w:t>
      </w:r>
      <w:r>
        <w:rPr>
          <w:rFonts w:ascii="方正仿宋_GBK"/>
          <w:color w:val="auto"/>
          <w:szCs w:val="32"/>
        </w:rPr>
        <w:t>〔</w:t>
      </w:r>
      <w:r>
        <w:rPr>
          <w:rFonts w:hint="eastAsia" w:ascii="方正仿宋_GBK"/>
          <w:color w:val="auto"/>
          <w:szCs w:val="32"/>
        </w:rPr>
        <w:t>2020</w:t>
      </w:r>
      <w:r>
        <w:rPr>
          <w:rFonts w:ascii="方正仿宋_GBK"/>
          <w:color w:val="auto"/>
          <w:szCs w:val="32"/>
        </w:rPr>
        <w:t>〕</w:t>
      </w:r>
      <w:r>
        <w:rPr>
          <w:rFonts w:hint="eastAsia" w:ascii="方正仿宋_GBK"/>
          <w:color w:val="auto"/>
          <w:szCs w:val="32"/>
        </w:rPr>
        <w:t>12号文件，原区安管站与质监站合并，人员增加，项目增加，导致单位的收支有所增加。本部分的收入总计包括收入合计、用事业基金弥补收支差额、年初结转和结余，支出总计包括本年支出合计、结余分配、年末结转和结余。</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hint="eastAsia" w:ascii="方正仿宋_GBK"/>
          <w:color w:val="auto"/>
          <w:szCs w:val="32"/>
        </w:rPr>
      </w:pPr>
      <w:r>
        <w:rPr>
          <w:rFonts w:hint="eastAsia" w:ascii="方正仿宋_GBK"/>
          <w:color w:val="auto"/>
          <w:szCs w:val="32"/>
        </w:rPr>
        <w:t>2.收入情况。本单位2020年度收入合计1477.69万元，较上年决算增加445.76万元，增长43.2%，主要原因是根据万州委编委发</w:t>
      </w:r>
      <w:r>
        <w:rPr>
          <w:rFonts w:ascii="方正仿宋_GBK"/>
          <w:color w:val="auto"/>
          <w:szCs w:val="32"/>
        </w:rPr>
        <w:t>〔</w:t>
      </w:r>
      <w:r>
        <w:rPr>
          <w:rFonts w:hint="eastAsia" w:ascii="方正仿宋_GBK"/>
          <w:color w:val="auto"/>
          <w:szCs w:val="32"/>
        </w:rPr>
        <w:t>2020</w:t>
      </w:r>
      <w:r>
        <w:rPr>
          <w:rFonts w:ascii="方正仿宋_GBK"/>
          <w:color w:val="auto"/>
          <w:szCs w:val="32"/>
        </w:rPr>
        <w:t>〕</w:t>
      </w:r>
      <w:r>
        <w:rPr>
          <w:rFonts w:hint="eastAsia" w:ascii="方正仿宋_GBK"/>
          <w:color w:val="auto"/>
          <w:szCs w:val="32"/>
        </w:rPr>
        <w:t>12号文件，原区安管站与质监站合并，人员增加，项目增加，导致单位的收入有所增加。其中：财政拨款收入1477.69万元，占100.0%；事业收入0.00万元，占0.0%；经营收入0.00万元，占0.0%；其他收入 0.00万元，占0.0%。此外，用事业基金弥补收支差额0.00万元，年初结转和结余0.00万元。</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ascii="方正仿宋_GBK"/>
          <w:color w:val="auto"/>
          <w:szCs w:val="32"/>
        </w:rPr>
      </w:pPr>
      <w:r>
        <w:rPr>
          <w:rFonts w:hint="eastAsia" w:ascii="方正仿宋_GBK"/>
          <w:color w:val="auto"/>
          <w:szCs w:val="32"/>
        </w:rPr>
        <w:t>3.支出情况。本单位2020年度支出合计1477.69万元，较上年决算数增加445.76万元，增长43.2%，主要原因是根据万州委编委发</w:t>
      </w:r>
      <w:r>
        <w:rPr>
          <w:rFonts w:ascii="方正仿宋_GBK"/>
          <w:color w:val="auto"/>
          <w:szCs w:val="32"/>
        </w:rPr>
        <w:t>〔</w:t>
      </w:r>
      <w:r>
        <w:rPr>
          <w:rFonts w:hint="eastAsia" w:ascii="方正仿宋_GBK"/>
          <w:color w:val="auto"/>
          <w:szCs w:val="32"/>
        </w:rPr>
        <w:t>2020</w:t>
      </w:r>
      <w:r>
        <w:rPr>
          <w:rFonts w:ascii="方正仿宋_GBK"/>
          <w:color w:val="auto"/>
          <w:szCs w:val="32"/>
        </w:rPr>
        <w:t>〕</w:t>
      </w:r>
      <w:r>
        <w:rPr>
          <w:rFonts w:hint="eastAsia" w:ascii="方正仿宋_GBK"/>
          <w:color w:val="auto"/>
          <w:szCs w:val="32"/>
        </w:rPr>
        <w:t>12号文件，原区安管站与质监站合并，人员增加，项目增加，导致单位的支出有所增加。其中：基本支出1364.19万元，占92.3%；项目支出113.5万元，占7.7%；经营支出0.00万元，占0.0%。此外，结余分配0.00万元。</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4.结转结余情况。本单位2020年度年末财政拨款结转和结余0.00万元，较上年决算数增加0.00万元，增长0.0%，主要原因是本单位顺利执行年初预算，未造成结转和结余情况。</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eastAsia="方正楷体_GBK"/>
          <w:color w:val="auto"/>
          <w:szCs w:val="32"/>
        </w:rPr>
      </w:pPr>
      <w:r>
        <w:rPr>
          <w:rFonts w:hint="eastAsia" w:eastAsia="方正楷体_GBK"/>
          <w:color w:val="auto"/>
          <w:szCs w:val="32"/>
        </w:rPr>
        <w:t>（二）财政拨款收入支出决算总体情况说明</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1.收入情况。本单位2020年度财政拨款收入1477.69万元，较上年决算数增加445.76万元，增长43.2%。较年初预算数增加0.00万元，增长0.0%。主要原因是根据万州委编委发</w:t>
      </w:r>
      <w:r>
        <w:rPr>
          <w:rFonts w:ascii="方正仿宋_GBK"/>
          <w:color w:val="auto"/>
          <w:szCs w:val="32"/>
        </w:rPr>
        <w:t>〔</w:t>
      </w:r>
      <w:r>
        <w:rPr>
          <w:rFonts w:hint="eastAsia" w:ascii="方正仿宋_GBK"/>
          <w:color w:val="auto"/>
          <w:szCs w:val="32"/>
        </w:rPr>
        <w:t>2020</w:t>
      </w:r>
      <w:r>
        <w:rPr>
          <w:rFonts w:ascii="方正仿宋_GBK"/>
          <w:color w:val="auto"/>
          <w:szCs w:val="32"/>
        </w:rPr>
        <w:t>〕</w:t>
      </w:r>
      <w:r>
        <w:rPr>
          <w:rFonts w:hint="eastAsia" w:ascii="方正仿宋_GBK"/>
          <w:color w:val="auto"/>
          <w:szCs w:val="32"/>
        </w:rPr>
        <w:t>12号文件，原区安管站与质监站合并，人员增加，项目增加，导致单位的收入有所增加。此外，年初财政拨款结转和结余0.00万元。</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 2.支出情况。本单位2020年度财政拨款支出1477.69万元，较上年决算数增加445.76万元，增长43.2%。较年初预算数增加0.00万元，增长0.0%。主要原因是根据万州委编委发</w:t>
      </w:r>
      <w:r>
        <w:rPr>
          <w:rFonts w:ascii="方正仿宋_GBK"/>
          <w:color w:val="auto"/>
          <w:szCs w:val="32"/>
        </w:rPr>
        <w:t>〔</w:t>
      </w:r>
      <w:r>
        <w:rPr>
          <w:rFonts w:hint="eastAsia" w:ascii="方正仿宋_GBK"/>
          <w:color w:val="auto"/>
          <w:szCs w:val="32"/>
        </w:rPr>
        <w:t>2020</w:t>
      </w:r>
      <w:r>
        <w:rPr>
          <w:rFonts w:ascii="方正仿宋_GBK"/>
          <w:color w:val="auto"/>
          <w:szCs w:val="32"/>
        </w:rPr>
        <w:t>〕</w:t>
      </w:r>
      <w:r>
        <w:rPr>
          <w:rFonts w:hint="eastAsia" w:ascii="方正仿宋_GBK"/>
          <w:color w:val="auto"/>
          <w:szCs w:val="32"/>
        </w:rPr>
        <w:t>12号文件，原区安管站与质监站合并，人员增加，项目增加，导致单位的支出有所增加。此外，结余分配0.00万元。</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3.结转结余情况。本单位2020年度年末财政拨款结转和结余0.00万元，较上年决算数增加0.00万元，增长0.0%，主要原因是本单位顺利执行年初预算，未造成结转和结余情况。</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4.比较情况。本单位2020年度财政拨款支出主要用于一般公共服务支出1477.69万元，占100%，其中基本支出1364.19万元，项目支出113.5万元，较年初预算数增加0.00万元，增长0.0%，主要原因是根据万州委编委发</w:t>
      </w:r>
      <w:r>
        <w:rPr>
          <w:rFonts w:ascii="方正仿宋_GBK"/>
          <w:color w:val="auto"/>
          <w:szCs w:val="32"/>
        </w:rPr>
        <w:t>〔</w:t>
      </w:r>
      <w:r>
        <w:rPr>
          <w:rFonts w:hint="eastAsia" w:ascii="方正仿宋_GBK"/>
          <w:color w:val="auto"/>
          <w:szCs w:val="32"/>
        </w:rPr>
        <w:t>2020</w:t>
      </w:r>
      <w:r>
        <w:rPr>
          <w:rFonts w:ascii="方正仿宋_GBK"/>
          <w:color w:val="auto"/>
          <w:szCs w:val="32"/>
        </w:rPr>
        <w:t>〕</w:t>
      </w:r>
      <w:r>
        <w:rPr>
          <w:rFonts w:hint="eastAsia" w:ascii="方正仿宋_GBK"/>
          <w:color w:val="auto"/>
          <w:szCs w:val="32"/>
        </w:rPr>
        <w:t>12号文件，原区安管站与质监站合并，人员增加，项目增加，导致单位的支出有所增加。</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eastAsia="方正楷体_GBK"/>
          <w:color w:val="auto"/>
          <w:szCs w:val="32"/>
        </w:rPr>
      </w:pPr>
      <w:r>
        <w:rPr>
          <w:rFonts w:hint="eastAsia" w:eastAsia="方正楷体_GBK"/>
          <w:color w:val="auto"/>
          <w:szCs w:val="32"/>
        </w:rPr>
        <w:t>（三）一般公共预算财政拨款基本支出决算情况说明</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本单位2020年度一般公共财政拨款基本支出1364.19万元。其中：人员经费1133.93万元，较上年决算数增加224.81万元，增长24.7%，主要原因是根据万州委编委发</w:t>
      </w:r>
      <w:r>
        <w:rPr>
          <w:rFonts w:ascii="方正仿宋_GBK"/>
          <w:color w:val="auto"/>
          <w:szCs w:val="32"/>
        </w:rPr>
        <w:t>〔</w:t>
      </w:r>
      <w:r>
        <w:rPr>
          <w:rFonts w:hint="eastAsia" w:ascii="方正仿宋_GBK"/>
          <w:color w:val="auto"/>
          <w:szCs w:val="32"/>
        </w:rPr>
        <w:t>2020</w:t>
      </w:r>
      <w:r>
        <w:rPr>
          <w:rFonts w:ascii="方正仿宋_GBK"/>
          <w:color w:val="auto"/>
          <w:szCs w:val="32"/>
        </w:rPr>
        <w:t>〕</w:t>
      </w:r>
      <w:r>
        <w:rPr>
          <w:rFonts w:hint="eastAsia" w:ascii="方正仿宋_GBK"/>
          <w:color w:val="auto"/>
          <w:szCs w:val="32"/>
        </w:rPr>
        <w:t>12号文件，原区安管站与质监站合并，单位人员增加。人员经费用途主要包括基本工资、绩效工资、社会保障缴费、住房公积金缴费、其他工资福利支出等。公用经费230.26万元，较上年决算数增加157.45万元，增长216.3%，主要原因是根据万州委编委发</w:t>
      </w:r>
      <w:r>
        <w:rPr>
          <w:rFonts w:ascii="方正仿宋_GBK"/>
          <w:color w:val="auto"/>
          <w:szCs w:val="32"/>
        </w:rPr>
        <w:t>〔</w:t>
      </w:r>
      <w:r>
        <w:rPr>
          <w:rFonts w:hint="eastAsia" w:ascii="方正仿宋_GBK"/>
          <w:color w:val="auto"/>
          <w:szCs w:val="32"/>
        </w:rPr>
        <w:t>2020</w:t>
      </w:r>
      <w:r>
        <w:rPr>
          <w:rFonts w:ascii="方正仿宋_GBK"/>
          <w:color w:val="auto"/>
          <w:szCs w:val="32"/>
        </w:rPr>
        <w:t>〕</w:t>
      </w:r>
      <w:r>
        <w:rPr>
          <w:rFonts w:hint="eastAsia" w:ascii="方正仿宋_GBK"/>
          <w:color w:val="auto"/>
          <w:szCs w:val="32"/>
        </w:rPr>
        <w:t>12号文件，原区安管站与质监站合并，人员增加，购买固定资产增加。公用经费用途主要包括办公费、邮电费、差旅费、公务车运行维护费等。</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eastAsia="方正楷体_GBK"/>
          <w:color w:val="auto"/>
          <w:szCs w:val="32"/>
        </w:rPr>
      </w:pPr>
      <w:r>
        <w:rPr>
          <w:rFonts w:hint="eastAsia" w:eastAsia="方正楷体_GBK"/>
          <w:color w:val="auto"/>
          <w:szCs w:val="32"/>
        </w:rPr>
        <w:t>（四）政府性基金预算收支决算情况说明</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本单位2020年度政府性基金预算财政拨款年初结转结余0.00万元，年末结转结余0.00万元。本年收入113.5万元，较上年决算数增加63.5万元，增长127.0%。本年支出113.5万元，较上年决算数增加63.5万元，增长127.0%，主要原因是根据万州委编委发</w:t>
      </w:r>
      <w:r>
        <w:rPr>
          <w:rFonts w:ascii="方正仿宋_GBK"/>
          <w:color w:val="auto"/>
          <w:szCs w:val="32"/>
        </w:rPr>
        <w:t>〔</w:t>
      </w:r>
      <w:r>
        <w:rPr>
          <w:rFonts w:hint="eastAsia" w:ascii="方正仿宋_GBK"/>
          <w:color w:val="auto"/>
          <w:szCs w:val="32"/>
        </w:rPr>
        <w:t>2020</w:t>
      </w:r>
      <w:r>
        <w:rPr>
          <w:rFonts w:ascii="方正仿宋_GBK"/>
          <w:color w:val="auto"/>
          <w:szCs w:val="32"/>
        </w:rPr>
        <w:t>〕</w:t>
      </w:r>
      <w:r>
        <w:rPr>
          <w:rFonts w:hint="eastAsia" w:ascii="方正仿宋_GBK"/>
          <w:color w:val="auto"/>
          <w:szCs w:val="32"/>
        </w:rPr>
        <w:t>12号文件，原区安管站与质监站合并，项目增加。</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outlineLvl w:val="0"/>
        <w:rPr>
          <w:rFonts w:eastAsia="方正黑体_GBK"/>
          <w:color w:val="auto"/>
          <w:szCs w:val="32"/>
        </w:rPr>
      </w:pPr>
      <w:r>
        <w:rPr>
          <w:rFonts w:eastAsia="方正黑体_GBK"/>
          <w:color w:val="auto"/>
          <w:szCs w:val="32"/>
        </w:rPr>
        <w:t>三、“三公”经费情况说明</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eastAsia="方正楷体_GBK"/>
          <w:color w:val="auto"/>
          <w:szCs w:val="32"/>
        </w:rPr>
      </w:pPr>
      <w:r>
        <w:rPr>
          <w:rFonts w:hint="eastAsia" w:eastAsia="方正楷体_GBK"/>
          <w:color w:val="auto"/>
          <w:szCs w:val="32"/>
        </w:rPr>
        <w:t>（一）“三公”经费支出总体情况说明</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2020年度本单位“三公”经费支出共计3.75万元，较年初预算数减少0.25万元，下降6.3%，同上年支出一样。主要原因一是认真贯彻落实中央八项规定精神和厉行节约要求，按照只减不增的要求从严控制三公经费，在单位人员增加的情况下，全年实际支出较预算有所下降。二是严格落实公车使用规定，公车运行维护成本有所下降。三是强化公务接待支出管理，严格遵守公务接待开支范围和开支标准，严格控制陪餐人数，对应由接待对象承担的费用一律由接待对象自行支付。四是进一步规范因公出国（境）活动，今年未安排人员出国出访。</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eastAsia="方正楷体_GBK"/>
          <w:color w:val="auto"/>
          <w:szCs w:val="32"/>
        </w:rPr>
      </w:pPr>
      <w:r>
        <w:rPr>
          <w:rFonts w:hint="eastAsia" w:eastAsia="方正楷体_GBK"/>
          <w:color w:val="auto"/>
          <w:szCs w:val="32"/>
        </w:rPr>
        <w:t>（二）“三公”经费分项支出情况</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2020年度本单位因公出国（境）费用0.00万元，费用支出较年初预算增加0.00万元，增长0.0%，主要原因是本单位2020年度未发生因公出国（境）费用的支出。</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公务车购置费0.00万元，费用支出较年初预算数增加0.00万元，增长0.0%，主要原因是本单位本年未发生公务车购置费支出。较上年支出数增加0.00万元，增长0.0%，主要原因是本单位2020年度未发生公务用车购置费支出，与上年一致。</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公务车运行维护费3.75万元，主要用于市内因公出行所需车辆的燃料费、维修费、保险费等。费用支出较年初预算数减少0.25万元，下降6.3%，同上年支出数一样，主要原因是本单位认真贯彻落实中央八项规定精神和厉行节约要求，严格落实公车使用规定，公车运行维护成本有所下降。</w:t>
      </w:r>
      <w:r>
        <w:rPr>
          <w:rFonts w:ascii="方正仿宋_GBK"/>
          <w:color w:val="auto"/>
          <w:szCs w:val="32"/>
        </w:rPr>
        <w:t xml:space="preserve"> </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公务接待0.00万元。费用支出较年初预算数增加0.00万元，增长0.0%，费用支出同上年决算数一样，主要原因是本单位加强了公务接待的内部管理和控制，强化了公务接待支出管理，严格遵守公务接待开支范围和开支标准，严格控制陪餐人数，对应由接待对象承担的费用一律由接待对象自行支付。</w:t>
      </w:r>
      <w:r>
        <w:rPr>
          <w:rFonts w:ascii="方正仿宋_GBK"/>
          <w:color w:val="auto"/>
          <w:szCs w:val="32"/>
        </w:rPr>
        <w:t xml:space="preserve"> </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eastAsia="方正楷体_GBK"/>
          <w:color w:val="auto"/>
          <w:szCs w:val="32"/>
        </w:rPr>
      </w:pPr>
      <w:r>
        <w:rPr>
          <w:rFonts w:hint="eastAsia" w:eastAsia="方正楷体_GBK"/>
          <w:color w:val="auto"/>
          <w:szCs w:val="32"/>
        </w:rPr>
        <w:t>（三）“三公”经费实物量情况</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hint="eastAsia" w:ascii="方正仿宋_GBK"/>
          <w:color w:val="auto"/>
          <w:szCs w:val="32"/>
        </w:rPr>
        <w:t>2020年度本单位因公出国（境）共计0个团组，0人；公务用车购置0辆，公务车保有量为4辆；国内公务接待0批次0人，其中：国内外事接待0批次，0人；国（境）外公务接待0批次，0人。2020年本单位人均接待费0.00元，车辆购置费0.00万元，车均维护费0.94万元。</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outlineLvl w:val="0"/>
        <w:rPr>
          <w:rFonts w:eastAsia="方正黑体_GBK"/>
          <w:color w:val="auto"/>
          <w:szCs w:val="32"/>
        </w:rPr>
      </w:pPr>
      <w:r>
        <w:rPr>
          <w:rFonts w:eastAsia="方正黑体_GBK"/>
          <w:color w:val="auto"/>
          <w:szCs w:val="32"/>
        </w:rPr>
        <w:t>四、其他需要说明的事项</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ascii="方正仿宋_GBK"/>
          <w:color w:val="auto"/>
          <w:szCs w:val="32"/>
        </w:rPr>
      </w:pPr>
      <w:r>
        <w:rPr>
          <w:rFonts w:eastAsia="方正楷体_GBK"/>
          <w:color w:val="auto"/>
          <w:szCs w:val="32"/>
        </w:rPr>
        <w:t>（一）机关运行经费情况说明。</w:t>
      </w:r>
      <w:r>
        <w:rPr>
          <w:rFonts w:ascii="方正仿宋_GBK"/>
          <w:color w:val="auto"/>
          <w:szCs w:val="32"/>
        </w:rPr>
        <w:t>按照部门决算列报口径，我单位不在机关运行经费统计范围之内。</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ascii="方正仿宋_GBK"/>
          <w:color w:val="auto"/>
          <w:szCs w:val="32"/>
        </w:rPr>
      </w:pPr>
      <w:r>
        <w:rPr>
          <w:rFonts w:eastAsia="方正楷体_GBK"/>
          <w:color w:val="auto"/>
          <w:szCs w:val="32"/>
        </w:rPr>
        <w:t>（二）国有资产占用情况说明。</w:t>
      </w:r>
      <w:r>
        <w:rPr>
          <w:rFonts w:ascii="方正仿宋_GBK"/>
          <w:color w:val="auto"/>
          <w:szCs w:val="32"/>
        </w:rPr>
        <w:t>截至2020年12月31日，本</w:t>
      </w:r>
      <w:r>
        <w:rPr>
          <w:rFonts w:hint="eastAsia" w:ascii="方正仿宋_GBK"/>
          <w:color w:val="auto"/>
          <w:szCs w:val="32"/>
        </w:rPr>
        <w:t>单位</w:t>
      </w:r>
      <w:r>
        <w:rPr>
          <w:rFonts w:ascii="方正仿宋_GBK"/>
          <w:color w:val="auto"/>
          <w:szCs w:val="32"/>
        </w:rPr>
        <w:t>共有车辆</w:t>
      </w:r>
      <w:r>
        <w:rPr>
          <w:rFonts w:hint="eastAsia" w:ascii="方正仿宋_GBK"/>
          <w:color w:val="auto"/>
          <w:szCs w:val="32"/>
        </w:rPr>
        <w:t>4</w:t>
      </w:r>
      <w:r>
        <w:rPr>
          <w:rFonts w:ascii="方正仿宋_GBK"/>
          <w:color w:val="auto"/>
          <w:szCs w:val="32"/>
        </w:rPr>
        <w:t>辆。其中：副部（省）级及以上领导用车</w:t>
      </w:r>
      <w:r>
        <w:rPr>
          <w:rFonts w:hint="eastAsia" w:ascii="方正仿宋_GBK"/>
          <w:color w:val="auto"/>
          <w:szCs w:val="32"/>
        </w:rPr>
        <w:t>0</w:t>
      </w:r>
      <w:r>
        <w:rPr>
          <w:rFonts w:ascii="方正仿宋_GBK"/>
          <w:color w:val="auto"/>
          <w:szCs w:val="32"/>
        </w:rPr>
        <w:t>辆，主要领导干部用车</w:t>
      </w:r>
      <w:r>
        <w:rPr>
          <w:rFonts w:hint="eastAsia" w:ascii="方正仿宋_GBK"/>
          <w:color w:val="auto"/>
          <w:szCs w:val="32"/>
        </w:rPr>
        <w:t>0</w:t>
      </w:r>
      <w:r>
        <w:rPr>
          <w:rFonts w:ascii="方正仿宋_GBK"/>
          <w:color w:val="auto"/>
          <w:szCs w:val="32"/>
        </w:rPr>
        <w:t>辆，机要通信用车</w:t>
      </w:r>
      <w:r>
        <w:rPr>
          <w:rFonts w:hint="eastAsia" w:ascii="方正仿宋_GBK"/>
          <w:color w:val="auto"/>
          <w:szCs w:val="32"/>
        </w:rPr>
        <w:t>0</w:t>
      </w:r>
      <w:r>
        <w:rPr>
          <w:rFonts w:ascii="方正仿宋_GBK"/>
          <w:color w:val="auto"/>
          <w:szCs w:val="32"/>
        </w:rPr>
        <w:t>辆，应急保障用车</w:t>
      </w:r>
      <w:r>
        <w:rPr>
          <w:rFonts w:hint="eastAsia" w:ascii="方正仿宋_GBK"/>
          <w:color w:val="auto"/>
          <w:szCs w:val="32"/>
        </w:rPr>
        <w:t>4</w:t>
      </w:r>
      <w:r>
        <w:rPr>
          <w:rFonts w:ascii="方正仿宋_GBK"/>
          <w:color w:val="auto"/>
          <w:szCs w:val="32"/>
        </w:rPr>
        <w:t>辆，执法执勤用车</w:t>
      </w:r>
      <w:r>
        <w:rPr>
          <w:rFonts w:hint="eastAsia" w:ascii="方正仿宋_GBK"/>
          <w:color w:val="auto"/>
          <w:szCs w:val="32"/>
        </w:rPr>
        <w:t>0</w:t>
      </w:r>
      <w:r>
        <w:rPr>
          <w:rFonts w:ascii="方正仿宋_GBK"/>
          <w:color w:val="auto"/>
          <w:szCs w:val="32"/>
        </w:rPr>
        <w:t>辆，特种专业技术用车</w:t>
      </w:r>
      <w:r>
        <w:rPr>
          <w:rFonts w:hint="eastAsia" w:ascii="方正仿宋_GBK"/>
          <w:color w:val="auto"/>
          <w:szCs w:val="32"/>
        </w:rPr>
        <w:t>0</w:t>
      </w:r>
      <w:r>
        <w:rPr>
          <w:rFonts w:ascii="方正仿宋_GBK"/>
          <w:color w:val="auto"/>
          <w:szCs w:val="32"/>
        </w:rPr>
        <w:t>辆，离退休干部用车</w:t>
      </w:r>
      <w:r>
        <w:rPr>
          <w:rFonts w:hint="eastAsia" w:ascii="方正仿宋_GBK"/>
          <w:color w:val="auto"/>
          <w:szCs w:val="32"/>
        </w:rPr>
        <w:t>0</w:t>
      </w:r>
      <w:r>
        <w:rPr>
          <w:rFonts w:ascii="方正仿宋_GBK"/>
          <w:color w:val="auto"/>
          <w:szCs w:val="32"/>
        </w:rPr>
        <w:t>辆，其他用车</w:t>
      </w:r>
      <w:r>
        <w:rPr>
          <w:rFonts w:hint="eastAsia" w:ascii="方正仿宋_GBK"/>
          <w:color w:val="auto"/>
          <w:szCs w:val="32"/>
        </w:rPr>
        <w:t>0</w:t>
      </w:r>
      <w:r>
        <w:rPr>
          <w:rFonts w:ascii="方正仿宋_GBK"/>
          <w:color w:val="auto"/>
          <w:szCs w:val="32"/>
        </w:rPr>
        <w:t>辆。单价50万元（含）以上通用设备</w:t>
      </w:r>
      <w:r>
        <w:rPr>
          <w:rFonts w:hint="eastAsia" w:ascii="方正仿宋_GBK"/>
          <w:color w:val="auto"/>
          <w:szCs w:val="32"/>
        </w:rPr>
        <w:t>0</w:t>
      </w:r>
      <w:r>
        <w:rPr>
          <w:rFonts w:ascii="方正仿宋_GBK"/>
          <w:color w:val="auto"/>
          <w:szCs w:val="32"/>
        </w:rPr>
        <w:t>台（套），单价100万元（含）以上专用设备</w:t>
      </w:r>
      <w:r>
        <w:rPr>
          <w:rFonts w:hint="eastAsia" w:ascii="方正仿宋_GBK"/>
          <w:color w:val="auto"/>
          <w:szCs w:val="32"/>
        </w:rPr>
        <w:t>0</w:t>
      </w:r>
      <w:r>
        <w:rPr>
          <w:rFonts w:ascii="方正仿宋_GBK"/>
          <w:color w:val="auto"/>
          <w:szCs w:val="32"/>
        </w:rPr>
        <w:t>台（套）。</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ascii="方正仿宋_GBK"/>
          <w:color w:val="auto"/>
          <w:szCs w:val="32"/>
        </w:rPr>
      </w:pPr>
      <w:r>
        <w:rPr>
          <w:rFonts w:eastAsia="方正楷体_GBK"/>
          <w:color w:val="auto"/>
          <w:szCs w:val="32"/>
        </w:rPr>
        <w:t>（三）政府采购支出情况说明。</w:t>
      </w:r>
      <w:r>
        <w:rPr>
          <w:rFonts w:ascii="方正仿宋_GBK"/>
          <w:color w:val="auto"/>
          <w:szCs w:val="32"/>
        </w:rPr>
        <w:t>2020年度本</w:t>
      </w:r>
      <w:r>
        <w:rPr>
          <w:rFonts w:hint="eastAsia" w:ascii="方正仿宋_GBK"/>
          <w:color w:val="auto"/>
          <w:szCs w:val="32"/>
        </w:rPr>
        <w:t>单位</w:t>
      </w:r>
      <w:r>
        <w:rPr>
          <w:rFonts w:ascii="方正仿宋_GBK"/>
          <w:color w:val="auto"/>
          <w:szCs w:val="32"/>
        </w:rPr>
        <w:t>政府采购支出总额</w:t>
      </w:r>
      <w:r>
        <w:rPr>
          <w:rFonts w:hint="eastAsia" w:ascii="方正仿宋_GBK"/>
          <w:color w:val="auto"/>
          <w:szCs w:val="32"/>
        </w:rPr>
        <w:t>0.00</w:t>
      </w:r>
      <w:r>
        <w:rPr>
          <w:rFonts w:ascii="方正仿宋_GBK"/>
          <w:color w:val="auto"/>
          <w:szCs w:val="32"/>
        </w:rPr>
        <w:t>万元，其中：政府采购货物支出</w:t>
      </w:r>
      <w:r>
        <w:rPr>
          <w:rFonts w:hint="eastAsia" w:ascii="方正仿宋_GBK"/>
          <w:color w:val="auto"/>
          <w:szCs w:val="32"/>
        </w:rPr>
        <w:t>0.00</w:t>
      </w:r>
      <w:r>
        <w:rPr>
          <w:rFonts w:ascii="方正仿宋_GBK"/>
          <w:color w:val="auto"/>
          <w:szCs w:val="32"/>
        </w:rPr>
        <w:t>万元、政府采购工程支出</w:t>
      </w:r>
      <w:r>
        <w:rPr>
          <w:rFonts w:hint="eastAsia" w:ascii="方正仿宋_GBK"/>
          <w:color w:val="auto"/>
          <w:szCs w:val="32"/>
        </w:rPr>
        <w:t>0.00</w:t>
      </w:r>
      <w:r>
        <w:rPr>
          <w:rFonts w:ascii="方正仿宋_GBK"/>
          <w:color w:val="auto"/>
          <w:szCs w:val="32"/>
        </w:rPr>
        <w:t>万元、政府采购服务支出</w:t>
      </w:r>
      <w:r>
        <w:rPr>
          <w:rFonts w:hint="eastAsia" w:ascii="方正仿宋_GBK"/>
          <w:color w:val="auto"/>
          <w:szCs w:val="32"/>
        </w:rPr>
        <w:t>0.00</w:t>
      </w:r>
      <w:r>
        <w:rPr>
          <w:rFonts w:ascii="方正仿宋_GBK"/>
          <w:color w:val="auto"/>
          <w:szCs w:val="32"/>
        </w:rPr>
        <w:t>万元：授予小微企业合同金额</w:t>
      </w:r>
      <w:r>
        <w:rPr>
          <w:rFonts w:hint="eastAsia" w:ascii="方正仿宋_GBK"/>
          <w:color w:val="auto"/>
          <w:szCs w:val="32"/>
        </w:rPr>
        <w:t>0.00</w:t>
      </w:r>
      <w:r>
        <w:rPr>
          <w:rFonts w:ascii="方正仿宋_GBK"/>
          <w:color w:val="auto"/>
          <w:szCs w:val="32"/>
        </w:rPr>
        <w:t>万元，占政府采购支出总额的</w:t>
      </w:r>
      <w:r>
        <w:rPr>
          <w:rFonts w:hint="eastAsia" w:ascii="方正仿宋_GBK"/>
          <w:color w:val="auto"/>
          <w:szCs w:val="32"/>
        </w:rPr>
        <w:t>0.0</w:t>
      </w:r>
      <w:r>
        <w:rPr>
          <w:rFonts w:ascii="方正仿宋_GBK"/>
          <w:color w:val="auto"/>
          <w:szCs w:val="32"/>
        </w:rPr>
        <w:t>%。</w:t>
      </w:r>
      <w:r>
        <w:rPr>
          <w:rFonts w:hint="eastAsia" w:ascii="方正仿宋_GBK"/>
          <w:color w:val="auto"/>
          <w:szCs w:val="32"/>
        </w:rPr>
        <w:t>2020年我单位未进行政府采购，无相关经费支出。</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outlineLvl w:val="0"/>
        <w:rPr>
          <w:rFonts w:eastAsia="方正黑体_GBK"/>
          <w:color w:val="auto"/>
          <w:szCs w:val="32"/>
        </w:rPr>
      </w:pPr>
      <w:r>
        <w:rPr>
          <w:rFonts w:eastAsia="方正黑体_GBK"/>
          <w:color w:val="auto"/>
          <w:szCs w:val="32"/>
        </w:rPr>
        <w:t>五、预算绩效管理情况说明</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1"/>
        <w:jc w:val="both"/>
        <w:textAlignment w:val="auto"/>
        <w:rPr>
          <w:rFonts w:eastAsia="方正楷体_GBK"/>
          <w:color w:val="auto"/>
          <w:szCs w:val="32"/>
        </w:rPr>
      </w:pPr>
      <w:r>
        <w:rPr>
          <w:rFonts w:eastAsia="方正楷体_GBK"/>
          <w:color w:val="auto"/>
          <w:szCs w:val="32"/>
        </w:rPr>
        <w:t>（一）预算绩效管理工作开展情况</w:t>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1" w:firstLineChars="0"/>
        <w:jc w:val="both"/>
        <w:textAlignment w:val="auto"/>
        <w:rPr>
          <w:rFonts w:ascii="方正仿宋_GBK"/>
          <w:color w:val="auto"/>
          <w:szCs w:val="32"/>
        </w:rPr>
      </w:pPr>
      <w:r>
        <w:rPr>
          <w:rFonts w:ascii="方正仿宋_GBK"/>
          <w:color w:val="auto"/>
          <w:szCs w:val="32"/>
        </w:rPr>
        <w:t>根据预算绩效管理要求，我单位对</w:t>
      </w:r>
      <w:r>
        <w:rPr>
          <w:rFonts w:hint="eastAsia" w:ascii="方正仿宋_GBK"/>
          <w:color w:val="auto"/>
          <w:szCs w:val="32"/>
        </w:rPr>
        <w:t>0</w:t>
      </w:r>
      <w:r>
        <w:rPr>
          <w:rFonts w:ascii="方正仿宋_GBK"/>
          <w:color w:val="auto"/>
          <w:szCs w:val="32"/>
        </w:rPr>
        <w:t>个项目开展了绩效自评，其中，以填报绩效自评表形式开展自评</w:t>
      </w:r>
      <w:r>
        <w:rPr>
          <w:rFonts w:hint="eastAsia" w:ascii="方正仿宋_GBK"/>
          <w:color w:val="auto"/>
          <w:szCs w:val="32"/>
        </w:rPr>
        <w:t>0</w:t>
      </w:r>
      <w:r>
        <w:rPr>
          <w:rFonts w:ascii="方正仿宋_GBK"/>
          <w:color w:val="auto"/>
          <w:szCs w:val="32"/>
        </w:rPr>
        <w:t>项，涉及资金</w:t>
      </w:r>
      <w:r>
        <w:rPr>
          <w:rFonts w:hint="eastAsia" w:ascii="方正仿宋_GBK"/>
          <w:color w:val="auto"/>
          <w:szCs w:val="32"/>
        </w:rPr>
        <w:t>0</w:t>
      </w:r>
      <w:r>
        <w:rPr>
          <w:rFonts w:ascii="方正仿宋_GBK"/>
          <w:color w:val="auto"/>
          <w:szCs w:val="32"/>
        </w:rPr>
        <w:t>万元；以委托第三方形式开展绩效自评</w:t>
      </w:r>
      <w:r>
        <w:rPr>
          <w:rFonts w:hint="eastAsia" w:ascii="方正仿宋_GBK"/>
          <w:color w:val="auto"/>
          <w:szCs w:val="32"/>
        </w:rPr>
        <w:t>2</w:t>
      </w:r>
      <w:r>
        <w:rPr>
          <w:rFonts w:ascii="方正仿宋_GBK"/>
          <w:color w:val="auto"/>
          <w:szCs w:val="32"/>
        </w:rPr>
        <w:t>项（如有住房安全管理和质量监督抽检），涉及资金</w:t>
      </w:r>
      <w:r>
        <w:rPr>
          <w:rFonts w:hint="eastAsia" w:ascii="方正仿宋_GBK"/>
          <w:color w:val="auto"/>
          <w:szCs w:val="32"/>
        </w:rPr>
        <w:t>113.5</w:t>
      </w:r>
      <w:r>
        <w:rPr>
          <w:rFonts w:ascii="方正仿宋_GBK"/>
          <w:color w:val="auto"/>
          <w:szCs w:val="32"/>
        </w:rPr>
        <w:t>万元，执行数为</w:t>
      </w:r>
      <w:r>
        <w:rPr>
          <w:rFonts w:hint="eastAsia" w:ascii="方正仿宋_GBK"/>
          <w:color w:val="auto"/>
          <w:szCs w:val="32"/>
        </w:rPr>
        <w:t>113.5万元，完成预算的100%。</w:t>
      </w:r>
      <w:r>
        <w:rPr>
          <w:rFonts w:ascii="方正仿宋_GBK"/>
          <w:color w:val="auto"/>
          <w:szCs w:val="32"/>
        </w:rPr>
        <w:t>从评价情况来看，</w:t>
      </w:r>
      <w:r>
        <w:rPr>
          <w:rFonts w:hint="eastAsia" w:ascii="方正仿宋_GBK"/>
          <w:color w:val="auto"/>
          <w:szCs w:val="32"/>
        </w:rPr>
        <w:t>被评价项目总体绩效目标明确，工作计划安排较完整，决策依据充分，项目在实施过程中严格执行有关制度规定；项目概算编制较完整，编制依据充分完善，并按项目设立档案，建立项目资金转账、实行专账核算，项目资金按规定程序拨付，会计核算总体规范、准确；提高了项目资金使用效益，社会、生态效益明显，基本达到了预期效果。</w:t>
      </w:r>
      <w:r>
        <w:rPr>
          <w:rFonts w:ascii="方正仿宋_GBK"/>
          <w:color w:val="auto"/>
          <w:szCs w:val="32"/>
        </w:rPr>
        <w:t xml:space="preserve"> </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color w:val="auto"/>
          <w:szCs w:val="32"/>
        </w:rPr>
      </w:pPr>
      <w:r>
        <w:rPr>
          <w:rFonts w:eastAsia="方正楷体_GBK"/>
          <w:color w:val="auto"/>
          <w:szCs w:val="32"/>
        </w:rPr>
        <w:t>（二）绩效自评结果</w:t>
      </w:r>
    </w:p>
    <w:tbl>
      <w:tblPr>
        <w:tblStyle w:val="6"/>
        <w:tblW w:w="0" w:type="auto"/>
        <w:jc w:val="center"/>
        <w:tblLayout w:type="fixed"/>
        <w:tblCellMar>
          <w:top w:w="0" w:type="dxa"/>
          <w:left w:w="108" w:type="dxa"/>
          <w:bottom w:w="0" w:type="dxa"/>
          <w:right w:w="108" w:type="dxa"/>
        </w:tblCellMar>
      </w:tblPr>
      <w:tblGrid>
        <w:gridCol w:w="853"/>
        <w:gridCol w:w="853"/>
        <w:gridCol w:w="587"/>
        <w:gridCol w:w="587"/>
        <w:gridCol w:w="587"/>
        <w:gridCol w:w="587"/>
        <w:gridCol w:w="1120"/>
        <w:gridCol w:w="997"/>
        <w:gridCol w:w="1120"/>
        <w:gridCol w:w="1120"/>
        <w:gridCol w:w="1120"/>
      </w:tblGrid>
      <w:tr>
        <w:tblPrEx>
          <w:tblCellMar>
            <w:top w:w="0" w:type="dxa"/>
            <w:left w:w="108" w:type="dxa"/>
            <w:bottom w:w="0" w:type="dxa"/>
            <w:right w:w="108" w:type="dxa"/>
          </w:tblCellMar>
        </w:tblPrEx>
        <w:trPr>
          <w:trHeight w:val="601" w:hRule="atLeast"/>
          <w:jc w:val="center"/>
        </w:trPr>
        <w:tc>
          <w:tcPr>
            <w:tcW w:w="9531" w:type="dxa"/>
            <w:gridSpan w:val="11"/>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方正小标宋_GBK"/>
                <w:color w:val="auto"/>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方正小标宋_GBK"/>
                <w:color w:val="auto"/>
                <w:kern w:val="0"/>
                <w:sz w:val="36"/>
                <w:szCs w:val="36"/>
              </w:rPr>
            </w:pPr>
            <w:r>
              <w:rPr>
                <w:rFonts w:eastAsia="方正小标宋_GBK"/>
                <w:color w:val="auto"/>
                <w:kern w:val="0"/>
                <w:sz w:val="36"/>
                <w:szCs w:val="36"/>
              </w:rPr>
              <w:t>一般性项目绩效自评表</w:t>
            </w:r>
          </w:p>
        </w:tc>
      </w:tr>
      <w:tr>
        <w:tblPrEx>
          <w:tblCellMar>
            <w:top w:w="0" w:type="dxa"/>
            <w:left w:w="108" w:type="dxa"/>
            <w:bottom w:w="0" w:type="dxa"/>
            <w:right w:w="108" w:type="dxa"/>
          </w:tblCellMar>
        </w:tblPrEx>
        <w:trPr>
          <w:trHeight w:val="60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项目名称</w:t>
            </w: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住房安全管理</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项目编码</w:t>
            </w:r>
          </w:p>
        </w:tc>
        <w:tc>
          <w:tcPr>
            <w:tcW w:w="117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自评总分</w:t>
            </w:r>
            <w:r>
              <w:rPr>
                <w:color w:val="auto"/>
                <w:kern w:val="0"/>
                <w:sz w:val="18"/>
                <w:szCs w:val="18"/>
              </w:rPr>
              <w:br w:type="textWrapping"/>
            </w:r>
            <w:r>
              <w:rPr>
                <w:color w:val="auto"/>
                <w:kern w:val="0"/>
                <w:sz w:val="18"/>
                <w:szCs w:val="18"/>
              </w:rPr>
              <w:t>（分）</w:t>
            </w:r>
          </w:p>
        </w:tc>
        <w:tc>
          <w:tcPr>
            <w:tcW w:w="4357"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94.5</w:t>
            </w:r>
          </w:p>
        </w:tc>
      </w:tr>
      <w:tr>
        <w:tblPrEx>
          <w:tblCellMar>
            <w:top w:w="0" w:type="dxa"/>
            <w:left w:w="108" w:type="dxa"/>
            <w:bottom w:w="0" w:type="dxa"/>
            <w:right w:w="108" w:type="dxa"/>
          </w:tblCellMar>
        </w:tblPrEx>
        <w:trPr>
          <w:trHeight w:val="601"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主管部门</w:t>
            </w: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区住房城建建委</w:t>
            </w:r>
          </w:p>
        </w:tc>
        <w:tc>
          <w:tcPr>
            <w:tcW w:w="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财政科室</w:t>
            </w:r>
          </w:p>
        </w:tc>
        <w:tc>
          <w:tcPr>
            <w:tcW w:w="117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经建科</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项目</w:t>
            </w:r>
            <w:r>
              <w:rPr>
                <w:color w:val="auto"/>
                <w:kern w:val="0"/>
                <w:sz w:val="18"/>
                <w:szCs w:val="18"/>
              </w:rPr>
              <w:br w:type="textWrapping"/>
            </w:r>
            <w:r>
              <w:rPr>
                <w:color w:val="auto"/>
                <w:kern w:val="0"/>
                <w:sz w:val="18"/>
                <w:szCs w:val="18"/>
              </w:rPr>
              <w:t>联系人</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陈大刚</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联系电话</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023-58892131</w:t>
            </w:r>
          </w:p>
        </w:tc>
      </w:tr>
      <w:tr>
        <w:tblPrEx>
          <w:tblCellMar>
            <w:top w:w="0" w:type="dxa"/>
            <w:left w:w="108" w:type="dxa"/>
            <w:bottom w:w="0" w:type="dxa"/>
            <w:right w:w="108" w:type="dxa"/>
          </w:tblCellMar>
        </w:tblPrEx>
        <w:trPr>
          <w:trHeight w:val="601" w:hRule="atLeast"/>
          <w:jc w:val="center"/>
        </w:trPr>
        <w:tc>
          <w:tcPr>
            <w:tcW w:w="85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项目资金（万元）</w:t>
            </w: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年初预算数</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全年（调整）预算数</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全年执行数</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执行率</w:t>
            </w:r>
            <w:r>
              <w:rPr>
                <w:color w:val="auto"/>
                <w:kern w:val="0"/>
                <w:sz w:val="18"/>
                <w:szCs w:val="18"/>
              </w:rPr>
              <w:br w:type="textWrapping"/>
            </w:r>
            <w:r>
              <w:rPr>
                <w:color w:val="auto"/>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执行率</w:t>
            </w:r>
            <w:r>
              <w:rPr>
                <w:color w:val="auto"/>
                <w:kern w:val="0"/>
                <w:sz w:val="18"/>
                <w:szCs w:val="18"/>
              </w:rPr>
              <w:br w:type="textWrapping"/>
            </w:r>
            <w:r>
              <w:rPr>
                <w:color w:val="auto"/>
                <w:kern w:val="0"/>
                <w:sz w:val="18"/>
                <w:szCs w:val="18"/>
              </w:rPr>
              <w:t>权重</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执行率得分</w:t>
            </w:r>
            <w:r>
              <w:rPr>
                <w:color w:val="auto"/>
                <w:kern w:val="0"/>
                <w:sz w:val="18"/>
                <w:szCs w:val="18"/>
              </w:rPr>
              <w:br w:type="textWrapping"/>
            </w:r>
            <w:r>
              <w:rPr>
                <w:color w:val="auto"/>
                <w:kern w:val="0"/>
                <w:sz w:val="18"/>
                <w:szCs w:val="18"/>
              </w:rPr>
              <w:t>（分）</w:t>
            </w: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年度总金额</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70</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70</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70</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100</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其中：市级支出</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85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补助区县</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r>
      <w:tr>
        <w:tblPrEx>
          <w:tblCellMar>
            <w:top w:w="0" w:type="dxa"/>
            <w:left w:w="108" w:type="dxa"/>
            <w:bottom w:w="0" w:type="dxa"/>
            <w:right w:w="108" w:type="dxa"/>
          </w:tblCellMar>
        </w:tblPrEx>
        <w:trPr>
          <w:trHeight w:val="601" w:hRule="atLeast"/>
          <w:jc w:val="center"/>
        </w:trPr>
        <w:tc>
          <w:tcPr>
            <w:tcW w:w="85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当年绩效目标</w:t>
            </w:r>
          </w:p>
        </w:tc>
        <w:tc>
          <w:tcPr>
            <w:tcW w:w="2027"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年初绩效目标</w:t>
            </w:r>
          </w:p>
        </w:tc>
        <w:tc>
          <w:tcPr>
            <w:tcW w:w="329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全年（调整）绩效目标</w:t>
            </w:r>
          </w:p>
        </w:tc>
        <w:tc>
          <w:tcPr>
            <w:tcW w:w="33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全年目标实际完成情况</w:t>
            </w:r>
          </w:p>
        </w:tc>
      </w:tr>
      <w:tr>
        <w:tblPrEx>
          <w:tblCellMar>
            <w:top w:w="0" w:type="dxa"/>
            <w:left w:w="108" w:type="dxa"/>
            <w:bottom w:w="0" w:type="dxa"/>
            <w:right w:w="108" w:type="dxa"/>
          </w:tblCellMar>
        </w:tblPrEx>
        <w:trPr>
          <w:trHeight w:val="1352"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2027"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充分</w:t>
            </w:r>
            <w:r>
              <w:rPr>
                <w:color w:val="auto"/>
                <w:kern w:val="0"/>
                <w:sz w:val="18"/>
                <w:szCs w:val="18"/>
              </w:rPr>
              <w:t>利用项目资金，对万州区住房建设进行安全管理，把安全监督工作做好、做实。</w:t>
            </w:r>
          </w:p>
        </w:tc>
        <w:tc>
          <w:tcPr>
            <w:tcW w:w="329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充分</w:t>
            </w:r>
            <w:r>
              <w:rPr>
                <w:color w:val="auto"/>
                <w:kern w:val="0"/>
                <w:sz w:val="18"/>
                <w:szCs w:val="18"/>
              </w:rPr>
              <w:t>利用项目资金，对万州区住房建设进行安全管理，把安全监督工作做好、做实。</w:t>
            </w:r>
          </w:p>
        </w:tc>
        <w:tc>
          <w:tcPr>
            <w:tcW w:w="33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在单位领导的带领下，加强了安全监管能力建设，并且强化宣传教育培训，督促生产经营单位认真落实安全生产工作。</w:t>
            </w:r>
          </w:p>
        </w:tc>
      </w:tr>
      <w:tr>
        <w:tblPrEx>
          <w:tblCellMar>
            <w:top w:w="0" w:type="dxa"/>
            <w:left w:w="108" w:type="dxa"/>
            <w:bottom w:w="0" w:type="dxa"/>
            <w:right w:w="108" w:type="dxa"/>
          </w:tblCellMar>
        </w:tblPrEx>
        <w:trPr>
          <w:trHeight w:val="1000" w:hRule="atLeast"/>
          <w:jc w:val="center"/>
        </w:trPr>
        <w:tc>
          <w:tcPr>
            <w:tcW w:w="853"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绩效指标</w:t>
            </w:r>
          </w:p>
        </w:tc>
        <w:tc>
          <w:tcPr>
            <w:tcW w:w="853"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指标名称</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计量</w:t>
            </w:r>
            <w:r>
              <w:rPr>
                <w:color w:val="auto"/>
                <w:kern w:val="0"/>
                <w:sz w:val="18"/>
                <w:szCs w:val="18"/>
              </w:rPr>
              <w:br w:type="textWrapping"/>
            </w:r>
            <w:r>
              <w:rPr>
                <w:color w:val="auto"/>
                <w:kern w:val="0"/>
                <w:sz w:val="18"/>
                <w:szCs w:val="18"/>
              </w:rPr>
              <w:t>单位</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指标</w:t>
            </w:r>
            <w:r>
              <w:rPr>
                <w:color w:val="auto"/>
                <w:kern w:val="0"/>
                <w:sz w:val="18"/>
                <w:szCs w:val="18"/>
              </w:rPr>
              <w:br w:type="textWrapping"/>
            </w:r>
            <w:r>
              <w:rPr>
                <w:color w:val="auto"/>
                <w:kern w:val="0"/>
                <w:sz w:val="18"/>
                <w:szCs w:val="18"/>
              </w:rPr>
              <w:t>性质</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年初</w:t>
            </w:r>
            <w:r>
              <w:rPr>
                <w:color w:val="auto"/>
                <w:kern w:val="0"/>
                <w:sz w:val="18"/>
                <w:szCs w:val="18"/>
              </w:rPr>
              <w:br w:type="textWrapping"/>
            </w:r>
            <w:r>
              <w:rPr>
                <w:color w:val="auto"/>
                <w:kern w:val="0"/>
                <w:sz w:val="18"/>
                <w:szCs w:val="18"/>
              </w:rPr>
              <w:t>指标值</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调整</w:t>
            </w:r>
            <w:r>
              <w:rPr>
                <w:color w:val="auto"/>
                <w:kern w:val="0"/>
                <w:sz w:val="18"/>
                <w:szCs w:val="18"/>
              </w:rPr>
              <w:br w:type="textWrapping"/>
            </w:r>
            <w:r>
              <w:rPr>
                <w:color w:val="auto"/>
                <w:kern w:val="0"/>
                <w:sz w:val="18"/>
                <w:szCs w:val="18"/>
              </w:rPr>
              <w:t>指标值</w:t>
            </w: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全年</w:t>
            </w:r>
            <w:r>
              <w:rPr>
                <w:color w:val="auto"/>
                <w:kern w:val="0"/>
                <w:sz w:val="18"/>
                <w:szCs w:val="18"/>
              </w:rPr>
              <w:br w:type="textWrapping"/>
            </w:r>
            <w:r>
              <w:rPr>
                <w:color w:val="auto"/>
                <w:kern w:val="0"/>
                <w:sz w:val="18"/>
                <w:szCs w:val="18"/>
              </w:rPr>
              <w:t>完成值</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得分系数</w:t>
            </w:r>
            <w:r>
              <w:rPr>
                <w:color w:val="auto"/>
                <w:kern w:val="0"/>
                <w:sz w:val="18"/>
                <w:szCs w:val="18"/>
              </w:rPr>
              <w:br w:type="textWrapping"/>
            </w:r>
            <w:r>
              <w:rPr>
                <w:color w:val="auto"/>
                <w:kern w:val="0"/>
                <w:sz w:val="18"/>
                <w:szCs w:val="18"/>
              </w:rPr>
              <w:t>（%）</w:t>
            </w: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指标权重</w:t>
            </w:r>
            <w:r>
              <w:rPr>
                <w:color w:val="auto"/>
                <w:kern w:val="0"/>
                <w:sz w:val="18"/>
                <w:szCs w:val="18"/>
              </w:rPr>
              <w:br w:type="textWrapping"/>
            </w:r>
            <w:r>
              <w:rPr>
                <w:color w:val="auto"/>
                <w:kern w:val="0"/>
                <w:sz w:val="18"/>
                <w:szCs w:val="18"/>
              </w:rPr>
              <w:t>（分）</w:t>
            </w: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指标得分</w:t>
            </w:r>
            <w:r>
              <w:rPr>
                <w:color w:val="auto"/>
                <w:kern w:val="0"/>
                <w:sz w:val="18"/>
                <w:szCs w:val="18"/>
              </w:rPr>
              <w:br w:type="textWrapping"/>
            </w:r>
            <w:r>
              <w:rPr>
                <w:color w:val="auto"/>
                <w:kern w:val="0"/>
                <w:sz w:val="18"/>
                <w:szCs w:val="18"/>
              </w:rPr>
              <w:t>（分）</w:t>
            </w: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是否核心</w:t>
            </w:r>
            <w:r>
              <w:rPr>
                <w:color w:val="auto"/>
                <w:kern w:val="0"/>
                <w:sz w:val="18"/>
                <w:szCs w:val="18"/>
              </w:rPr>
              <w:br w:type="textWrapping"/>
            </w:r>
            <w:r>
              <w:rPr>
                <w:color w:val="auto"/>
                <w:kern w:val="0"/>
                <w:sz w:val="18"/>
                <w:szCs w:val="18"/>
              </w:rPr>
              <w:t>指标</w:t>
            </w:r>
          </w:p>
        </w:tc>
      </w:tr>
      <w:tr>
        <w:tblPrEx>
          <w:tblCellMar>
            <w:top w:w="0" w:type="dxa"/>
            <w:left w:w="108" w:type="dxa"/>
            <w:bottom w:w="0" w:type="dxa"/>
            <w:right w:w="108" w:type="dxa"/>
          </w:tblCellMar>
        </w:tblPrEx>
        <w:trPr>
          <w:trHeight w:val="523" w:hRule="atLeast"/>
          <w:jc w:val="center"/>
        </w:trPr>
        <w:tc>
          <w:tcPr>
            <w:tcW w:w="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资金到位</w:t>
            </w:r>
            <w:r>
              <w:rPr>
                <w:color w:val="auto"/>
                <w:kern w:val="0"/>
                <w:sz w:val="18"/>
                <w:szCs w:val="18"/>
              </w:rPr>
              <w:t>情况</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100</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853"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资金执行情况</w:t>
            </w: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99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100</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853"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资金管理情况</w:t>
            </w: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99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90</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15</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13.5</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853"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经济效益</w:t>
            </w: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20</w:t>
            </w: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20</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18</w:t>
            </w:r>
          </w:p>
        </w:tc>
        <w:tc>
          <w:tcPr>
            <w:tcW w:w="99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90</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20</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18</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否</w:t>
            </w:r>
          </w:p>
        </w:tc>
      </w:tr>
      <w:tr>
        <w:tblPrEx>
          <w:tblCellMar>
            <w:top w:w="0" w:type="dxa"/>
            <w:left w:w="108" w:type="dxa"/>
            <w:bottom w:w="0" w:type="dxa"/>
            <w:right w:w="108" w:type="dxa"/>
          </w:tblCellMar>
        </w:tblPrEx>
        <w:trPr>
          <w:trHeight w:val="523" w:hRule="atLeast"/>
          <w:jc w:val="center"/>
        </w:trPr>
        <w:tc>
          <w:tcPr>
            <w:tcW w:w="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853"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社会效益</w:t>
            </w: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20</w:t>
            </w:r>
          </w:p>
        </w:tc>
        <w:tc>
          <w:tcPr>
            <w:tcW w:w="58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20</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18</w:t>
            </w:r>
          </w:p>
        </w:tc>
        <w:tc>
          <w:tcPr>
            <w:tcW w:w="99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90</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20</w:t>
            </w:r>
          </w:p>
        </w:tc>
        <w:tc>
          <w:tcPr>
            <w:tcW w:w="1120"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rFonts w:hint="eastAsia"/>
                <w:color w:val="auto"/>
                <w:kern w:val="0"/>
                <w:sz w:val="18"/>
                <w:szCs w:val="18"/>
              </w:rPr>
              <w:t>18</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是</w:t>
            </w:r>
          </w:p>
        </w:tc>
      </w:tr>
      <w:tr>
        <w:tblPrEx>
          <w:tblCellMar>
            <w:top w:w="0" w:type="dxa"/>
            <w:left w:w="108" w:type="dxa"/>
            <w:bottom w:w="0" w:type="dxa"/>
            <w:right w:w="108" w:type="dxa"/>
          </w:tblCellMar>
        </w:tblPrEx>
        <w:trPr>
          <w:trHeight w:val="755"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说明</w:t>
            </w:r>
          </w:p>
        </w:tc>
        <w:tc>
          <w:tcPr>
            <w:tcW w:w="867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18"/>
                <w:szCs w:val="18"/>
              </w:rPr>
            </w:pPr>
            <w:r>
              <w:rPr>
                <w:color w:val="auto"/>
                <w:kern w:val="0"/>
                <w:sz w:val="18"/>
                <w:szCs w:val="18"/>
              </w:rPr>
              <w:t>无</w:t>
            </w:r>
          </w:p>
        </w:tc>
      </w:tr>
    </w:tbl>
    <w:p>
      <w:pPr>
        <w:keepNext w:val="0"/>
        <w:keepLines w:val="0"/>
        <w:pageBreakBefore w:val="0"/>
        <w:kinsoku/>
        <w:wordWrap/>
        <w:overflowPunct/>
        <w:topLinePunct w:val="0"/>
        <w:autoSpaceDE/>
        <w:autoSpaceDN/>
        <w:bidi w:val="0"/>
        <w:adjustRightInd/>
        <w:spacing w:line="600" w:lineRule="exact"/>
        <w:jc w:val="both"/>
        <w:textAlignment w:val="auto"/>
        <w:rPr>
          <w:color w:val="auto"/>
          <w:kern w:val="0"/>
          <w:szCs w:val="32"/>
        </w:rPr>
      </w:pPr>
      <w:r>
        <w:rPr>
          <w:color w:val="auto"/>
          <w:kern w:val="0"/>
          <w:szCs w:val="32"/>
        </w:rPr>
        <w:br w:type="page"/>
      </w:r>
    </w:p>
    <w:p>
      <w:pPr>
        <w:pStyle w:val="9"/>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outlineLvl w:val="0"/>
        <w:rPr>
          <w:rFonts w:eastAsia="方正黑体_GBK"/>
          <w:color w:val="auto"/>
          <w:szCs w:val="32"/>
        </w:rPr>
      </w:pPr>
      <w:r>
        <w:rPr>
          <w:rFonts w:eastAsia="方正黑体_GBK"/>
          <w:color w:val="auto"/>
          <w:szCs w:val="32"/>
        </w:rPr>
        <w:t>六、专业名词解释</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方正楷体_GBK" w:eastAsia="方正楷体_GBK"/>
          <w:color w:val="auto"/>
        </w:rPr>
      </w:pPr>
      <w:r>
        <w:rPr>
          <w:rFonts w:hint="eastAsia" w:ascii="方正楷体_GBK" w:eastAsia="方正楷体_GBK"/>
          <w:color w:val="auto"/>
        </w:rPr>
        <w:t>（一）财政拨款收入：</w:t>
      </w:r>
      <w:r>
        <w:rPr>
          <w:rFonts w:hint="eastAsia"/>
          <w:color w:val="auto"/>
        </w:rPr>
        <w:t>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方正楷体_GBK" w:eastAsia="方正楷体_GBK"/>
          <w:color w:val="auto"/>
        </w:rPr>
      </w:pPr>
      <w:r>
        <w:rPr>
          <w:rFonts w:hint="eastAsia" w:ascii="方正楷体_GBK" w:eastAsia="方正楷体_GBK"/>
          <w:color w:val="auto"/>
        </w:rPr>
        <w:t>（二）事业收入</w:t>
      </w:r>
      <w:r>
        <w:rPr>
          <w:rFonts w:hint="eastAsia"/>
          <w:b/>
          <w:bCs/>
          <w:color w:val="auto"/>
        </w:rPr>
        <w:t>：</w:t>
      </w:r>
      <w:r>
        <w:rPr>
          <w:rFonts w:hint="eastAsia"/>
          <w:color w:val="auto"/>
        </w:rPr>
        <w:t>指事业单位开展专业业务活动及其辅助活动取得的现金流入；事业单位收到的财政专户实际核拨的教育收费等资金在此反映。</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微软雅黑" w:eastAsia="微软雅黑"/>
          <w:color w:val="auto"/>
        </w:rPr>
      </w:pPr>
      <w:r>
        <w:rPr>
          <w:rStyle w:val="8"/>
          <w:rFonts w:hint="eastAsia" w:ascii="方正楷体_GBK" w:hAnsi="微软雅黑" w:eastAsia="方正楷体_GBK"/>
          <w:b w:val="0"/>
          <w:color w:val="auto"/>
          <w:szCs w:val="32"/>
        </w:rPr>
        <w:t>（三）</w:t>
      </w:r>
      <w:r>
        <w:rPr>
          <w:rFonts w:hint="eastAsia" w:ascii="方正楷体_GBK" w:eastAsia="方正楷体_GBK"/>
          <w:color w:val="auto"/>
        </w:rPr>
        <w:t>经营收入</w:t>
      </w:r>
      <w:r>
        <w:rPr>
          <w:rFonts w:hint="eastAsia"/>
          <w:color w:val="auto"/>
        </w:rPr>
        <w:t>：指事业单位在专业业务活动及其辅助活动之外开展非独立核算经营活动取得的现金流入。</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微软雅黑" w:eastAsia="微软雅黑"/>
          <w:color w:val="auto"/>
        </w:rPr>
      </w:pPr>
      <w:r>
        <w:rPr>
          <w:rFonts w:hint="eastAsia" w:ascii="方正楷体_GBK" w:eastAsia="方正楷体_GBK"/>
          <w:color w:val="auto"/>
        </w:rPr>
        <w:t>（四）其他收入</w:t>
      </w:r>
      <w:r>
        <w:rPr>
          <w:rFonts w:hint="eastAsia"/>
          <w:b/>
          <w:bCs/>
          <w:color w:val="auto"/>
        </w:rPr>
        <w:t>：</w:t>
      </w:r>
      <w:r>
        <w:rPr>
          <w:rFonts w:hint="eastAsia"/>
          <w:color w:val="auto"/>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微软雅黑" w:eastAsia="微软雅黑"/>
          <w:color w:val="auto"/>
        </w:rPr>
      </w:pPr>
      <w:r>
        <w:rPr>
          <w:rStyle w:val="8"/>
          <w:rFonts w:hint="eastAsia" w:ascii="方正楷体_GBK" w:hAnsi="微软雅黑" w:eastAsia="方正楷体_GBK"/>
          <w:b w:val="0"/>
          <w:color w:val="auto"/>
          <w:szCs w:val="32"/>
        </w:rPr>
        <w:t>（五）</w:t>
      </w:r>
      <w:r>
        <w:rPr>
          <w:rFonts w:hint="eastAsia" w:ascii="方正楷体_GBK" w:eastAsia="方正楷体_GBK"/>
          <w:color w:val="auto"/>
        </w:rPr>
        <w:t>用事业基金弥补收支差额</w:t>
      </w:r>
      <w:r>
        <w:rPr>
          <w:rFonts w:hint="eastAsia"/>
          <w:b/>
          <w:bCs/>
          <w:color w:val="auto"/>
        </w:rPr>
        <w:t>：</w:t>
      </w:r>
      <w:r>
        <w:rPr>
          <w:rFonts w:hint="eastAsia"/>
          <w:color w:val="auto"/>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方正楷体_GBK" w:eastAsia="方正楷体_GBK"/>
          <w:color w:val="auto"/>
        </w:rPr>
      </w:pPr>
      <w:r>
        <w:rPr>
          <w:rFonts w:hint="eastAsia" w:ascii="方正楷体_GBK" w:eastAsia="方正楷体_GBK"/>
          <w:color w:val="auto"/>
        </w:rPr>
        <w:t>（六）年初结转和结余：</w:t>
      </w:r>
      <w:r>
        <w:rPr>
          <w:rFonts w:hint="eastAsia"/>
          <w:color w:val="auto"/>
        </w:rPr>
        <w:t>指单位上年结转本年使用的基本支出结转、项目支出结转和结余、经营结余。</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方正楷体_GBK" w:eastAsia="方正楷体_GBK"/>
          <w:color w:val="auto"/>
        </w:rPr>
      </w:pPr>
      <w:r>
        <w:rPr>
          <w:rFonts w:hint="eastAsia" w:ascii="方正楷体_GBK" w:eastAsia="方正楷体_GBK"/>
          <w:color w:val="auto"/>
        </w:rPr>
        <w:t>（七）结余分配</w:t>
      </w:r>
      <w:r>
        <w:rPr>
          <w:rFonts w:hint="eastAsia"/>
          <w:b/>
          <w:bCs/>
          <w:color w:val="auto"/>
        </w:rPr>
        <w:t>：</w:t>
      </w:r>
      <w:r>
        <w:rPr>
          <w:rFonts w:hint="eastAsia"/>
          <w:color w:val="auto"/>
        </w:rPr>
        <w:t>指单位按照国家有关规定，缴纳所得税、提取专用基金、转入事业基金等当年结余的分配情况。</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微软雅黑" w:eastAsia="微软雅黑"/>
          <w:color w:val="auto"/>
        </w:rPr>
      </w:pPr>
      <w:r>
        <w:rPr>
          <w:rFonts w:hint="eastAsia" w:ascii="方正楷体_GBK" w:eastAsia="方正楷体_GBK"/>
          <w:color w:val="auto"/>
        </w:rPr>
        <w:t>（八）年末结转和结余</w:t>
      </w:r>
      <w:r>
        <w:rPr>
          <w:rFonts w:hint="eastAsia"/>
          <w:b/>
          <w:bCs/>
          <w:color w:val="auto"/>
        </w:rPr>
        <w:t>：</w:t>
      </w:r>
      <w:r>
        <w:rPr>
          <w:rFonts w:hint="eastAsia"/>
          <w:color w:val="auto"/>
        </w:rPr>
        <w:t>指单位结转下年的基本支出结转、项目支出结转和结余、经营结余。</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微软雅黑" w:eastAsia="微软雅黑"/>
          <w:color w:val="auto"/>
        </w:rPr>
      </w:pPr>
      <w:r>
        <w:rPr>
          <w:rFonts w:hint="eastAsia" w:ascii="方正楷体_GBK" w:eastAsia="方正楷体_GBK"/>
          <w:color w:val="auto"/>
        </w:rPr>
        <w:t>（九）基本支出</w:t>
      </w:r>
      <w:r>
        <w:rPr>
          <w:rStyle w:val="8"/>
          <w:rFonts w:hint="eastAsia" w:ascii="方正楷体_GBK" w:hAnsi="微软雅黑" w:eastAsia="方正楷体_GBK"/>
          <w:color w:val="auto"/>
          <w:szCs w:val="32"/>
        </w:rPr>
        <w:t>：</w:t>
      </w:r>
      <w:r>
        <w:rPr>
          <w:rFonts w:hint="eastAsia"/>
          <w:color w:val="auto"/>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微软雅黑" w:eastAsia="微软雅黑"/>
          <w:color w:val="auto"/>
        </w:rPr>
      </w:pPr>
      <w:r>
        <w:rPr>
          <w:rStyle w:val="8"/>
          <w:rFonts w:hint="eastAsia" w:ascii="方正楷体_GBK" w:hAnsi="微软雅黑" w:eastAsia="方正楷体_GBK"/>
          <w:b w:val="0"/>
          <w:color w:val="auto"/>
          <w:szCs w:val="32"/>
        </w:rPr>
        <w:t>（十）</w:t>
      </w:r>
      <w:r>
        <w:rPr>
          <w:rFonts w:hint="eastAsia" w:ascii="方正楷体_GBK" w:eastAsia="方正楷体_GBK"/>
          <w:color w:val="auto"/>
        </w:rPr>
        <w:t>项目支出</w:t>
      </w:r>
      <w:r>
        <w:rPr>
          <w:rStyle w:val="8"/>
          <w:rFonts w:hint="eastAsia" w:ascii="方正楷体_GBK" w:hAnsi="微软雅黑" w:eastAsia="方正楷体_GBK"/>
          <w:color w:val="auto"/>
          <w:szCs w:val="32"/>
        </w:rPr>
        <w:t>：</w:t>
      </w:r>
      <w:r>
        <w:rPr>
          <w:rFonts w:hint="eastAsia"/>
          <w:color w:val="auto"/>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微软雅黑" w:eastAsia="微软雅黑"/>
          <w:color w:val="auto"/>
        </w:rPr>
      </w:pPr>
      <w:r>
        <w:rPr>
          <w:rFonts w:hint="eastAsia" w:ascii="方正楷体_GBK" w:eastAsia="方正楷体_GBK"/>
          <w:color w:val="auto"/>
        </w:rPr>
        <w:t>（十一）经营支出：</w:t>
      </w:r>
      <w:r>
        <w:rPr>
          <w:rFonts w:hint="eastAsia"/>
          <w:color w:val="auto"/>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微软雅黑" w:eastAsia="微软雅黑"/>
          <w:color w:val="auto"/>
        </w:rPr>
      </w:pPr>
      <w:r>
        <w:rPr>
          <w:rStyle w:val="8"/>
          <w:rFonts w:hint="eastAsia" w:ascii="方正楷体_GBK" w:hAnsi="微软雅黑" w:eastAsia="方正楷体_GBK"/>
          <w:b w:val="0"/>
          <w:color w:val="auto"/>
          <w:szCs w:val="32"/>
        </w:rPr>
        <w:t>（十二）</w:t>
      </w:r>
      <w:r>
        <w:rPr>
          <w:rFonts w:hint="eastAsia" w:ascii="方正楷体_GBK" w:eastAsia="方正楷体_GBK"/>
          <w:color w:val="auto"/>
        </w:rPr>
        <w:t xml:space="preserve"> “三公”经费</w:t>
      </w:r>
      <w:r>
        <w:rPr>
          <w:rFonts w:hint="eastAsia"/>
          <w:b/>
          <w:bCs/>
          <w:color w:val="auto"/>
        </w:rPr>
        <w:t>：</w:t>
      </w:r>
      <w:r>
        <w:rPr>
          <w:rFonts w:hint="eastAsia"/>
          <w:color w:val="auto"/>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微软雅黑" w:eastAsia="微软雅黑"/>
          <w:color w:val="auto"/>
        </w:rPr>
      </w:pPr>
      <w:r>
        <w:rPr>
          <w:rFonts w:hint="eastAsia" w:ascii="方正楷体_GBK" w:eastAsia="方正楷体_GBK"/>
          <w:color w:val="auto"/>
        </w:rPr>
        <w:t>（十三）机关运行经费</w:t>
      </w:r>
      <w:r>
        <w:rPr>
          <w:rStyle w:val="8"/>
          <w:rFonts w:hint="eastAsia" w:ascii="方正楷体_GBK" w:hAnsi="微软雅黑" w:eastAsia="方正楷体_GBK"/>
          <w:color w:val="auto"/>
          <w:szCs w:val="32"/>
        </w:rPr>
        <w:t>：</w:t>
      </w:r>
      <w:r>
        <w:rPr>
          <w:rFonts w:hint="eastAsia"/>
          <w:color w:val="auto"/>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微软雅黑" w:eastAsia="微软雅黑"/>
          <w:color w:val="auto"/>
        </w:rPr>
      </w:pPr>
      <w:r>
        <w:rPr>
          <w:rFonts w:hint="eastAsia" w:ascii="方正楷体_GBK" w:eastAsia="方正楷体_GBK"/>
          <w:color w:val="auto"/>
        </w:rPr>
        <w:t>（十四）工资福利支出（支出经济分类科目类级）</w:t>
      </w:r>
      <w:r>
        <w:rPr>
          <w:rFonts w:hint="eastAsia"/>
          <w:color w:val="auto"/>
        </w:rPr>
        <w:t>：反映单位开支的在职职工和编制外长期聘用人员的各类劳动报酬，以及为上述人员缴纳的各项社会保险费等。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微软雅黑" w:eastAsia="微软雅黑"/>
          <w:color w:val="auto"/>
        </w:rPr>
      </w:pPr>
      <w:r>
        <w:rPr>
          <w:rFonts w:hint="eastAsia" w:ascii="方正楷体_GBK" w:eastAsia="方正楷体_GBK"/>
          <w:color w:val="auto"/>
        </w:rPr>
        <w:t>（十五）商品和服务支出（支出经济分类科目类级）</w:t>
      </w:r>
      <w:r>
        <w:rPr>
          <w:rStyle w:val="8"/>
          <w:rFonts w:hint="eastAsia" w:ascii="方正楷体_GBK" w:hAnsi="微软雅黑" w:eastAsia="方正楷体_GBK"/>
          <w:color w:val="auto"/>
          <w:szCs w:val="32"/>
        </w:rPr>
        <w:t>：</w:t>
      </w:r>
      <w:r>
        <w:rPr>
          <w:rFonts w:hint="eastAsia"/>
          <w:color w:val="auto"/>
        </w:rPr>
        <w:t>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微软雅黑" w:eastAsia="微软雅黑"/>
          <w:color w:val="auto"/>
        </w:rPr>
      </w:pPr>
      <w:r>
        <w:rPr>
          <w:rFonts w:hint="eastAsia" w:ascii="方正楷体_GBK" w:eastAsia="方正楷体_GBK"/>
          <w:color w:val="auto"/>
        </w:rPr>
        <w:t>（十六）对个人和家庭的补助（支出经济分类科目类级）</w:t>
      </w:r>
      <w:r>
        <w:rPr>
          <w:rFonts w:hint="eastAsia"/>
          <w:color w:val="auto"/>
        </w:rPr>
        <w:t>：反映用于对个人和家庭的补助支出。</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eastAsia="方正黑体_GBK"/>
          <w:color w:val="auto"/>
        </w:rPr>
      </w:pPr>
      <w:r>
        <w:rPr>
          <w:rFonts w:eastAsia="方正黑体_GBK"/>
          <w:color w:val="auto"/>
        </w:rPr>
        <w:t>七、决算公开联系方式</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eastAsia="方正仿宋_GBK"/>
          <w:color w:val="auto"/>
          <w:lang w:eastAsia="zh-CN"/>
        </w:rPr>
      </w:pPr>
      <w:r>
        <w:rPr>
          <w:rFonts w:hint="eastAsia"/>
          <w:color w:val="auto"/>
        </w:rPr>
        <w:t>本单位决算公开信息反馈和联系方式：023-58896335</w:t>
      </w:r>
      <w:r>
        <w:rPr>
          <w:rFonts w:hint="eastAsia"/>
          <w:color w:val="auto"/>
          <w:lang w:eastAsia="zh-CN"/>
        </w:rPr>
        <w:t>。</w:t>
      </w:r>
    </w:p>
    <w:sectPr>
      <w:pgSz w:w="11906" w:h="16838"/>
      <w:pgMar w:top="2098" w:right="1531" w:bottom="1985" w:left="1531"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582A"/>
    <w:rsid w:val="0000047D"/>
    <w:rsid w:val="0001196A"/>
    <w:rsid w:val="00022269"/>
    <w:rsid w:val="00027475"/>
    <w:rsid w:val="00034BDF"/>
    <w:rsid w:val="00050D1E"/>
    <w:rsid w:val="000A123D"/>
    <w:rsid w:val="000A2980"/>
    <w:rsid w:val="000A3F78"/>
    <w:rsid w:val="000C266C"/>
    <w:rsid w:val="000D34CC"/>
    <w:rsid w:val="000E7199"/>
    <w:rsid w:val="000F15CB"/>
    <w:rsid w:val="00105B82"/>
    <w:rsid w:val="00136BF4"/>
    <w:rsid w:val="00145CE4"/>
    <w:rsid w:val="00155960"/>
    <w:rsid w:val="001568FD"/>
    <w:rsid w:val="0015752E"/>
    <w:rsid w:val="00177F4A"/>
    <w:rsid w:val="00184E13"/>
    <w:rsid w:val="001929CF"/>
    <w:rsid w:val="001C0B99"/>
    <w:rsid w:val="001C6D54"/>
    <w:rsid w:val="001D0B1F"/>
    <w:rsid w:val="001D19A0"/>
    <w:rsid w:val="001E4CFE"/>
    <w:rsid w:val="001F11FB"/>
    <w:rsid w:val="00201F37"/>
    <w:rsid w:val="0020242D"/>
    <w:rsid w:val="00211641"/>
    <w:rsid w:val="00222E62"/>
    <w:rsid w:val="002350C2"/>
    <w:rsid w:val="0024401D"/>
    <w:rsid w:val="00250F79"/>
    <w:rsid w:val="002540F7"/>
    <w:rsid w:val="00281CF3"/>
    <w:rsid w:val="00292820"/>
    <w:rsid w:val="002A2478"/>
    <w:rsid w:val="002A2ED2"/>
    <w:rsid w:val="002B1729"/>
    <w:rsid w:val="002D2E6E"/>
    <w:rsid w:val="002E2E11"/>
    <w:rsid w:val="002F6308"/>
    <w:rsid w:val="003001D9"/>
    <w:rsid w:val="003103CE"/>
    <w:rsid w:val="00316CD1"/>
    <w:rsid w:val="00321343"/>
    <w:rsid w:val="00346D46"/>
    <w:rsid w:val="003920A0"/>
    <w:rsid w:val="00396823"/>
    <w:rsid w:val="003B586A"/>
    <w:rsid w:val="003B7A86"/>
    <w:rsid w:val="003F2313"/>
    <w:rsid w:val="00417585"/>
    <w:rsid w:val="00425380"/>
    <w:rsid w:val="00432509"/>
    <w:rsid w:val="0046344B"/>
    <w:rsid w:val="00491F66"/>
    <w:rsid w:val="004A6965"/>
    <w:rsid w:val="004C0E7F"/>
    <w:rsid w:val="004E3670"/>
    <w:rsid w:val="00502911"/>
    <w:rsid w:val="00514789"/>
    <w:rsid w:val="00530A7F"/>
    <w:rsid w:val="00560250"/>
    <w:rsid w:val="00564012"/>
    <w:rsid w:val="0059081A"/>
    <w:rsid w:val="00596D68"/>
    <w:rsid w:val="005C4619"/>
    <w:rsid w:val="005D02FC"/>
    <w:rsid w:val="005E0F8B"/>
    <w:rsid w:val="005E3AE9"/>
    <w:rsid w:val="005F3E2A"/>
    <w:rsid w:val="00600919"/>
    <w:rsid w:val="0062528F"/>
    <w:rsid w:val="0062796B"/>
    <w:rsid w:val="00660D90"/>
    <w:rsid w:val="006A69DF"/>
    <w:rsid w:val="006B5989"/>
    <w:rsid w:val="006F288D"/>
    <w:rsid w:val="006F2D91"/>
    <w:rsid w:val="007024FB"/>
    <w:rsid w:val="00714083"/>
    <w:rsid w:val="00716DCB"/>
    <w:rsid w:val="0072771C"/>
    <w:rsid w:val="00735AFD"/>
    <w:rsid w:val="00752214"/>
    <w:rsid w:val="007558BA"/>
    <w:rsid w:val="007A0101"/>
    <w:rsid w:val="007A09EE"/>
    <w:rsid w:val="007D46BA"/>
    <w:rsid w:val="007D5EBB"/>
    <w:rsid w:val="007E5A66"/>
    <w:rsid w:val="00850290"/>
    <w:rsid w:val="00873AA0"/>
    <w:rsid w:val="008827DC"/>
    <w:rsid w:val="0088420F"/>
    <w:rsid w:val="00887400"/>
    <w:rsid w:val="008A0DD9"/>
    <w:rsid w:val="008A6F99"/>
    <w:rsid w:val="008B6931"/>
    <w:rsid w:val="008D18FE"/>
    <w:rsid w:val="008D64A2"/>
    <w:rsid w:val="008E150E"/>
    <w:rsid w:val="008E2C2A"/>
    <w:rsid w:val="008E40D9"/>
    <w:rsid w:val="00901065"/>
    <w:rsid w:val="00911220"/>
    <w:rsid w:val="00920FC7"/>
    <w:rsid w:val="00955E23"/>
    <w:rsid w:val="009571B7"/>
    <w:rsid w:val="009615BE"/>
    <w:rsid w:val="00973054"/>
    <w:rsid w:val="009877F0"/>
    <w:rsid w:val="00996998"/>
    <w:rsid w:val="009C6CD4"/>
    <w:rsid w:val="009D0938"/>
    <w:rsid w:val="009D3B73"/>
    <w:rsid w:val="009D651E"/>
    <w:rsid w:val="009E1FAB"/>
    <w:rsid w:val="00A11AD2"/>
    <w:rsid w:val="00A14744"/>
    <w:rsid w:val="00A416CD"/>
    <w:rsid w:val="00A42FF7"/>
    <w:rsid w:val="00A51C8B"/>
    <w:rsid w:val="00A82F82"/>
    <w:rsid w:val="00AB0C06"/>
    <w:rsid w:val="00B04271"/>
    <w:rsid w:val="00B25CF2"/>
    <w:rsid w:val="00B53F88"/>
    <w:rsid w:val="00B57662"/>
    <w:rsid w:val="00B611B3"/>
    <w:rsid w:val="00B81F55"/>
    <w:rsid w:val="00BA4D56"/>
    <w:rsid w:val="00BC092E"/>
    <w:rsid w:val="00BC4E5B"/>
    <w:rsid w:val="00BD4494"/>
    <w:rsid w:val="00BF3F85"/>
    <w:rsid w:val="00C343F1"/>
    <w:rsid w:val="00C3453D"/>
    <w:rsid w:val="00C35716"/>
    <w:rsid w:val="00C530D2"/>
    <w:rsid w:val="00C67380"/>
    <w:rsid w:val="00CA4D74"/>
    <w:rsid w:val="00CC163B"/>
    <w:rsid w:val="00CD0D2B"/>
    <w:rsid w:val="00CD24CD"/>
    <w:rsid w:val="00CE2EC7"/>
    <w:rsid w:val="00CF515B"/>
    <w:rsid w:val="00D034CB"/>
    <w:rsid w:val="00D176C8"/>
    <w:rsid w:val="00D507B0"/>
    <w:rsid w:val="00D6371F"/>
    <w:rsid w:val="00D67365"/>
    <w:rsid w:val="00D93107"/>
    <w:rsid w:val="00D9446E"/>
    <w:rsid w:val="00DA04F1"/>
    <w:rsid w:val="00DA4384"/>
    <w:rsid w:val="00DB3426"/>
    <w:rsid w:val="00DD39FD"/>
    <w:rsid w:val="00E069F7"/>
    <w:rsid w:val="00E07767"/>
    <w:rsid w:val="00E13AF2"/>
    <w:rsid w:val="00E327DE"/>
    <w:rsid w:val="00E47185"/>
    <w:rsid w:val="00E6486F"/>
    <w:rsid w:val="00E706E4"/>
    <w:rsid w:val="00E8190C"/>
    <w:rsid w:val="00E821F9"/>
    <w:rsid w:val="00E82518"/>
    <w:rsid w:val="00E91D51"/>
    <w:rsid w:val="00ED176C"/>
    <w:rsid w:val="00EE18AE"/>
    <w:rsid w:val="00F04814"/>
    <w:rsid w:val="00F3487F"/>
    <w:rsid w:val="00F44B50"/>
    <w:rsid w:val="00F54C66"/>
    <w:rsid w:val="00F6444D"/>
    <w:rsid w:val="00F66904"/>
    <w:rsid w:val="00F757B1"/>
    <w:rsid w:val="00FD408D"/>
    <w:rsid w:val="00FD4F09"/>
    <w:rsid w:val="00FE569B"/>
    <w:rsid w:val="01806D81"/>
    <w:rsid w:val="01A655EC"/>
    <w:rsid w:val="02356CFC"/>
    <w:rsid w:val="026D3363"/>
    <w:rsid w:val="03483378"/>
    <w:rsid w:val="05826A24"/>
    <w:rsid w:val="06EB5AFF"/>
    <w:rsid w:val="095D70C8"/>
    <w:rsid w:val="09A447EA"/>
    <w:rsid w:val="0A387B45"/>
    <w:rsid w:val="0A90650D"/>
    <w:rsid w:val="0B881444"/>
    <w:rsid w:val="0C3E06B9"/>
    <w:rsid w:val="0CE10BDD"/>
    <w:rsid w:val="0D7A2D6A"/>
    <w:rsid w:val="0D874F2A"/>
    <w:rsid w:val="0E462F36"/>
    <w:rsid w:val="0E7E6AD3"/>
    <w:rsid w:val="0E7F1753"/>
    <w:rsid w:val="108801DA"/>
    <w:rsid w:val="122C582A"/>
    <w:rsid w:val="126E157F"/>
    <w:rsid w:val="13A63113"/>
    <w:rsid w:val="153D3761"/>
    <w:rsid w:val="163F66AE"/>
    <w:rsid w:val="16756CD4"/>
    <w:rsid w:val="168926D3"/>
    <w:rsid w:val="17014E5E"/>
    <w:rsid w:val="190B0C80"/>
    <w:rsid w:val="1CBF17AC"/>
    <w:rsid w:val="1F2E4612"/>
    <w:rsid w:val="1F511E69"/>
    <w:rsid w:val="205F5682"/>
    <w:rsid w:val="21977233"/>
    <w:rsid w:val="238149E5"/>
    <w:rsid w:val="242A4036"/>
    <w:rsid w:val="24925351"/>
    <w:rsid w:val="24B40F4D"/>
    <w:rsid w:val="263063A6"/>
    <w:rsid w:val="26551CA9"/>
    <w:rsid w:val="278A035A"/>
    <w:rsid w:val="27C71639"/>
    <w:rsid w:val="28041890"/>
    <w:rsid w:val="281833E1"/>
    <w:rsid w:val="28DF1690"/>
    <w:rsid w:val="2BBF06FD"/>
    <w:rsid w:val="2BC937CF"/>
    <w:rsid w:val="2C270A39"/>
    <w:rsid w:val="2C7129FC"/>
    <w:rsid w:val="2CB94EB2"/>
    <w:rsid w:val="2D2E2D7E"/>
    <w:rsid w:val="31036941"/>
    <w:rsid w:val="31C57554"/>
    <w:rsid w:val="33391C8E"/>
    <w:rsid w:val="345A76DF"/>
    <w:rsid w:val="352F4AAB"/>
    <w:rsid w:val="356D2148"/>
    <w:rsid w:val="364E327C"/>
    <w:rsid w:val="36776800"/>
    <w:rsid w:val="378F009A"/>
    <w:rsid w:val="3985333E"/>
    <w:rsid w:val="39D6258F"/>
    <w:rsid w:val="3A691188"/>
    <w:rsid w:val="3A7E4AE2"/>
    <w:rsid w:val="3AAE5809"/>
    <w:rsid w:val="3ADC7039"/>
    <w:rsid w:val="3B1A6EB9"/>
    <w:rsid w:val="3B670912"/>
    <w:rsid w:val="3BE56E26"/>
    <w:rsid w:val="3C66310B"/>
    <w:rsid w:val="3C783E72"/>
    <w:rsid w:val="3D1D7069"/>
    <w:rsid w:val="3D87699E"/>
    <w:rsid w:val="3EA326DE"/>
    <w:rsid w:val="3EF6139C"/>
    <w:rsid w:val="411314FB"/>
    <w:rsid w:val="41C856DD"/>
    <w:rsid w:val="430054D8"/>
    <w:rsid w:val="43892913"/>
    <w:rsid w:val="44BA1F1D"/>
    <w:rsid w:val="455326A3"/>
    <w:rsid w:val="46596C11"/>
    <w:rsid w:val="46D6525F"/>
    <w:rsid w:val="476B3399"/>
    <w:rsid w:val="47C06BB9"/>
    <w:rsid w:val="47CE5B03"/>
    <w:rsid w:val="48406B08"/>
    <w:rsid w:val="48861842"/>
    <w:rsid w:val="496E3698"/>
    <w:rsid w:val="496F10DE"/>
    <w:rsid w:val="4AC8460B"/>
    <w:rsid w:val="4CD07BC6"/>
    <w:rsid w:val="4D4F49FC"/>
    <w:rsid w:val="4E195C47"/>
    <w:rsid w:val="4EBA15E7"/>
    <w:rsid w:val="506F3616"/>
    <w:rsid w:val="52421C31"/>
    <w:rsid w:val="52A427B6"/>
    <w:rsid w:val="52F25B90"/>
    <w:rsid w:val="53670BC4"/>
    <w:rsid w:val="53D447AB"/>
    <w:rsid w:val="540D7BCE"/>
    <w:rsid w:val="56172954"/>
    <w:rsid w:val="56D9076F"/>
    <w:rsid w:val="57131783"/>
    <w:rsid w:val="58450EAE"/>
    <w:rsid w:val="58563A03"/>
    <w:rsid w:val="58981CB2"/>
    <w:rsid w:val="595128EA"/>
    <w:rsid w:val="59D94699"/>
    <w:rsid w:val="5A5E128E"/>
    <w:rsid w:val="5B992DA7"/>
    <w:rsid w:val="5C2C50A0"/>
    <w:rsid w:val="5CBD02B1"/>
    <w:rsid w:val="5D8E0E1D"/>
    <w:rsid w:val="5D9C59A0"/>
    <w:rsid w:val="60333493"/>
    <w:rsid w:val="604D2A30"/>
    <w:rsid w:val="60DC245A"/>
    <w:rsid w:val="610F2FF6"/>
    <w:rsid w:val="61935AF5"/>
    <w:rsid w:val="628D5173"/>
    <w:rsid w:val="62F74F9E"/>
    <w:rsid w:val="634203B0"/>
    <w:rsid w:val="634C6ABE"/>
    <w:rsid w:val="636F5754"/>
    <w:rsid w:val="63744B02"/>
    <w:rsid w:val="64492EB3"/>
    <w:rsid w:val="64794AE6"/>
    <w:rsid w:val="64C2339D"/>
    <w:rsid w:val="657633A5"/>
    <w:rsid w:val="66DA3C2B"/>
    <w:rsid w:val="67163CB8"/>
    <w:rsid w:val="688A6957"/>
    <w:rsid w:val="68A206D6"/>
    <w:rsid w:val="68EE6070"/>
    <w:rsid w:val="691A1FA9"/>
    <w:rsid w:val="69247AB6"/>
    <w:rsid w:val="69DA3F19"/>
    <w:rsid w:val="69E469AF"/>
    <w:rsid w:val="6B3A39D4"/>
    <w:rsid w:val="6B865E2E"/>
    <w:rsid w:val="6BAD4CEC"/>
    <w:rsid w:val="6DDA6878"/>
    <w:rsid w:val="6E6B0B15"/>
    <w:rsid w:val="6EC259AA"/>
    <w:rsid w:val="70085DA4"/>
    <w:rsid w:val="70760E92"/>
    <w:rsid w:val="71004A80"/>
    <w:rsid w:val="72065C93"/>
    <w:rsid w:val="755E52AA"/>
    <w:rsid w:val="75772B29"/>
    <w:rsid w:val="75BC7B77"/>
    <w:rsid w:val="771D5F27"/>
    <w:rsid w:val="776611C7"/>
    <w:rsid w:val="776A0DAA"/>
    <w:rsid w:val="778C0EA9"/>
    <w:rsid w:val="791A0FC5"/>
    <w:rsid w:val="79CE244C"/>
    <w:rsid w:val="79DF2FD0"/>
    <w:rsid w:val="7B341E31"/>
    <w:rsid w:val="7B4E5914"/>
    <w:rsid w:val="7B83471E"/>
    <w:rsid w:val="7C967920"/>
    <w:rsid w:val="7D8064B5"/>
    <w:rsid w:val="7E894654"/>
    <w:rsid w:val="7FC85298"/>
    <w:rsid w:val="CAFB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pPr>
      <w:spacing w:line="240" w:lineRule="auto"/>
    </w:pPr>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8">
    <w:name w:val="Strong"/>
    <w:qFormat/>
    <w:uiPriority w:val="22"/>
    <w:rPr>
      <w:b/>
      <w:bCs/>
    </w:rPr>
  </w:style>
  <w:style w:type="paragraph" w:styleId="9">
    <w:name w:val="List Paragraph"/>
    <w:basedOn w:val="1"/>
    <w:qFormat/>
    <w:uiPriority w:val="34"/>
    <w:pPr>
      <w:ind w:firstLine="420" w:firstLineChars="200"/>
    </w:p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FF0000"/>
      <w:sz w:val="20"/>
      <w:szCs w:val="20"/>
      <w:u w:val="none"/>
    </w:rPr>
  </w:style>
  <w:style w:type="paragraph" w:customStyle="1" w:styleId="12">
    <w:name w:val="p"/>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13">
    <w:name w:val="批注框文本 Char"/>
    <w:basedOn w:val="7"/>
    <w:link w:val="2"/>
    <w:qFormat/>
    <w:uiPriority w:val="0"/>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区财政局</Company>
  <Pages>11</Pages>
  <Words>874</Words>
  <Characters>4983</Characters>
  <Lines>41</Lines>
  <Paragraphs>11</Paragraphs>
  <TotalTime>70</TotalTime>
  <ScaleCrop>false</ScaleCrop>
  <LinksUpToDate>false</LinksUpToDate>
  <CharactersWithSpaces>5846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2021-10-22T02:16:00Z</dcterms:created>
  <dc:creator>acer</dc:creator>
  <cp:lastModifiedBy>张晶</cp:lastModifiedBy>
  <cp:lastPrinted>2021-10-22T02:12:00Z</cp:lastPrinted>
  <dcterms:modified xsi:type="dcterms:W3CDTF">2021-10-25T06:06:06Z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8A3E3EE7C92A4F239AFFA315A60135BE</vt:lpwstr>
  </property>
</Properties>
</file>