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2E072">
      <w:pPr>
        <w:jc w:val="center"/>
        <w:rPr>
          <w:rFonts w:ascii="方正黑体_GBK" w:eastAsia="方正黑体_GBK"/>
          <w:color w:val="auto"/>
          <w:sz w:val="36"/>
          <w:szCs w:val="36"/>
        </w:rPr>
      </w:pPr>
      <w:r>
        <w:rPr>
          <w:rFonts w:hint="eastAsia" w:ascii="方正黑体_GBK" w:eastAsia="方正黑体_GBK"/>
          <w:color w:val="auto"/>
          <w:sz w:val="36"/>
          <w:szCs w:val="36"/>
          <w:lang w:val="en-US" w:eastAsia="zh-CN"/>
        </w:rPr>
        <w:t>重庆市万州区2025年一季度</w:t>
      </w:r>
      <w:r>
        <w:rPr>
          <w:rFonts w:hint="eastAsia" w:ascii="方正黑体_GBK" w:eastAsia="方正黑体_GBK"/>
          <w:color w:val="auto"/>
          <w:sz w:val="36"/>
          <w:szCs w:val="36"/>
        </w:rPr>
        <w:t>经济运行简况</w:t>
      </w:r>
    </w:p>
    <w:p w14:paraId="27899004">
      <w:pPr>
        <w:jc w:val="left"/>
        <w:rPr>
          <w:rFonts w:ascii="方正黑体_GBK" w:eastAsia="方正黑体_GBK"/>
          <w:color w:val="auto"/>
          <w:sz w:val="36"/>
          <w:szCs w:val="36"/>
        </w:rPr>
      </w:pPr>
    </w:p>
    <w:p w14:paraId="7949587A"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全区</w:t>
      </w:r>
      <w:r>
        <w:rPr>
          <w:rFonts w:hint="eastAsia" w:ascii="方正楷体_GBK" w:eastAsia="方正楷体_GBK"/>
          <w:color w:val="auto"/>
          <w:sz w:val="28"/>
          <w:szCs w:val="28"/>
        </w:rPr>
        <w:t>实现地区生产总值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296.35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6.0</w:t>
      </w:r>
      <w:r>
        <w:rPr>
          <w:rFonts w:hint="eastAsia" w:ascii="方正楷体_GBK" w:eastAsia="方正楷体_GBK"/>
          <w:color w:val="auto"/>
          <w:sz w:val="28"/>
          <w:szCs w:val="28"/>
        </w:rPr>
        <w:t>%。分产业看，第一产业实现增加值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28.29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3.6</w:t>
      </w:r>
      <w:r>
        <w:rPr>
          <w:rFonts w:hint="eastAsia" w:ascii="方正楷体_GBK" w:eastAsia="方正楷体_GBK"/>
          <w:color w:val="auto"/>
          <w:sz w:val="28"/>
          <w:szCs w:val="28"/>
        </w:rPr>
        <w:t>%；第二产业实现增加值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85.60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6.9</w:t>
      </w:r>
      <w:r>
        <w:rPr>
          <w:rFonts w:hint="eastAsia" w:ascii="方正楷体_GBK" w:eastAsia="方正楷体_GBK"/>
          <w:color w:val="auto"/>
          <w:sz w:val="28"/>
          <w:szCs w:val="28"/>
        </w:rPr>
        <w:t>%；第三产业实现增加值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182.46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6.0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307F82B5">
      <w:pPr>
        <w:ind w:firstLine="560" w:firstLineChars="200"/>
        <w:rPr>
          <w:rFonts w:hint="default" w:ascii="方正黑体_GBK" w:eastAsia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一、农业</w:t>
      </w:r>
    </w:p>
    <w:p w14:paraId="24F0EBEC"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全区农林牧渔业实现总产值42.33亿元，同比增长3.7%。从主要产品产量看，蔬菜产量65.51万吨，增长2.2%，水果产量24.08万吨，增长2.6%，肉类总产量2.86万吨，增长2.7%。</w:t>
      </w:r>
    </w:p>
    <w:p w14:paraId="3027204B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二</w:t>
      </w:r>
      <w:r>
        <w:rPr>
          <w:rFonts w:hint="eastAsia" w:ascii="方正黑体_GBK" w:eastAsia="方正黑体_GBK"/>
          <w:color w:val="auto"/>
          <w:sz w:val="28"/>
          <w:szCs w:val="28"/>
        </w:rPr>
        <w:t>、工业</w:t>
      </w:r>
    </w:p>
    <w:p w14:paraId="1BD38236"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，全区规模以上工业完成总产值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191.24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11.6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%。其中，经开区完成产值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167.16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12.4</w:t>
      </w:r>
      <w:r>
        <w:rPr>
          <w:rFonts w:hint="eastAsia" w:ascii="方正楷体_GBK" w:eastAsia="方正楷体_GBK"/>
          <w:color w:val="auto"/>
          <w:sz w:val="28"/>
          <w:szCs w:val="28"/>
        </w:rPr>
        <w:t>%。分三大门类看，采矿业产值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1.75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下降33.8%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制造业产值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162.82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13.7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电力</w:t>
      </w:r>
      <w:r>
        <w:rPr>
          <w:rFonts w:hint="eastAsia" w:ascii="方正楷体_GBK" w:eastAsia="方正楷体_GBK"/>
          <w:color w:val="auto"/>
          <w:sz w:val="28"/>
          <w:szCs w:val="28"/>
        </w:rPr>
        <w:t>、热力、燃气及水生产和供应业产值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26.68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4.3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23992989"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从三大主导产业看，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先进材料产值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94.77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22.8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%；医药化工产值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16.05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增长3.7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%；智能装备及智能制造产值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35.28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下降2.6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%。</w:t>
      </w:r>
    </w:p>
    <w:p w14:paraId="3B70D8D1"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从两大特色产业看，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食品及农产品加工产值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11.56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13.5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%；新型能源产值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27.75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4.2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%。</w:t>
      </w:r>
    </w:p>
    <w:p w14:paraId="1EA06DDE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三</w:t>
      </w:r>
      <w:r>
        <w:rPr>
          <w:rFonts w:hint="eastAsia" w:ascii="方正黑体_GBK" w:eastAsia="方正黑体_GBK"/>
          <w:color w:val="auto"/>
          <w:sz w:val="28"/>
          <w:szCs w:val="28"/>
        </w:rPr>
        <w:t>、固定资产投资</w:t>
      </w:r>
    </w:p>
    <w:p w14:paraId="5BC62C2D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，全区固定资产投资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额同比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10.2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%。其中，基础设施建设投资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7.5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623C3D63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从投资类别看，建设与改造投资同比增长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5.7</w:t>
      </w:r>
      <w:r>
        <w:rPr>
          <w:rFonts w:hint="eastAsia" w:ascii="方正楷体_GBK" w:eastAsia="方正楷体_GBK"/>
          <w:color w:val="auto"/>
          <w:sz w:val="28"/>
          <w:szCs w:val="28"/>
        </w:rPr>
        <w:t>%；房地产开发投资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28.8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3B04D7C4">
      <w:pPr>
        <w:ind w:firstLine="560" w:firstLineChars="200"/>
        <w:rPr>
          <w:color w:val="auto"/>
        </w:rPr>
      </w:pPr>
      <w:r>
        <w:rPr>
          <w:rFonts w:ascii="方正楷体_GBK" w:eastAsia="方正楷体_GBK"/>
          <w:color w:val="auto"/>
          <w:sz w:val="28"/>
          <w:szCs w:val="28"/>
        </w:rPr>
        <w:t>从三大产业看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第一产业投资同比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55.9%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第二产业投资增长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14.2%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第三产业投资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增长11.3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14D62F87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四</w:t>
      </w:r>
      <w:r>
        <w:rPr>
          <w:rFonts w:hint="eastAsia" w:ascii="方正黑体_GBK" w:eastAsia="方正黑体_GBK"/>
          <w:color w:val="auto"/>
          <w:sz w:val="28"/>
          <w:szCs w:val="28"/>
        </w:rPr>
        <w:t>、消费品市场</w:t>
      </w:r>
    </w:p>
    <w:p w14:paraId="2F6722E5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，全区实现社会消费品零售总额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125.55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增长6.8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%。其中，限上单位社会消费品零售额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45.63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增长13.9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3352C197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从贸易销售情况看，全区批发业商品销售额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500.99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17.6</w:t>
      </w:r>
      <w:r>
        <w:rPr>
          <w:rFonts w:hint="eastAsia" w:ascii="方正楷体_GBK" w:eastAsia="方正楷体_GBK"/>
          <w:color w:val="auto"/>
          <w:sz w:val="28"/>
          <w:szCs w:val="28"/>
        </w:rPr>
        <w:t>%；零售业商品销售额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134.32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9.2</w:t>
      </w:r>
      <w:r>
        <w:rPr>
          <w:rFonts w:hint="eastAsia" w:ascii="方正楷体_GBK" w:eastAsia="方正楷体_GBK"/>
          <w:color w:val="auto"/>
          <w:sz w:val="28"/>
          <w:szCs w:val="28"/>
        </w:rPr>
        <w:t>%；住宿业营业额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1.35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16.4</w:t>
      </w:r>
      <w:r>
        <w:rPr>
          <w:rFonts w:hint="eastAsia" w:ascii="方正楷体_GBK" w:eastAsia="方正楷体_GBK"/>
          <w:color w:val="auto"/>
          <w:sz w:val="28"/>
          <w:szCs w:val="28"/>
        </w:rPr>
        <w:t>%；餐饮业营业额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10.30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10.0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71F6F119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五</w:t>
      </w:r>
      <w:r>
        <w:rPr>
          <w:rFonts w:hint="eastAsia" w:ascii="方正黑体_GBK" w:eastAsia="方正黑体_GBK"/>
          <w:color w:val="auto"/>
          <w:sz w:val="28"/>
          <w:szCs w:val="28"/>
        </w:rPr>
        <w:t>、财政</w:t>
      </w:r>
    </w:p>
    <w:p w14:paraId="5C5B3849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21.36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增长6.3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%。其中，税收收入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11.54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增长10.5</w:t>
      </w:r>
      <w:r>
        <w:rPr>
          <w:rFonts w:hint="eastAsia" w:ascii="方正楷体_GBK" w:eastAsia="方正楷体_GBK"/>
          <w:color w:val="auto"/>
          <w:sz w:val="28"/>
          <w:szCs w:val="28"/>
        </w:rPr>
        <w:t>%；非税收入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9.83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1.7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2A7D3C5D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一季度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52.44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增长25.9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%。其中，一般公共服务支出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3.84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增长3.5</w:t>
      </w:r>
      <w:r>
        <w:rPr>
          <w:rFonts w:hint="eastAsia" w:ascii="方正楷体_GBK" w:eastAsia="方正楷体_GBK"/>
          <w:color w:val="auto"/>
          <w:sz w:val="28"/>
          <w:szCs w:val="28"/>
        </w:rPr>
        <w:t>%；教育支出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9.44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3.1</w:t>
      </w:r>
      <w:r>
        <w:rPr>
          <w:rFonts w:hint="eastAsia" w:ascii="方正楷体_GBK" w:eastAsia="方正楷体_GBK"/>
          <w:color w:val="auto"/>
          <w:sz w:val="28"/>
          <w:szCs w:val="28"/>
        </w:rPr>
        <w:t>%；社保和就业支出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8.92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增长7.4</w:t>
      </w:r>
      <w:r>
        <w:rPr>
          <w:rFonts w:hint="eastAsia" w:ascii="方正楷体_GBK" w:eastAsia="方正楷体_GBK"/>
          <w:color w:val="auto"/>
          <w:sz w:val="28"/>
          <w:szCs w:val="28"/>
        </w:rPr>
        <w:t>%；卫生健康支出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3.64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46.0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1F33E979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六</w:t>
      </w:r>
      <w:r>
        <w:rPr>
          <w:rFonts w:hint="eastAsia" w:ascii="方正黑体_GBK" w:eastAsia="方正黑体_GBK"/>
          <w:color w:val="auto"/>
          <w:sz w:val="28"/>
          <w:szCs w:val="28"/>
        </w:rPr>
        <w:t>、金融</w:t>
      </w:r>
    </w:p>
    <w:p w14:paraId="6EF309B5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3月末</w:t>
      </w:r>
      <w:r>
        <w:rPr>
          <w:rFonts w:hint="eastAsia" w:ascii="方正楷体_GBK" w:eastAsia="方正楷体_GBK"/>
          <w:color w:val="auto"/>
          <w:sz w:val="28"/>
          <w:szCs w:val="28"/>
        </w:rPr>
        <w:t>，全区金融机构本外币存款余额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2222.70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11.0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2219.68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10.9</w:t>
      </w:r>
      <w:r>
        <w:rPr>
          <w:rFonts w:hint="eastAsia" w:ascii="方正楷体_GBK" w:eastAsia="方正楷体_GBK"/>
          <w:color w:val="auto"/>
          <w:sz w:val="28"/>
          <w:szCs w:val="28"/>
        </w:rPr>
        <w:t>%。本外币贷款余额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1144.49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13.9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贷款</w:t>
      </w:r>
      <w:r>
        <w:rPr>
          <w:rFonts w:hint="eastAsia" w:ascii="方正楷体_GBK" w:eastAsia="方正楷体_GBK"/>
          <w:color w:val="auto"/>
          <w:sz w:val="28"/>
          <w:szCs w:val="28"/>
        </w:rPr>
        <w:t>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1144.32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14.7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3BACBD79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bookmarkStart w:id="0" w:name="_GoBack"/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七</w:t>
      </w:r>
      <w:r>
        <w:rPr>
          <w:rFonts w:hint="eastAsia" w:ascii="方正黑体_GBK" w:eastAsia="方正黑体_GBK"/>
          <w:color w:val="auto"/>
          <w:sz w:val="28"/>
          <w:szCs w:val="28"/>
        </w:rPr>
        <w:t>、房地产</w:t>
      </w:r>
    </w:p>
    <w:bookmarkEnd w:id="0"/>
    <w:p w14:paraId="69BC49D6">
      <w:pPr>
        <w:ind w:firstLine="560" w:firstLineChars="200"/>
        <w:rPr>
          <w:rFonts w:ascii="方正楷体_GBK" w:hAnsi="华文楷体" w:eastAsia="方正楷体_GBK"/>
          <w:color w:val="auto"/>
          <w:sz w:val="28"/>
          <w:szCs w:val="28"/>
        </w:rPr>
      </w:pP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一季度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，全区商品房施工面积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366.71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13.0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%；商品房新开工面积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1.70</w:t>
      </w:r>
      <w:r>
        <w:rPr>
          <w:rFonts w:ascii="方正楷体_GBK" w:hAnsi="华文楷体" w:eastAsia="方正楷体_GBK"/>
          <w:color w:val="auto"/>
          <w:sz w:val="28"/>
          <w:szCs w:val="28"/>
        </w:rPr>
        <w:t>万平方米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77.4%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；商品房销售面积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27.85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1.4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%。</w:t>
      </w:r>
    </w:p>
    <w:p w14:paraId="389CBD71">
      <w:pPr>
        <w:ind w:firstLine="560" w:firstLineChars="200"/>
        <w:rPr>
          <w:rFonts w:ascii="方正黑体_GBK" w:eastAsia="方正黑体_GBK"/>
          <w:color w:val="FF0000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八</w:t>
      </w:r>
      <w:r>
        <w:rPr>
          <w:rFonts w:hint="eastAsia" w:ascii="方正黑体_GBK" w:eastAsia="方正黑体_GBK"/>
          <w:color w:val="auto"/>
          <w:sz w:val="28"/>
          <w:szCs w:val="28"/>
        </w:rPr>
        <w:t>、居民</w:t>
      </w:r>
      <w:r>
        <w:rPr>
          <w:rFonts w:ascii="方正黑体_GBK" w:eastAsia="方正黑体_GBK"/>
          <w:color w:val="auto"/>
          <w:sz w:val="28"/>
          <w:szCs w:val="28"/>
        </w:rPr>
        <w:t>收入、</w:t>
      </w:r>
      <w:r>
        <w:rPr>
          <w:rFonts w:hint="eastAsia" w:ascii="方正黑体_GBK" w:eastAsia="方正黑体_GBK"/>
          <w:color w:val="auto"/>
          <w:sz w:val="28"/>
          <w:szCs w:val="28"/>
        </w:rPr>
        <w:t>就业、物价</w:t>
      </w:r>
    </w:p>
    <w:p w14:paraId="200107B3">
      <w:pPr>
        <w:ind w:firstLine="560" w:firstLineChars="200"/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一季度，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全区全体居民人均可支配收入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12730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4.1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%。其中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，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城镇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常住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14851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3.8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；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农村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常住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7497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5.5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%。</w:t>
      </w:r>
    </w:p>
    <w:p w14:paraId="63872500">
      <w:pPr>
        <w:ind w:firstLine="560" w:firstLineChars="200"/>
        <w:rPr>
          <w:rFonts w:ascii="方正楷体_GBK" w:eastAsia="方正楷体_GBK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一季度，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全区居民消费价格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与上年持平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。分类别看，八大类商品和服务价格呈“三涨一平四跌”态势。其中，食品烟酒类上涨0.2%，衣着类上涨3.1%，其他用品及服务类上涨4.1%；教育文化和娱乐类持平；居住类和医疗保健类均下降0.1%，交通和通信类下降1.5%，生活用品及服务类下降2.7%。</w:t>
      </w:r>
    </w:p>
    <w:p w14:paraId="3CDDDE45">
      <w:pPr>
        <w:ind w:firstLine="560" w:firstLineChars="200"/>
        <w:rPr>
          <w:rFonts w:ascii="方正楷体_GBK" w:eastAsia="方正楷体_GBK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一季度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，城镇新增就业人员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0.64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万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人。</w:t>
      </w:r>
    </w:p>
    <w:p w14:paraId="674E5FE2">
      <w:pPr>
        <w:ind w:left="560"/>
        <w:rPr>
          <w:rFonts w:ascii="方正黑体_GBK" w:eastAsia="方正黑体_GBK"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ZThjNjE1YThkOWVlYTBkZTc2ZmUyNTcwOTMxYmQifQ=="/>
  </w:docVars>
  <w:rsids>
    <w:rsidRoot w:val="003A49ED"/>
    <w:rsid w:val="000075B9"/>
    <w:rsid w:val="000114ED"/>
    <w:rsid w:val="00032AA1"/>
    <w:rsid w:val="00033F4E"/>
    <w:rsid w:val="00076C17"/>
    <w:rsid w:val="000840D8"/>
    <w:rsid w:val="000D63EF"/>
    <w:rsid w:val="001101D3"/>
    <w:rsid w:val="00121916"/>
    <w:rsid w:val="001300DD"/>
    <w:rsid w:val="00135460"/>
    <w:rsid w:val="001D1B4A"/>
    <w:rsid w:val="001E445F"/>
    <w:rsid w:val="001F28C6"/>
    <w:rsid w:val="00205A3F"/>
    <w:rsid w:val="00234AC9"/>
    <w:rsid w:val="0034053D"/>
    <w:rsid w:val="00345463"/>
    <w:rsid w:val="003819A6"/>
    <w:rsid w:val="003A49ED"/>
    <w:rsid w:val="003D5FA6"/>
    <w:rsid w:val="003E66C6"/>
    <w:rsid w:val="003F1AAA"/>
    <w:rsid w:val="004050B2"/>
    <w:rsid w:val="0040556B"/>
    <w:rsid w:val="00411C2E"/>
    <w:rsid w:val="00414E1E"/>
    <w:rsid w:val="004319BD"/>
    <w:rsid w:val="00450E7D"/>
    <w:rsid w:val="00465D8A"/>
    <w:rsid w:val="004759FD"/>
    <w:rsid w:val="00492F95"/>
    <w:rsid w:val="004B67F4"/>
    <w:rsid w:val="004E5D79"/>
    <w:rsid w:val="00583452"/>
    <w:rsid w:val="006A11A8"/>
    <w:rsid w:val="006F26C2"/>
    <w:rsid w:val="007013F2"/>
    <w:rsid w:val="00782FE0"/>
    <w:rsid w:val="00791A06"/>
    <w:rsid w:val="007D1E32"/>
    <w:rsid w:val="00811A07"/>
    <w:rsid w:val="008215EE"/>
    <w:rsid w:val="0084038D"/>
    <w:rsid w:val="008905E3"/>
    <w:rsid w:val="00894DB1"/>
    <w:rsid w:val="00903E78"/>
    <w:rsid w:val="00920011"/>
    <w:rsid w:val="00945759"/>
    <w:rsid w:val="00961AB8"/>
    <w:rsid w:val="00972224"/>
    <w:rsid w:val="009B13E8"/>
    <w:rsid w:val="009B17F8"/>
    <w:rsid w:val="009D4FFE"/>
    <w:rsid w:val="009E2A59"/>
    <w:rsid w:val="009F42A7"/>
    <w:rsid w:val="00A02F8A"/>
    <w:rsid w:val="00A46C88"/>
    <w:rsid w:val="00A65B72"/>
    <w:rsid w:val="00A66669"/>
    <w:rsid w:val="00A77BD1"/>
    <w:rsid w:val="00B04F24"/>
    <w:rsid w:val="00B50142"/>
    <w:rsid w:val="00B91825"/>
    <w:rsid w:val="00B95F89"/>
    <w:rsid w:val="00BE279A"/>
    <w:rsid w:val="00C24CDB"/>
    <w:rsid w:val="00C332B7"/>
    <w:rsid w:val="00C6476B"/>
    <w:rsid w:val="00C802F4"/>
    <w:rsid w:val="00CC7D02"/>
    <w:rsid w:val="00CD6B93"/>
    <w:rsid w:val="00D04376"/>
    <w:rsid w:val="00D54871"/>
    <w:rsid w:val="00D6462D"/>
    <w:rsid w:val="00E03FCE"/>
    <w:rsid w:val="00E72F29"/>
    <w:rsid w:val="00E80723"/>
    <w:rsid w:val="00E8317B"/>
    <w:rsid w:val="00F33B24"/>
    <w:rsid w:val="00F91D64"/>
    <w:rsid w:val="01F90CB6"/>
    <w:rsid w:val="0307726F"/>
    <w:rsid w:val="044B2601"/>
    <w:rsid w:val="05AC0627"/>
    <w:rsid w:val="067A6526"/>
    <w:rsid w:val="071C2880"/>
    <w:rsid w:val="08C75638"/>
    <w:rsid w:val="09301ACC"/>
    <w:rsid w:val="09353D53"/>
    <w:rsid w:val="095A5E82"/>
    <w:rsid w:val="09D034F0"/>
    <w:rsid w:val="0A237868"/>
    <w:rsid w:val="0A410C52"/>
    <w:rsid w:val="0B8E40E1"/>
    <w:rsid w:val="0D697F57"/>
    <w:rsid w:val="0D9A2D56"/>
    <w:rsid w:val="0E29234F"/>
    <w:rsid w:val="0F316DE4"/>
    <w:rsid w:val="0F4834EC"/>
    <w:rsid w:val="0F954CCA"/>
    <w:rsid w:val="0FB52FBB"/>
    <w:rsid w:val="0FBD309C"/>
    <w:rsid w:val="10B8138E"/>
    <w:rsid w:val="137B4746"/>
    <w:rsid w:val="14EF4CCC"/>
    <w:rsid w:val="15724AF5"/>
    <w:rsid w:val="16351A80"/>
    <w:rsid w:val="16370B22"/>
    <w:rsid w:val="1703744E"/>
    <w:rsid w:val="17C05CDE"/>
    <w:rsid w:val="17FF4B9C"/>
    <w:rsid w:val="195A6195"/>
    <w:rsid w:val="197C2BD7"/>
    <w:rsid w:val="19A54301"/>
    <w:rsid w:val="1AAE373A"/>
    <w:rsid w:val="1B284CB6"/>
    <w:rsid w:val="1B3C5CE9"/>
    <w:rsid w:val="1D5F7333"/>
    <w:rsid w:val="1D7A1705"/>
    <w:rsid w:val="1DC70227"/>
    <w:rsid w:val="1FE25C7A"/>
    <w:rsid w:val="209A0F91"/>
    <w:rsid w:val="21382E2F"/>
    <w:rsid w:val="21D9102B"/>
    <w:rsid w:val="2228286B"/>
    <w:rsid w:val="231B0F42"/>
    <w:rsid w:val="239A1546"/>
    <w:rsid w:val="23F27321"/>
    <w:rsid w:val="24184DFE"/>
    <w:rsid w:val="24D64315"/>
    <w:rsid w:val="253D0352"/>
    <w:rsid w:val="25EF165A"/>
    <w:rsid w:val="270956E5"/>
    <w:rsid w:val="277744A1"/>
    <w:rsid w:val="28171FB8"/>
    <w:rsid w:val="28FB2E5F"/>
    <w:rsid w:val="29F91237"/>
    <w:rsid w:val="2A723495"/>
    <w:rsid w:val="2A8D15A2"/>
    <w:rsid w:val="2AC860B7"/>
    <w:rsid w:val="2BDFC23A"/>
    <w:rsid w:val="2C3E5AF5"/>
    <w:rsid w:val="2E365ADC"/>
    <w:rsid w:val="2FAE4329"/>
    <w:rsid w:val="3045511D"/>
    <w:rsid w:val="315A30FD"/>
    <w:rsid w:val="31C6387C"/>
    <w:rsid w:val="32063E5B"/>
    <w:rsid w:val="331A6C9D"/>
    <w:rsid w:val="348E62F9"/>
    <w:rsid w:val="34A279D5"/>
    <w:rsid w:val="36FB7261"/>
    <w:rsid w:val="372A7A86"/>
    <w:rsid w:val="38333884"/>
    <w:rsid w:val="38A01901"/>
    <w:rsid w:val="38F87D4A"/>
    <w:rsid w:val="39557F91"/>
    <w:rsid w:val="3A306341"/>
    <w:rsid w:val="3C6810BE"/>
    <w:rsid w:val="3C7C565C"/>
    <w:rsid w:val="3CD2369B"/>
    <w:rsid w:val="3CF40303"/>
    <w:rsid w:val="3DDD3477"/>
    <w:rsid w:val="3EC26C8E"/>
    <w:rsid w:val="40AE48F5"/>
    <w:rsid w:val="40BD305E"/>
    <w:rsid w:val="40C33A32"/>
    <w:rsid w:val="422F042E"/>
    <w:rsid w:val="42A33FF0"/>
    <w:rsid w:val="44C27BA5"/>
    <w:rsid w:val="45F50DCD"/>
    <w:rsid w:val="4A094257"/>
    <w:rsid w:val="4A2A1193"/>
    <w:rsid w:val="4B2A24F3"/>
    <w:rsid w:val="4B923AF9"/>
    <w:rsid w:val="4C8449A7"/>
    <w:rsid w:val="4D002B0E"/>
    <w:rsid w:val="4FF72BAE"/>
    <w:rsid w:val="50B771CC"/>
    <w:rsid w:val="51843FFB"/>
    <w:rsid w:val="522E333F"/>
    <w:rsid w:val="529B33B1"/>
    <w:rsid w:val="52B927DA"/>
    <w:rsid w:val="55FE4F38"/>
    <w:rsid w:val="578E63E5"/>
    <w:rsid w:val="58105555"/>
    <w:rsid w:val="59220B76"/>
    <w:rsid w:val="599F6E03"/>
    <w:rsid w:val="5A17286D"/>
    <w:rsid w:val="5A653552"/>
    <w:rsid w:val="5C152586"/>
    <w:rsid w:val="5CDD51E0"/>
    <w:rsid w:val="5CF01326"/>
    <w:rsid w:val="5D487B5F"/>
    <w:rsid w:val="5D6032CB"/>
    <w:rsid w:val="5DDA6373"/>
    <w:rsid w:val="5E416969"/>
    <w:rsid w:val="5F543BEC"/>
    <w:rsid w:val="5FEE639A"/>
    <w:rsid w:val="5FF972FA"/>
    <w:rsid w:val="60B80016"/>
    <w:rsid w:val="621A1405"/>
    <w:rsid w:val="628A5A2B"/>
    <w:rsid w:val="63B67BF8"/>
    <w:rsid w:val="647A4909"/>
    <w:rsid w:val="65723C8F"/>
    <w:rsid w:val="67563A10"/>
    <w:rsid w:val="692A7D77"/>
    <w:rsid w:val="69357C11"/>
    <w:rsid w:val="698A0B27"/>
    <w:rsid w:val="69DF7962"/>
    <w:rsid w:val="6A0C390A"/>
    <w:rsid w:val="6B6A72D9"/>
    <w:rsid w:val="6F5A13B8"/>
    <w:rsid w:val="6F7E5F82"/>
    <w:rsid w:val="6FC7B6AD"/>
    <w:rsid w:val="70823738"/>
    <w:rsid w:val="70833C27"/>
    <w:rsid w:val="71331307"/>
    <w:rsid w:val="72487C70"/>
    <w:rsid w:val="74C54CBD"/>
    <w:rsid w:val="74E31E90"/>
    <w:rsid w:val="7522447A"/>
    <w:rsid w:val="754D0D40"/>
    <w:rsid w:val="75713CE3"/>
    <w:rsid w:val="75C94940"/>
    <w:rsid w:val="765F6255"/>
    <w:rsid w:val="77DD0CA9"/>
    <w:rsid w:val="78922936"/>
    <w:rsid w:val="7907222D"/>
    <w:rsid w:val="7AA855BD"/>
    <w:rsid w:val="7B647A31"/>
    <w:rsid w:val="7C5F46C7"/>
    <w:rsid w:val="7D5B1E4D"/>
    <w:rsid w:val="7DD2CA54"/>
    <w:rsid w:val="7F4F4984"/>
    <w:rsid w:val="7FF5575A"/>
    <w:rsid w:val="B6FF4607"/>
    <w:rsid w:val="F6FEDB6B"/>
    <w:rsid w:val="FDBEFEBE"/>
    <w:rsid w:val="FDFEA3C3"/>
    <w:rsid w:val="FF73E2AB"/>
    <w:rsid w:val="FF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1096</Words>
  <Characters>1443</Characters>
  <Lines>11</Lines>
  <Paragraphs>3</Paragraphs>
  <TotalTime>339</TotalTime>
  <ScaleCrop>false</ScaleCrop>
  <LinksUpToDate>false</LinksUpToDate>
  <CharactersWithSpaces>1443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2018-03-18T23:36:00Z</dcterms:created>
  <dc:creator>Lenovo</dc:creator>
  <cp:lastModifiedBy>Administrator</cp:lastModifiedBy>
  <dcterms:modified xsi:type="dcterms:W3CDTF">2025-04-23T07:37:35Z</dcterms:modified>
  <dc:title>1-7月万州经济运行简况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A5EC42DD3FD144F3BF2D1FEF8ED8A6EA_13</vt:lpwstr>
  </property>
  <property fmtid="{D5CDD505-2E9C-101B-9397-08002B2CF9AE}" pid="4" name="KSOTemplateDocerSaveRecord">
    <vt:lpwstr>eyJoZGlkIjoiODE4MDE0ZmFhNGJmZWYwNDcwYzQ5ZWRhMTFjYmEyYWYiLCJ1c2VySWQiOiIyOTUyNTI3NjQifQ==</vt:lpwstr>
  </property>
</Properties>
</file>