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jc w:val="center"/>
      </w:pPr>
      <w:r>
        <w:rPr>
          <w:rFonts w:hint="eastAsia" w:ascii="宋体" w:hAnsi="宋体" w:eastAsia="宋体" w:cs="宋体"/>
          <w:sz w:val="43"/>
          <w:szCs w:val="43"/>
        </w:rPr>
        <w:br w:type="textWrapping"/>
      </w:r>
      <w:r>
        <w:rPr>
          <w:rFonts w:hint="eastAsia" w:ascii="宋体" w:hAnsi="宋体" w:eastAsia="宋体" w:cs="宋体"/>
          <w:sz w:val="43"/>
          <w:szCs w:val="43"/>
        </w:rPr>
        <w:t>万州区司法局2022年度随机抽查工作计划公示</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628"/>
        <w:gridCol w:w="1471"/>
        <w:gridCol w:w="3619"/>
        <w:gridCol w:w="843"/>
        <w:gridCol w:w="831"/>
        <w:gridCol w:w="112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45" w:hRule="atLeast"/>
        </w:trPr>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Style w:val="5"/>
                <w:rFonts w:hint="eastAsia" w:ascii="宋体" w:hAnsi="宋体" w:eastAsia="宋体" w:cs="宋体"/>
                <w:sz w:val="24"/>
                <w:szCs w:val="24"/>
                <w:bdr w:val="none" w:color="auto" w:sz="0" w:space="0"/>
                <w:shd w:val="clear" w:fill="FFFFFF"/>
              </w:rPr>
              <w:t>序号</w:t>
            </w:r>
          </w:p>
        </w:tc>
        <w:tc>
          <w:tcPr>
            <w:tcW w:w="25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Style w:val="5"/>
                <w:rFonts w:hint="eastAsia" w:ascii="宋体" w:hAnsi="宋体" w:eastAsia="宋体" w:cs="宋体"/>
                <w:sz w:val="24"/>
                <w:szCs w:val="24"/>
                <w:bdr w:val="none" w:color="auto" w:sz="0" w:space="0"/>
                <w:shd w:val="clear" w:fill="FFFFFF"/>
              </w:rPr>
              <w:t>抽查计划名称</w:t>
            </w:r>
          </w:p>
        </w:tc>
        <w:tc>
          <w:tcPr>
            <w:tcW w:w="6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Style w:val="5"/>
                <w:rFonts w:hint="eastAsia" w:ascii="宋体" w:hAnsi="宋体" w:eastAsia="宋体" w:cs="宋体"/>
                <w:sz w:val="24"/>
                <w:szCs w:val="24"/>
                <w:bdr w:val="none" w:color="auto" w:sz="0" w:space="0"/>
                <w:shd w:val="clear" w:fill="FFFFFF"/>
              </w:rPr>
              <w:t>具体抽查内容</w:t>
            </w:r>
          </w:p>
        </w:tc>
        <w:tc>
          <w:tcPr>
            <w:tcW w:w="12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Style w:val="5"/>
                <w:rFonts w:hint="eastAsia" w:ascii="宋体" w:hAnsi="宋体" w:eastAsia="宋体" w:cs="宋体"/>
                <w:sz w:val="24"/>
                <w:szCs w:val="24"/>
                <w:bdr w:val="none" w:color="auto" w:sz="0" w:space="0"/>
                <w:shd w:val="clear" w:fill="FFFFFF"/>
              </w:rPr>
              <w:t>抽查对象范围</w:t>
            </w:r>
          </w:p>
        </w:tc>
        <w:tc>
          <w:tcPr>
            <w:tcW w:w="11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Style w:val="5"/>
                <w:rFonts w:hint="eastAsia" w:ascii="宋体" w:hAnsi="宋体" w:eastAsia="宋体" w:cs="宋体"/>
                <w:sz w:val="24"/>
                <w:szCs w:val="24"/>
                <w:bdr w:val="none" w:color="auto" w:sz="0" w:space="0"/>
                <w:shd w:val="clear" w:fill="FFFFFF"/>
              </w:rPr>
              <w:t>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Style w:val="5"/>
                <w:rFonts w:hint="eastAsia" w:ascii="宋体" w:hAnsi="宋体" w:eastAsia="宋体" w:cs="宋体"/>
                <w:sz w:val="24"/>
                <w:szCs w:val="24"/>
                <w:bdr w:val="none" w:color="auto" w:sz="0" w:space="0"/>
                <w:shd w:val="clear" w:fill="FFFFFF"/>
              </w:rPr>
              <w:t>比例</w:t>
            </w:r>
          </w:p>
        </w:tc>
        <w:tc>
          <w:tcPr>
            <w:tcW w:w="18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Style w:val="5"/>
                <w:rFonts w:hint="eastAsia" w:ascii="宋体" w:hAnsi="宋体" w:eastAsia="宋体" w:cs="宋体"/>
                <w:sz w:val="24"/>
                <w:szCs w:val="24"/>
                <w:bdr w:val="none" w:color="auto" w:sz="0" w:space="0"/>
                <w:shd w:val="clear" w:fill="FFFFFF"/>
              </w:rPr>
              <w:t>抽查时间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455" w:hRule="atLeast"/>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1</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2022年度万州区司法局随机抽查律师事务所001</w:t>
            </w:r>
          </w:p>
        </w:tc>
        <w:tc>
          <w:tcPr>
            <w:tcW w:w="6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1.律师事务所保持法定设立条件的情况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2.是否存在统一接受委托、签订书面委托合同、统一收费、未开具发票等情况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3.是否按规定建立健全档案管理制度，及时立卷归档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4.是否建立利益冲突审查机制、收费与财务管理、投诉查处、档案管理等制度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5.是否有违反公平竞争、低价收费、以不正当手段承揽业务等情况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6.是否存在违反规定接受委托、收取费用的违法行为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7.是否存在违反法定程序办理变更名称、负责人、章程、合伙协议、住所、合伙人等重大事项的违法行为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8.是否存在从事法律服务以外的经营活动的违法行为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9.是否存在以诋毁其他律师事务所、律师或者支付介绍费等不正当手段承揽业务的违法行为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10.是否存在违反规定接受有利益冲突的案件的违法行为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11.是否存在拒绝履行法律援助义务的违法行为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12.是否存在向司法行政部门提供虚假材料或者有其他弄虚作假行为的违法行为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left"/>
            </w:pPr>
            <w:r>
              <w:rPr>
                <w:rFonts w:hint="eastAsia" w:ascii="宋体" w:hAnsi="宋体" w:eastAsia="宋体" w:cs="宋体"/>
                <w:sz w:val="24"/>
                <w:szCs w:val="24"/>
                <w:bdr w:val="none" w:color="auto" w:sz="0" w:space="0"/>
                <w:shd w:val="clear" w:fill="FFFFFF"/>
              </w:rPr>
              <w:t>13.是否存在对本所律师疏于管理，造成严重后果的违法行为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eastAsia" w:ascii="宋体" w:hAnsi="宋体" w:eastAsia="宋体" w:cs="宋体"/>
                <w:sz w:val="24"/>
                <w:szCs w:val="24"/>
                <w:bdr w:val="none" w:color="auto" w:sz="0" w:space="0"/>
                <w:shd w:val="clear" w:fill="FFFFFF"/>
              </w:rPr>
              <w:t>14.</w:t>
            </w:r>
            <w:r>
              <w:rPr>
                <w:rFonts w:hint="eastAsia" w:ascii="宋体" w:hAnsi="宋体" w:eastAsia="宋体" w:cs="宋体"/>
                <w:sz w:val="24"/>
                <w:szCs w:val="24"/>
                <w:bdr w:val="none" w:color="auto" w:sz="0" w:space="0"/>
              </w:rPr>
              <w:t>法律、法规和规章规定的其他情形</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全区律师事务所</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10%/次</w:t>
            </w:r>
          </w:p>
        </w:tc>
        <w:tc>
          <w:tcPr>
            <w:tcW w:w="18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2022年1--6月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rPr>
              <w:t>2022年7--12月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200" w:hRule="atLeast"/>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2022年度万州区司法局随机抽查律师002</w:t>
            </w:r>
          </w:p>
        </w:tc>
        <w:tc>
          <w:tcPr>
            <w:tcW w:w="6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1.对代理案件是否存在代理不尽责等有关情况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2.对代理案件是否违反利益冲突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3.是否存在私自受案、收费、接受委托人财务等情况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4.是否存在同时在两个律师事务所执业的违法行为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5.是否存在以不正当手段承揽业务的违法行为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6.是否存在同一案件中为双方当事人担任代理人，或者代理与本人及其近亲属有利益冲突的法律事务的违法行为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7.是否存在从人民法院、人民检察院离任后二年内担任诉讼代理人或者辩护人的违法行为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8.是否存在拒绝履行法律援助义务的违法行为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9.是否存在私自接受委托、收取费用，接受委托人财物或者其他利益的违法行为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10.是否存在《律师法》第四十八条第二项规定的违法行为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11.是否存在利用提供法律服务的便利牟取当事人争议的权益的违法行为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12.是否存在泄露商业秘密或者个人隐私的违法行为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13.是否存在违反规定会见法官、检察官、仲裁员以及其他有关工作人员，或者以其他不正当方式影响依法办理案件的违法行为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14.是否存在向法官、检察官、仲裁员以及其他有关工作人员行贿，介绍贿赂或者指使、诱导当事人行贿的违法行为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15.是否存在向司法行政部门提供虚假材料或者有其他弄虚作假行为的违法行为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16.是否存在故意提供虚假证据或者威胁、利诱他人提供虚假证据，妨碍对方当事人合法取得证据的违法行为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17.是否存在接受对方当事人财物或者其他利益，与对方当事人或者第三人恶意串通，侵害委托人权益的违法行为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18.是否存在扰乱法庭、仲裁庭秩序，干扰诉讼、仲裁活动的正常进行的违法行为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19.是否存在煽动、教唆当事人采取扰乱公共秩序、危害公共安全等非法手段解决争议的违法行为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20.是否存在发表危害国家安全、恶意诽谤他人、严重扰乱法庭秩序的言论的违法行为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21.是否存在泄露国家秘密的违法行为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left"/>
            </w:pPr>
            <w:r>
              <w:rPr>
                <w:rFonts w:hint="eastAsia" w:ascii="宋体" w:hAnsi="宋体" w:eastAsia="宋体" w:cs="宋体"/>
                <w:sz w:val="24"/>
                <w:szCs w:val="24"/>
                <w:bdr w:val="none" w:color="auto" w:sz="0" w:space="0"/>
                <w:shd w:val="clear" w:fill="FFFFFF"/>
              </w:rPr>
              <w:t>22.是否存在违反规定接受委托、收取费用的违法行为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eastAsia" w:ascii="宋体" w:hAnsi="宋体" w:eastAsia="宋体" w:cs="宋体"/>
                <w:sz w:val="24"/>
                <w:szCs w:val="24"/>
                <w:bdr w:val="none" w:color="auto" w:sz="0" w:space="0"/>
                <w:shd w:val="clear" w:fill="FFFFFF"/>
              </w:rPr>
              <w:t>23.</w:t>
            </w:r>
            <w:r>
              <w:rPr>
                <w:rFonts w:hint="eastAsia" w:ascii="宋体" w:hAnsi="宋体" w:eastAsia="宋体" w:cs="宋体"/>
                <w:sz w:val="24"/>
                <w:szCs w:val="24"/>
                <w:bdr w:val="none" w:color="auto" w:sz="0" w:space="0"/>
              </w:rPr>
              <w:t>法律、法规和规章规定的其他情形</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全区执业律师</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10%/次</w:t>
            </w:r>
          </w:p>
        </w:tc>
        <w:tc>
          <w:tcPr>
            <w:tcW w:w="18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2022年1--6月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2022年7--12月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200" w:hRule="atLeast"/>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3</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2022年度万州区司法局随机抽查基层法律服务所003</w:t>
            </w:r>
          </w:p>
        </w:tc>
        <w:tc>
          <w:tcPr>
            <w:tcW w:w="6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1.基层法律服务所实际住所地与登记信息是否一致的情况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2.基层法律服务所内部管理制度建立和执行情况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3.基层法律服务所执业活动情况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4.对本所基层法律服务工作者监督管理情况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left"/>
            </w:pPr>
            <w:r>
              <w:rPr>
                <w:rFonts w:hint="eastAsia" w:ascii="宋体" w:hAnsi="宋体" w:eastAsia="宋体" w:cs="宋体"/>
                <w:sz w:val="24"/>
                <w:szCs w:val="24"/>
                <w:bdr w:val="none" w:color="auto" w:sz="0" w:space="0"/>
                <w:shd w:val="clear" w:fill="FFFFFF"/>
              </w:rPr>
              <w:t>5.履行基层法律服务工作者协会会员义务的情况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eastAsia" w:ascii="宋体" w:hAnsi="宋体" w:eastAsia="宋体" w:cs="宋体"/>
                <w:sz w:val="24"/>
                <w:szCs w:val="24"/>
                <w:bdr w:val="none" w:color="auto" w:sz="0" w:space="0"/>
                <w:shd w:val="clear" w:fill="FFFFFF"/>
              </w:rPr>
              <w:t>6.</w:t>
            </w:r>
            <w:r>
              <w:rPr>
                <w:rFonts w:hint="eastAsia" w:ascii="宋体" w:hAnsi="宋体" w:eastAsia="宋体" w:cs="宋体"/>
                <w:sz w:val="24"/>
                <w:szCs w:val="24"/>
                <w:bdr w:val="none" w:color="auto" w:sz="0" w:space="0"/>
              </w:rPr>
              <w:t>法律、法规和规章规定的其他情形</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全区基层法律服务所</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20%/次</w:t>
            </w:r>
          </w:p>
        </w:tc>
        <w:tc>
          <w:tcPr>
            <w:tcW w:w="18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2022年1--6月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2022年7--12月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200" w:hRule="atLeast"/>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4</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2022年度万州区司法局随机抽查基层法律服务工作者004</w:t>
            </w:r>
          </w:p>
        </w:tc>
        <w:tc>
          <w:tcPr>
            <w:tcW w:w="6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pPr>
            <w:r>
              <w:rPr>
                <w:rFonts w:hint="eastAsia" w:ascii="宋体" w:hAnsi="宋体" w:eastAsia="宋体" w:cs="宋体"/>
                <w:sz w:val="24"/>
                <w:szCs w:val="24"/>
                <w:bdr w:val="none" w:color="auto" w:sz="0" w:space="0"/>
                <w:shd w:val="clear" w:fill="FFFFFF"/>
              </w:rPr>
              <w:t>1.基层法律服务工作者执业活动情况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left"/>
            </w:pPr>
            <w:r>
              <w:rPr>
                <w:rFonts w:hint="eastAsia" w:ascii="宋体" w:hAnsi="宋体" w:eastAsia="宋体" w:cs="宋体"/>
                <w:sz w:val="24"/>
                <w:szCs w:val="24"/>
                <w:bdr w:val="none" w:color="auto" w:sz="0" w:space="0"/>
                <w:shd w:val="clear" w:fill="FFFFFF"/>
              </w:rPr>
              <w:t>2.履行基层法律服务工作者协会会员义务的情况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eastAsia" w:ascii="宋体" w:hAnsi="宋体" w:eastAsia="宋体" w:cs="宋体"/>
                <w:sz w:val="24"/>
                <w:szCs w:val="24"/>
                <w:bdr w:val="none" w:color="auto" w:sz="0" w:space="0"/>
                <w:shd w:val="clear" w:fill="FFFFFF"/>
              </w:rPr>
              <w:t>3.</w:t>
            </w:r>
            <w:r>
              <w:rPr>
                <w:rFonts w:hint="eastAsia" w:ascii="宋体" w:hAnsi="宋体" w:eastAsia="宋体" w:cs="宋体"/>
                <w:sz w:val="24"/>
                <w:szCs w:val="24"/>
                <w:bdr w:val="none" w:color="auto" w:sz="0" w:space="0"/>
              </w:rPr>
              <w:t>法律、法规和规章规定的其他情形</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全区基层法律服务工作者</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20%/次</w:t>
            </w:r>
          </w:p>
        </w:tc>
        <w:tc>
          <w:tcPr>
            <w:tcW w:w="18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2022年1--6月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shd w:val="clear" w:fill="FFFFFF"/>
              </w:rPr>
              <w:t>2022年7--12月</w:t>
            </w:r>
          </w:p>
        </w:tc>
      </w:tr>
    </w:tbl>
    <w:p>
      <w:pPr>
        <w:pStyle w:val="2"/>
        <w:keepNext w:val="0"/>
        <w:keepLines w:val="0"/>
        <w:widowControl/>
        <w:suppressLineNumbers w:val="0"/>
        <w:spacing w:line="315" w:lineRule="atLeast"/>
      </w:pPr>
      <w:r>
        <w:rPr>
          <w:rFonts w:hint="eastAsia" w:ascii="宋体" w:hAnsi="宋体" w:eastAsia="宋体" w:cs="宋体"/>
          <w:sz w:val="21"/>
          <w:szCs w:val="21"/>
        </w:rPr>
        <w:t> </w:t>
      </w:r>
    </w:p>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DFB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2022-08-01T10:32:26Z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