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240" w:afterAutospacing="0" w:line="585" w:lineRule="atLeast"/>
        <w:jc w:val="cente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904"/>
        <w:gridCol w:w="782"/>
        <w:gridCol w:w="973"/>
        <w:gridCol w:w="1216"/>
        <w:gridCol w:w="1445"/>
        <w:gridCol w:w="1094"/>
        <w:gridCol w:w="592"/>
        <w:gridCol w:w="641"/>
        <w:gridCol w:w="86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75" w:hRule="atLeast"/>
          <w:jc w:val="center"/>
        </w:trPr>
        <w:tc>
          <w:tcPr>
            <w:tcW w:w="1350"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抽查主体名称</w:t>
            </w:r>
          </w:p>
        </w:tc>
        <w:tc>
          <w:tcPr>
            <w:tcW w:w="1470"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统一社会信用代码</w:t>
            </w:r>
          </w:p>
        </w:tc>
        <w:tc>
          <w:tcPr>
            <w:tcW w:w="1560"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抽查类别</w:t>
            </w:r>
          </w:p>
        </w:tc>
        <w:tc>
          <w:tcPr>
            <w:tcW w:w="2310"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抽查事项</w:t>
            </w:r>
          </w:p>
        </w:tc>
        <w:tc>
          <w:tcPr>
            <w:tcW w:w="3015"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抽查依据</w:t>
            </w:r>
          </w:p>
        </w:tc>
        <w:tc>
          <w:tcPr>
            <w:tcW w:w="1935"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抽查结果</w:t>
            </w:r>
          </w:p>
        </w:tc>
        <w:tc>
          <w:tcPr>
            <w:tcW w:w="885"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抽查时间</w:t>
            </w:r>
          </w:p>
        </w:tc>
        <w:tc>
          <w:tcPr>
            <w:tcW w:w="1035"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机关</w:t>
            </w:r>
          </w:p>
        </w:tc>
        <w:tc>
          <w:tcPr>
            <w:tcW w:w="990"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sz w:val="24"/>
                <w:szCs w:val="24"/>
                <w:bdr w:val="none" w:color="auto" w:sz="0" w:space="0"/>
              </w:rPr>
              <w:t>人员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120" w:hRule="atLeast"/>
          <w:jc w:val="center"/>
        </w:trPr>
        <w:tc>
          <w:tcPr>
            <w:tcW w:w="1350"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重庆渝万律师事务所</w:t>
            </w:r>
          </w:p>
        </w:tc>
        <w:tc>
          <w:tcPr>
            <w:tcW w:w="147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pacing w:val="0"/>
                <w:sz w:val="24"/>
                <w:szCs w:val="24"/>
                <w:bdr w:val="none" w:color="auto" w:sz="0" w:space="0"/>
                <w:shd w:val="clear" w:fill="FFFFFF"/>
              </w:rPr>
              <w:t>31500000451747859B</w:t>
            </w:r>
          </w:p>
        </w:tc>
        <w:tc>
          <w:tcPr>
            <w:tcW w:w="1560" w:type="dxa"/>
            <w:vMerge w:val="restart"/>
            <w:tcBorders>
              <w:top w:val="nil"/>
              <w:left w:val="nil"/>
              <w:bottom w:val="single" w:color="auto" w:sz="6" w:space="0"/>
              <w:right w:val="single" w:color="auto" w:sz="6" w:space="0"/>
            </w:tcBorders>
            <w:shd w:val="clear"/>
            <w:tcMar>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律师事务所统一收案情况，统一收费情况，依法纳税情况；律师事务所内部讨论情况、监督指导办案情况；律师事务所其他管理情况；律师执业有关情况。</w:t>
            </w:r>
          </w:p>
        </w:tc>
        <w:tc>
          <w:tcPr>
            <w:tcW w:w="2310" w:type="dxa"/>
            <w:vMerge w:val="restart"/>
            <w:tcBorders>
              <w:top w:val="nil"/>
              <w:left w:val="nil"/>
              <w:bottom w:val="single" w:color="auto" w:sz="6" w:space="0"/>
              <w:right w:val="single" w:color="auto" w:sz="6" w:space="0"/>
            </w:tcBorders>
            <w:shd w:val="clear"/>
            <w:tcMar>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律师事务所统一收案情况，统一收费情况，依法纳税情况；律师事务所重大疑难案件的请示报告、集体研究和检查督导制度；律师事务所其他管理情况；所内律所是否执行统一收案收费制度，是否签订委托代理合同，是否进行风险告知，是否签订授权委托书，是否有服务监督卡；是否按要求立卷归档。</w:t>
            </w:r>
          </w:p>
        </w:tc>
        <w:tc>
          <w:tcPr>
            <w:tcW w:w="3015" w:type="dxa"/>
            <w:vMerge w:val="restart"/>
            <w:tcBorders>
              <w:top w:val="nil"/>
              <w:left w:val="nil"/>
              <w:bottom w:val="single" w:color="auto" w:sz="6" w:space="0"/>
              <w:right w:val="single" w:color="auto" w:sz="6" w:space="0"/>
            </w:tcBorders>
            <w:shd w:val="clear"/>
            <w:tcMar>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《律师法》第四条：司法行政部门依照本法对律师、律师事务所和律师协会进行监督、指导；《律师事务所管理办法》第五条：司法行政机关依照《律师法》和本办法的规定对律师事务所进行监督、指导、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第七十一条：司法行政机关应当加强对实施许可和管理活动的层级监督，按照规定建立有关工作的统计、请示、报告、督办等制度；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《律师执业管理办法》第四条：司法行政机关依照《律师法》和本办法的规定对律师执业进行监督、指导。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第五十五条：司法行政机关应当加强对实施律师执业许可和日常监督管理活动的层级监督，按照规定建立有关工作的统计、请示、报告、督办等制度。</w:t>
            </w:r>
          </w:p>
        </w:tc>
        <w:tc>
          <w:tcPr>
            <w:tcW w:w="19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部分案卷接待笔录、庭审笔录、代理词等较为简单。</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2021-12-08</w:t>
            </w:r>
          </w:p>
        </w:tc>
        <w:tc>
          <w:tcPr>
            <w:tcW w:w="10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万州区司法局</w:t>
            </w:r>
          </w:p>
        </w:tc>
        <w:tc>
          <w:tcPr>
            <w:tcW w:w="99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pPr>
            <w:r>
              <w:rPr>
                <w:rFonts w:hint="eastAsia" w:ascii="宋体" w:hAnsi="宋体" w:eastAsia="宋体" w:cs="宋体"/>
                <w:sz w:val="24"/>
                <w:szCs w:val="24"/>
                <w:bdr w:val="none" w:color="auto" w:sz="0" w:space="0"/>
              </w:rPr>
              <w:t>王江（执法证号：010160022）、李国任（执法证号：010160018）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920" w:hRule="atLeast"/>
          <w:jc w:val="center"/>
        </w:trPr>
        <w:tc>
          <w:tcPr>
            <w:tcW w:w="1350"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上海中联（万州）律师事务所</w:t>
            </w:r>
          </w:p>
        </w:tc>
        <w:tc>
          <w:tcPr>
            <w:tcW w:w="147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pacing w:val="0"/>
                <w:sz w:val="24"/>
                <w:szCs w:val="24"/>
                <w:bdr w:val="none" w:color="auto" w:sz="0" w:space="0"/>
                <w:shd w:val="clear" w:fill="FFFFFF"/>
              </w:rPr>
              <w:t>31500000078837804K</w:t>
            </w:r>
          </w:p>
        </w:tc>
        <w:tc>
          <w:tcPr>
            <w:tcW w:w="1560"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2310"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3015"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19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1.案卷无风险告知书；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2.案卷无质量反馈卡。</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2021-12-07</w:t>
            </w:r>
          </w:p>
        </w:tc>
        <w:tc>
          <w:tcPr>
            <w:tcW w:w="10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万州区司法局</w:t>
            </w:r>
          </w:p>
        </w:tc>
        <w:tc>
          <w:tcPr>
            <w:tcW w:w="99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pPr>
            <w:r>
              <w:rPr>
                <w:rFonts w:hint="eastAsia" w:ascii="宋体" w:hAnsi="宋体" w:eastAsia="宋体" w:cs="宋体"/>
                <w:sz w:val="24"/>
                <w:szCs w:val="24"/>
                <w:bdr w:val="none" w:color="auto" w:sz="0" w:space="0"/>
              </w:rPr>
              <w:t>王江（执法证号：010160022）、李国任（执法证号：010160018）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120" w:hRule="atLeast"/>
          <w:jc w:val="center"/>
        </w:trPr>
        <w:tc>
          <w:tcPr>
            <w:tcW w:w="1350"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重庆超祥律师事务所</w:t>
            </w:r>
          </w:p>
        </w:tc>
        <w:tc>
          <w:tcPr>
            <w:tcW w:w="147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pacing w:val="0"/>
                <w:sz w:val="24"/>
                <w:szCs w:val="24"/>
                <w:bdr w:val="none" w:color="auto" w:sz="0" w:space="0"/>
                <w:shd w:val="clear" w:fill="FFFFFF"/>
              </w:rPr>
              <w:t>31500000660894302A</w:t>
            </w:r>
          </w:p>
        </w:tc>
        <w:tc>
          <w:tcPr>
            <w:tcW w:w="1560"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2310"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3015"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19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1.部分案卷纸张为使用过纸张，上有非本案当事人身份信息等敏感资料；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sz w:val="24"/>
                <w:szCs w:val="24"/>
                <w:bdr w:val="none" w:color="auto" w:sz="0" w:space="0"/>
              </w:rPr>
              <w:t>2.少部分合同中委托人身份证号码未填写。</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2021-12-07</w:t>
            </w:r>
          </w:p>
        </w:tc>
        <w:tc>
          <w:tcPr>
            <w:tcW w:w="10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万州区司法局</w:t>
            </w:r>
          </w:p>
        </w:tc>
        <w:tc>
          <w:tcPr>
            <w:tcW w:w="99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pPr>
            <w:r>
              <w:rPr>
                <w:rFonts w:hint="eastAsia" w:ascii="宋体" w:hAnsi="宋体" w:eastAsia="宋体" w:cs="宋体"/>
                <w:sz w:val="24"/>
                <w:szCs w:val="24"/>
                <w:bdr w:val="none" w:color="auto" w:sz="0" w:space="0"/>
              </w:rPr>
              <w:t>王江（执法证号：010160022）、李国任（执法证号：010160018）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120" w:hRule="atLeast"/>
          <w:jc w:val="center"/>
        </w:trPr>
        <w:tc>
          <w:tcPr>
            <w:tcW w:w="1350"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重庆蕙芯律师事务所</w:t>
            </w:r>
          </w:p>
        </w:tc>
        <w:tc>
          <w:tcPr>
            <w:tcW w:w="147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31500000358692769N</w:t>
            </w:r>
          </w:p>
        </w:tc>
        <w:tc>
          <w:tcPr>
            <w:tcW w:w="1560"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2310"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3015"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19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个别案卷中，受理审批表无负责人签名。</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2021-12-08</w:t>
            </w:r>
          </w:p>
        </w:tc>
        <w:tc>
          <w:tcPr>
            <w:tcW w:w="10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万州区司法局</w:t>
            </w:r>
          </w:p>
        </w:tc>
        <w:tc>
          <w:tcPr>
            <w:tcW w:w="99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pPr>
            <w:r>
              <w:rPr>
                <w:rFonts w:hint="eastAsia" w:ascii="宋体" w:hAnsi="宋体" w:eastAsia="宋体" w:cs="宋体"/>
                <w:sz w:val="24"/>
                <w:szCs w:val="24"/>
                <w:bdr w:val="none" w:color="auto" w:sz="0" w:space="0"/>
              </w:rPr>
              <w:t>王江（执法证号：010160022）、李国任（执法证号：010160018）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975" w:hRule="atLeast"/>
          <w:jc w:val="center"/>
        </w:trPr>
        <w:tc>
          <w:tcPr>
            <w:tcW w:w="1350"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重庆利瑞律师事务所</w:t>
            </w:r>
          </w:p>
        </w:tc>
        <w:tc>
          <w:tcPr>
            <w:tcW w:w="147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315000005889340064</w:t>
            </w:r>
          </w:p>
        </w:tc>
        <w:tc>
          <w:tcPr>
            <w:tcW w:w="1560"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2310"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3015"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19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部分案卷中，受理审批表无负责人签名。</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2021-12-08</w:t>
            </w:r>
          </w:p>
        </w:tc>
        <w:tc>
          <w:tcPr>
            <w:tcW w:w="10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万州区司法局</w:t>
            </w:r>
          </w:p>
        </w:tc>
        <w:tc>
          <w:tcPr>
            <w:tcW w:w="99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pPr>
            <w:r>
              <w:rPr>
                <w:rFonts w:hint="eastAsia" w:ascii="宋体" w:hAnsi="宋体" w:eastAsia="宋体" w:cs="宋体"/>
                <w:sz w:val="24"/>
                <w:szCs w:val="24"/>
                <w:bdr w:val="none" w:color="auto" w:sz="0" w:space="0"/>
              </w:rPr>
              <w:t>王江（执法证号：010160022）、李国任（执法证号：010160018）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3135" w:hRule="atLeast"/>
          <w:jc w:val="center"/>
        </w:trPr>
        <w:tc>
          <w:tcPr>
            <w:tcW w:w="1350"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重庆鹏舟律师事务所</w:t>
            </w:r>
          </w:p>
        </w:tc>
        <w:tc>
          <w:tcPr>
            <w:tcW w:w="147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31500000305172348H</w:t>
            </w:r>
          </w:p>
        </w:tc>
        <w:tc>
          <w:tcPr>
            <w:tcW w:w="1560"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2310"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3015" w:type="dxa"/>
            <w:vMerge w:val="continue"/>
            <w:tcBorders>
              <w:top w:val="nil"/>
              <w:left w:val="nil"/>
              <w:bottom w:val="single" w:color="auto" w:sz="6" w:space="0"/>
              <w:right w:val="single" w:color="auto" w:sz="6" w:space="0"/>
            </w:tcBorders>
            <w:shd w:val="clear"/>
            <w:tcMar>
              <w:left w:w="105" w:type="dxa"/>
              <w:bottom w:w="0" w:type="dxa"/>
              <w:right w:w="105" w:type="dxa"/>
            </w:tcMar>
            <w:vAlign w:val="top"/>
          </w:tcPr>
          <w:p>
            <w:pPr>
              <w:rPr>
                <w:rFonts w:hint="eastAsia" w:ascii="宋体"/>
                <w:sz w:val="24"/>
                <w:szCs w:val="24"/>
              </w:rPr>
            </w:pPr>
          </w:p>
        </w:tc>
        <w:tc>
          <w:tcPr>
            <w:tcW w:w="19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1.部分案卷无接待笔录；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宋体" w:hAnsi="宋体" w:eastAsia="宋体" w:cs="宋体"/>
                <w:sz w:val="24"/>
                <w:szCs w:val="24"/>
                <w:bdr w:val="none" w:color="auto" w:sz="0" w:space="0"/>
              </w:rPr>
              <w:t>2.部分案卷办案小结较为简单。</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2021-12-10</w:t>
            </w:r>
          </w:p>
        </w:tc>
        <w:tc>
          <w:tcPr>
            <w:tcW w:w="103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center"/>
            </w:pPr>
            <w:r>
              <w:rPr>
                <w:rFonts w:hint="eastAsia" w:ascii="宋体" w:hAnsi="宋体" w:eastAsia="宋体" w:cs="宋体"/>
                <w:sz w:val="24"/>
                <w:szCs w:val="24"/>
                <w:bdr w:val="none" w:color="auto" w:sz="0" w:space="0"/>
              </w:rPr>
              <w:t>万州区司法局</w:t>
            </w:r>
          </w:p>
        </w:tc>
        <w:tc>
          <w:tcPr>
            <w:tcW w:w="99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pPr>
            <w:r>
              <w:rPr>
                <w:rFonts w:hint="eastAsia" w:ascii="宋体" w:hAnsi="宋体" w:eastAsia="宋体" w:cs="宋体"/>
                <w:sz w:val="24"/>
                <w:szCs w:val="24"/>
                <w:bdr w:val="none" w:color="auto" w:sz="0" w:space="0"/>
              </w:rPr>
              <w:t>王江（执法证号：010160022）、李国任（执法证号：010160018）</w:t>
            </w:r>
          </w:p>
        </w:tc>
      </w:tr>
    </w:tbl>
    <w:p>
      <w:pPr>
        <w:pStyle w:val="2"/>
        <w:keepNext w:val="0"/>
        <w:keepLines w:val="0"/>
        <w:widowControl/>
        <w:suppressLineNumbers w:val="0"/>
        <w:spacing w:line="240" w:lineRule="atLeast"/>
        <w:ind w:left="0" w:firstLine="0"/>
        <w:jc w:val="both"/>
      </w:pPr>
      <w:r>
        <w:rPr>
          <w:rFonts w:hint="eastAsia" w:ascii="宋体" w:hAnsi="宋体" w:eastAsia="宋体" w:cs="宋体"/>
          <w:sz w:val="31"/>
          <w:szCs w:val="31"/>
        </w:rPr>
        <w:t> </w:t>
      </w:r>
    </w:p>
    <w:p>
      <w:pPr>
        <w:pStyle w:val="2"/>
        <w:keepNext w:val="0"/>
        <w:keepLines w:val="0"/>
        <w:widowControl/>
        <w:suppressLineNumbers w:val="0"/>
        <w:spacing w:line="315" w:lineRule="atLeast"/>
      </w:pPr>
      <w:r>
        <w:rPr>
          <w:rFonts w:hint="eastAsia" w:ascii="宋体" w:hAnsi="宋体" w:eastAsia="宋体" w:cs="宋体"/>
          <w:sz w:val="21"/>
          <w:szCs w:val="21"/>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FDBD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2022-08-01T10:47:00Z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