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重庆市万州区市场监督管理局</w:t>
      </w:r>
    </w:p>
    <w:p>
      <w:pPr>
        <w:pStyle w:val="8"/>
        <w:keepNext w:val="0"/>
        <w:keepLines w:val="0"/>
        <w:pageBreakBefore w:val="0"/>
        <w:widowControl w:val="0"/>
        <w:kinsoku/>
        <w:wordWrap/>
        <w:overflowPunct/>
        <w:topLinePunct w:val="0"/>
        <w:autoSpaceDE/>
        <w:autoSpaceDN/>
        <w:bidi w:val="0"/>
        <w:adjustRightInd w:val="0"/>
        <w:snapToGrid w:val="0"/>
        <w:spacing w:after="0" w:line="6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关于印发《万州区开展2021年锅炉事故隐患排查整治“回头看”</w:t>
      </w:r>
      <w:r>
        <w:rPr>
          <w:rFonts w:hint="default" w:ascii="Times New Roman" w:hAnsi="Times New Roman" w:eastAsia="方正小标宋_GBK" w:cs="Times New Roman"/>
          <w:spacing w:val="-16"/>
          <w:w w:val="98"/>
          <w:sz w:val="44"/>
          <w:szCs w:val="44"/>
        </w:rPr>
        <w:t>实施方案</w:t>
      </w:r>
      <w:r>
        <w:rPr>
          <w:rFonts w:hint="default" w:ascii="Times New Roman" w:hAnsi="Times New Roman" w:eastAsia="方正小标宋_GBK" w:cs="Times New Roman"/>
          <w:sz w:val="44"/>
          <w:szCs w:val="44"/>
        </w:rPr>
        <w:t>》的通知</w:t>
      </w:r>
    </w:p>
    <w:p>
      <w:pPr>
        <w:jc w:val="center"/>
      </w:pPr>
      <w:r>
        <w:rPr>
          <w:rFonts w:hint="eastAsia"/>
        </w:rPr>
        <w:t>万州市监发〔2021〕</w:t>
      </w:r>
      <w:r>
        <w:rPr>
          <w:rFonts w:hint="eastAsia"/>
          <w:lang w:val="en-US" w:eastAsia="zh-CN"/>
        </w:rPr>
        <w:t>58</w:t>
      </w:r>
      <w:r>
        <w:rPr>
          <w:rFonts w:hint="eastAsia"/>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9"/>
        <w:adjustRightInd w:val="0"/>
        <w:snapToGrid w:val="0"/>
        <w:spacing w:before="0" w:beforeAutospacing="0" w:after="0" w:afterAutospacing="0" w:line="560" w:lineRule="exact"/>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各市场监管所</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局特监科、执法支队</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市特检院万州中心，锅炉相关企业：</w:t>
      </w:r>
    </w:p>
    <w:p>
      <w:pPr>
        <w:spacing w:line="560" w:lineRule="exact"/>
        <w:ind w:firstLine="654"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现将《万州区开展2021年锅炉事故隐患排查整治“回头看”实施方案》印发给你们，请结合实际情况认真贯彻落实。</w:t>
      </w:r>
    </w:p>
    <w:p>
      <w:pPr>
        <w:keepNext w:val="0"/>
        <w:keepLines w:val="0"/>
        <w:pageBreakBefore w:val="0"/>
        <w:widowControl w:val="0"/>
        <w:kinsoku/>
        <w:wordWrap/>
        <w:overflowPunct/>
        <w:topLinePunct w:val="0"/>
        <w:autoSpaceDE/>
        <w:autoSpaceDN/>
        <w:bidi w:val="0"/>
        <w:adjustRightInd/>
        <w:spacing w:line="440" w:lineRule="exact"/>
        <w:ind w:firstLine="654" w:firstLineChars="200"/>
        <w:jc w:val="left"/>
        <w:textAlignment w:val="auto"/>
        <w:rPr>
          <w:rFonts w:hint="eastAsia" w:ascii="方正楷体_GBK" w:hAnsi="方正楷体_GBK" w:eastAsia="方正楷体_GBK" w:cs="方正楷体_GBK"/>
          <w:szCs w:val="32"/>
        </w:rPr>
      </w:pPr>
    </w:p>
    <w:p>
      <w:pPr>
        <w:pStyle w:val="2"/>
        <w:keepNext w:val="0"/>
        <w:keepLines w:val="0"/>
        <w:pageBreakBefore w:val="0"/>
        <w:widowControl w:val="0"/>
        <w:kinsoku/>
        <w:wordWrap/>
        <w:overflowPunct/>
        <w:topLinePunct w:val="0"/>
        <w:autoSpaceDE/>
        <w:autoSpaceDN/>
        <w:bidi w:val="0"/>
        <w:adjustRightInd/>
        <w:spacing w:line="440" w:lineRule="exact"/>
        <w:ind w:firstLine="654" w:firstLineChars="200"/>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color w:val="000000"/>
          <w:szCs w:val="32"/>
          <w:lang w:val="en-US" w:eastAsia="zh-CN"/>
        </w:rPr>
        <w:t xml:space="preserve">                        </w:t>
      </w:r>
      <w:r>
        <w:rPr>
          <w:rFonts w:hint="eastAsia" w:ascii="方正楷体_GBK" w:hAnsi="方正楷体_GBK" w:eastAsia="方正楷体_GBK" w:cs="方正楷体_GBK"/>
          <w:color w:val="000000"/>
          <w:szCs w:val="32"/>
        </w:rPr>
        <w:t>重庆市万州区市场监督管理局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 xml:space="preserve">                     2021年5月11日</w:t>
      </w:r>
    </w:p>
    <w:p>
      <w:pPr>
        <w:pStyle w:val="2"/>
        <w:ind w:firstLine="654" w:firstLineChars="200"/>
      </w:pPr>
      <w:r>
        <w:rPr>
          <w:rFonts w:hint="eastAsia" w:ascii="方正楷体_GBK" w:hAnsi="方正楷体_GBK" w:eastAsia="方正楷体_GBK" w:cs="方正楷体_GBK"/>
          <w:sz w:val="32"/>
          <w:szCs w:val="32"/>
          <w:lang w:eastAsia="zh-CN"/>
        </w:rPr>
        <w:t>（此件公开发布）</w:t>
      </w:r>
    </w:p>
    <w:p>
      <w:pPr>
        <w:rPr>
          <w:rFonts w:hint="eastAsia" w:eastAsia="方正小标宋_GBK" w:cs="方正小标宋_GBK"/>
          <w:sz w:val="44"/>
          <w:szCs w:val="44"/>
        </w:rPr>
      </w:pPr>
      <w:r>
        <w:rPr>
          <w:rFonts w:hint="eastAsia" w:eastAsia="方正小标宋_GBK" w:cs="方正小标宋_GBK"/>
          <w:sz w:val="44"/>
          <w:szCs w:val="44"/>
        </w:rPr>
        <w:br w:type="page"/>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680" w:lineRule="exact"/>
        <w:ind w:left="0" w:firstLine="447" w:firstLineChars="100"/>
        <w:textAlignment w:val="auto"/>
        <w:rPr>
          <w:rFonts w:eastAsia="方正小标宋_GBK" w:cs="方正小标宋_GBK"/>
          <w:sz w:val="44"/>
          <w:szCs w:val="44"/>
        </w:rPr>
      </w:pPr>
      <w:r>
        <w:rPr>
          <w:rFonts w:hint="eastAsia" w:eastAsia="方正小标宋_GBK" w:cs="方正小标宋_GBK"/>
          <w:sz w:val="44"/>
          <w:szCs w:val="44"/>
        </w:rPr>
        <w:t>万州区开展2021年锅炉事故隐患排查整治</w:t>
      </w:r>
    </w:p>
    <w:p>
      <w:pPr>
        <w:pStyle w:val="3"/>
        <w:keepNext w:val="0"/>
        <w:keepLines w:val="0"/>
        <w:pageBreakBefore w:val="0"/>
        <w:widowControl w:val="0"/>
        <w:kinsoku/>
        <w:wordWrap/>
        <w:overflowPunct/>
        <w:topLinePunct w:val="0"/>
        <w:autoSpaceDE/>
        <w:autoSpaceDN/>
        <w:bidi w:val="0"/>
        <w:adjustRightInd/>
        <w:snapToGrid/>
        <w:spacing w:line="680" w:lineRule="exact"/>
        <w:ind w:left="0" w:firstLine="2235" w:firstLineChars="500"/>
        <w:textAlignment w:val="auto"/>
        <w:rPr>
          <w:rFonts w:eastAsia="方正小标宋_GBK" w:cs="方正小标宋_GBK"/>
          <w:spacing w:val="-16"/>
          <w:w w:val="98"/>
          <w:sz w:val="44"/>
          <w:szCs w:val="44"/>
        </w:rPr>
      </w:pPr>
      <w:r>
        <w:rPr>
          <w:rFonts w:hint="eastAsia" w:eastAsia="方正小标宋_GBK" w:cs="方正小标宋_GBK"/>
          <w:sz w:val="44"/>
          <w:szCs w:val="44"/>
        </w:rPr>
        <w:t>“回头看”</w:t>
      </w:r>
      <w:r>
        <w:rPr>
          <w:rFonts w:hint="eastAsia" w:eastAsia="方正小标宋_GBK" w:cs="方正小标宋_GBK"/>
          <w:spacing w:val="-16"/>
          <w:w w:val="98"/>
          <w:sz w:val="44"/>
          <w:szCs w:val="44"/>
        </w:rPr>
        <w:t>实施方案</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32"/>
        </w:rPr>
      </w:pPr>
      <w:r>
        <w:t>2020年全</w:t>
      </w:r>
      <w:r>
        <w:rPr>
          <w:rFonts w:hint="eastAsia"/>
        </w:rPr>
        <w:t>区</w:t>
      </w:r>
      <w:r>
        <w:t>开展锅炉事故隐患排查整治行动，推动了企业主体责任落实，发现整改了一批事故隐患，有效杜绝了安全事故发生，取得阶段性成果。但仍有部分锅炉企业隐患排查不彻底，督促整改事故隐患力度不够大。根据</w:t>
      </w:r>
      <w:r>
        <w:rPr>
          <w:rFonts w:hint="eastAsia"/>
        </w:rPr>
        <w:t>市局</w:t>
      </w:r>
      <w:r>
        <w:t>统一安排部署，决定对</w:t>
      </w:r>
      <w:r>
        <w:rPr>
          <w:rFonts w:hint="eastAsia"/>
        </w:rPr>
        <w:t>全区</w:t>
      </w:r>
      <w:r>
        <w:t>锅炉事故隐患专项排查开展全面</w:t>
      </w:r>
      <w:r>
        <w:rPr>
          <w:rFonts w:hint="eastAsia"/>
        </w:rPr>
        <w:t>“</w:t>
      </w:r>
      <w:r>
        <w:t>回头看</w:t>
      </w:r>
      <w:r>
        <w:rPr>
          <w:rFonts w:hint="eastAsia"/>
        </w:rPr>
        <w:t>”</w:t>
      </w:r>
      <w:r>
        <w:t>，进行再部署、再督促、再落实</w:t>
      </w:r>
      <w:r>
        <w:rPr>
          <w:rFonts w:hint="eastAsia"/>
        </w:rPr>
        <w:t>，现</w:t>
      </w:r>
      <w:r>
        <w:rPr>
          <w:szCs w:val="32"/>
        </w:rPr>
        <w:t>结合我</w:t>
      </w:r>
      <w:r>
        <w:rPr>
          <w:rFonts w:hint="eastAsia"/>
          <w:szCs w:val="32"/>
        </w:rPr>
        <w:t>区</w:t>
      </w:r>
      <w:r>
        <w:rPr>
          <w:szCs w:val="32"/>
        </w:rPr>
        <w:t>实际制定本方案。</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22"/>
        </w:rPr>
        <w:t>以全面贯彻落实习近平总书记关于安全生产系列重要批示指示精神为指导，紧紧围绕特种设备事故隐患大排查大整治大执法工作部署，严格对照2020年锅炉事故隐患专项排查整治要求，突出重点、盯住隐患</w:t>
      </w:r>
      <w:r>
        <w:rPr>
          <w:rFonts w:hint="eastAsia"/>
          <w:szCs w:val="22"/>
        </w:rPr>
        <w:t>、</w:t>
      </w:r>
      <w:r>
        <w:rPr>
          <w:szCs w:val="22"/>
        </w:rPr>
        <w:t>严查真改、深化整治，</w:t>
      </w:r>
      <w:r>
        <w:rPr>
          <w:rFonts w:hint="eastAsia"/>
          <w:szCs w:val="22"/>
        </w:rPr>
        <w:t>并组织行业专家进行专项检查，进一步巩固整治成果，通过此次专项排查“回头看”工作，切实推动安全监管责任和企业主体责任落实，有效防范化解重大风险，严厉打击各类违法违规行为，推动全区锅炉领域安全形势稳定向好，为建党</w:t>
      </w:r>
      <w:r>
        <w:rPr>
          <w:szCs w:val="22"/>
        </w:rPr>
        <w:t>100</w:t>
      </w:r>
      <w:r>
        <w:rPr>
          <w:rFonts w:hint="eastAsia"/>
          <w:szCs w:val="22"/>
        </w:rPr>
        <w:t>周年营造良好安全环境。</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hint="eastAsia" w:eastAsia="方正黑体_GBK"/>
          <w:szCs w:val="32"/>
        </w:rPr>
        <w:t>二、重点工作任务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rFonts w:hint="eastAsia"/>
          <w:szCs w:val="22"/>
        </w:rPr>
        <w:t>根据《重庆市万州区市场监督管理局关于开展2021年度特种设备安全隐患大排查大整治大执法工作的通知》（</w:t>
      </w:r>
      <w:r>
        <w:rPr>
          <w:rFonts w:hint="eastAsia"/>
        </w:rPr>
        <w:t>万州市监发〔2021〕51号</w:t>
      </w:r>
      <w:r>
        <w:rPr>
          <w:rFonts w:hint="eastAsia"/>
          <w:szCs w:val="22"/>
        </w:rPr>
        <w:t>）要求，对照《</w:t>
      </w:r>
      <w:r>
        <w:rPr>
          <w:szCs w:val="22"/>
        </w:rPr>
        <w:t>2020</w:t>
      </w:r>
      <w:r>
        <w:rPr>
          <w:rFonts w:hint="eastAsia"/>
          <w:szCs w:val="22"/>
        </w:rPr>
        <w:t>年锅炉事故隐患专项排查整治方案》（万州市监发〔</w:t>
      </w:r>
      <w:r>
        <w:rPr>
          <w:szCs w:val="22"/>
        </w:rPr>
        <w:t>2020</w:t>
      </w:r>
      <w:r>
        <w:rPr>
          <w:rFonts w:hint="eastAsia"/>
          <w:szCs w:val="22"/>
        </w:rPr>
        <w:t>〕</w:t>
      </w:r>
      <w:r>
        <w:rPr>
          <w:szCs w:val="22"/>
        </w:rPr>
        <w:t>2</w:t>
      </w:r>
      <w:r>
        <w:rPr>
          <w:rFonts w:hint="eastAsia"/>
          <w:szCs w:val="22"/>
        </w:rPr>
        <w:t>7号）整治内容要求，重点对以下工作任务全面开展“回头看”。</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firstLine="654" w:firstLineChars="200"/>
        <w:textAlignment w:val="auto"/>
        <w:rPr>
          <w:rFonts w:eastAsia="方正楷体_GBK"/>
          <w:szCs w:val="32"/>
        </w:rPr>
      </w:pPr>
      <w:r>
        <w:rPr>
          <w:rFonts w:hint="eastAsia" w:eastAsia="方正楷体_GBK"/>
          <w:szCs w:val="32"/>
        </w:rPr>
        <w:t>电站锅炉排查整治</w:t>
      </w:r>
      <w:r>
        <w:rPr>
          <w:rFonts w:hint="eastAsia"/>
          <w:szCs w:val="32"/>
        </w:rPr>
        <w:t>“</w:t>
      </w:r>
      <w:r>
        <w:rPr>
          <w:rFonts w:hint="eastAsia" w:eastAsia="方正楷体_GBK"/>
          <w:szCs w:val="32"/>
        </w:rPr>
        <w:t>回头看</w:t>
      </w:r>
      <w:r>
        <w:rPr>
          <w:rFonts w:hint="eastAsia"/>
          <w:szCs w:val="32"/>
        </w:rPr>
        <w:t>”</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22"/>
        </w:rPr>
      </w:pPr>
      <w:r>
        <w:rPr>
          <w:szCs w:val="32"/>
        </w:rPr>
        <w:t>1</w:t>
      </w:r>
      <w:r>
        <w:rPr>
          <w:rFonts w:hint="eastAsia"/>
          <w:szCs w:val="32"/>
        </w:rPr>
        <w:t>.</w:t>
      </w:r>
      <w:r>
        <w:rPr>
          <w:rFonts w:hint="eastAsia"/>
          <w:szCs w:val="22"/>
        </w:rPr>
        <w:t>管道管材隐患排查整治。深入开展电站锅炉范围内管道及材料质量事故隐患排查整治“回头看”，重点检查：（</w:t>
      </w:r>
      <w:r>
        <w:rPr>
          <w:szCs w:val="22"/>
        </w:rPr>
        <w:t>1</w:t>
      </w:r>
      <w:r>
        <w:rPr>
          <w:rFonts w:hint="eastAsia"/>
          <w:szCs w:val="22"/>
        </w:rPr>
        <w:t>）电站企业是否按照有关要求</w:t>
      </w:r>
      <w:r>
        <w:rPr>
          <w:szCs w:val="22"/>
        </w:rPr>
        <w:t>100%</w:t>
      </w:r>
      <w:r>
        <w:rPr>
          <w:rFonts w:hint="eastAsia"/>
          <w:szCs w:val="22"/>
        </w:rPr>
        <w:t>开展电站锅炉管道管材隐患专项排查；（</w:t>
      </w:r>
      <w:r>
        <w:rPr>
          <w:szCs w:val="22"/>
        </w:rPr>
        <w:t>2</w:t>
      </w:r>
      <w:r>
        <w:rPr>
          <w:rFonts w:hint="eastAsia"/>
          <w:szCs w:val="22"/>
        </w:rPr>
        <w:t>）自</w:t>
      </w:r>
      <w:r>
        <w:rPr>
          <w:szCs w:val="22"/>
        </w:rPr>
        <w:t>2018</w:t>
      </w:r>
      <w:r>
        <w:rPr>
          <w:rFonts w:hint="eastAsia"/>
          <w:szCs w:val="22"/>
        </w:rPr>
        <w:t>年电站锅炉管道管材安全排查整治以来，对遗留未销号的隐患问题，特别是电站锅炉流量计、主蒸汽母管存在事故隐患的整改落实情况，是否还存在检验到期而未开展检验的，坚决杜绝事故隐患久拖不治；（</w:t>
      </w:r>
      <w:r>
        <w:rPr>
          <w:szCs w:val="22"/>
        </w:rPr>
        <w:t>3</w:t>
      </w:r>
      <w:r>
        <w:rPr>
          <w:rFonts w:hint="eastAsia"/>
          <w:szCs w:val="22"/>
        </w:rPr>
        <w:t>）电站企业是否按照《锅规》建立定期巡回检查制度并做好记录；（</w:t>
      </w:r>
      <w:r>
        <w:rPr>
          <w:szCs w:val="22"/>
        </w:rPr>
        <w:t>4</w:t>
      </w:r>
      <w:r>
        <w:rPr>
          <w:rFonts w:hint="eastAsia"/>
          <w:szCs w:val="22"/>
        </w:rPr>
        <w:t>）是否制定管道泄漏、爆破应急措施和救援预案并组织开展救援演练；（</w:t>
      </w:r>
      <w:r>
        <w:rPr>
          <w:szCs w:val="22"/>
        </w:rPr>
        <w:t>5</w:t>
      </w:r>
      <w:r>
        <w:rPr>
          <w:rFonts w:hint="eastAsia"/>
          <w:szCs w:val="22"/>
        </w:rPr>
        <w:t>）运行超过</w:t>
      </w:r>
      <w:r>
        <w:rPr>
          <w:szCs w:val="22"/>
        </w:rPr>
        <w:t>10</w:t>
      </w:r>
      <w:r>
        <w:rPr>
          <w:rFonts w:hint="eastAsia"/>
          <w:szCs w:val="22"/>
        </w:rPr>
        <w:t>万小时未进行检验的主蒸汽母管，是否对焊接接头进行</w:t>
      </w:r>
      <w:r>
        <w:rPr>
          <w:szCs w:val="22"/>
        </w:rPr>
        <w:t>100%</w:t>
      </w:r>
      <w:r>
        <w:rPr>
          <w:rFonts w:hint="eastAsia"/>
          <w:szCs w:val="22"/>
        </w:rPr>
        <w:t>无损检测、金相检验及硬度检测；（</w:t>
      </w:r>
      <w:r>
        <w:rPr>
          <w:szCs w:val="22"/>
        </w:rPr>
        <w:t>6</w:t>
      </w:r>
      <w:r>
        <w:rPr>
          <w:rFonts w:hint="eastAsia"/>
          <w:szCs w:val="22"/>
        </w:rPr>
        <w:t>）对未实施制造监检的元件组合装置是否进行补充检验检测；（</w:t>
      </w:r>
      <w:r>
        <w:rPr>
          <w:szCs w:val="22"/>
        </w:rPr>
        <w:t>7</w:t>
      </w:r>
      <w:r>
        <w:rPr>
          <w:rFonts w:hint="eastAsia"/>
          <w:szCs w:val="22"/>
        </w:rPr>
        <w:t>）电站企业是否按照有关规定要求，建立电站锅炉范围内管道及材料质量事故隐患排查长效机制，落实电站锅炉</w:t>
      </w:r>
      <w:r>
        <w:rPr>
          <w:szCs w:val="22"/>
        </w:rPr>
        <w:t>管道</w:t>
      </w:r>
      <w:r>
        <w:rPr>
          <w:rFonts w:hint="eastAsia"/>
          <w:szCs w:val="22"/>
        </w:rPr>
        <w:t>管材的设计制造、订货采购、入场验收、检验检测、安装调试</w:t>
      </w:r>
      <w:r>
        <w:rPr>
          <w:szCs w:val="22"/>
        </w:rPr>
        <w:t>等工作要求，完善锅炉范围内管道（尤其主蒸汽母管）、元件组合装置定期检验和制</w:t>
      </w:r>
      <w:r>
        <w:rPr>
          <w:rFonts w:hint="eastAsia"/>
          <w:szCs w:val="22"/>
        </w:rPr>
        <w:t>定</w:t>
      </w:r>
      <w:r>
        <w:rPr>
          <w:szCs w:val="22"/>
        </w:rPr>
        <w:t>监检台账。</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22"/>
        </w:rPr>
      </w:pPr>
      <w:r>
        <w:rPr>
          <w:szCs w:val="32"/>
        </w:rPr>
        <w:t>2</w:t>
      </w:r>
      <w:r>
        <w:rPr>
          <w:rFonts w:hint="eastAsia"/>
          <w:szCs w:val="32"/>
        </w:rPr>
        <w:t>.</w:t>
      </w:r>
      <w:r>
        <w:rPr>
          <w:szCs w:val="22"/>
        </w:rPr>
        <w:t>安全附件隐患排查整治。按照《锅炉安全技术规程》等安全技术规范及相关标准规定，深入开展电站锅炉安全附件隐患排查整治，重点检查：</w:t>
      </w:r>
      <w:r>
        <w:rPr>
          <w:rFonts w:hint="eastAsia"/>
          <w:szCs w:val="22"/>
        </w:rPr>
        <w:t>（</w:t>
      </w:r>
      <w:r>
        <w:rPr>
          <w:szCs w:val="22"/>
        </w:rPr>
        <w:t>1</w:t>
      </w:r>
      <w:r>
        <w:rPr>
          <w:rFonts w:hint="eastAsia"/>
          <w:szCs w:val="22"/>
        </w:rPr>
        <w:t>）</w:t>
      </w:r>
      <w:r>
        <w:rPr>
          <w:szCs w:val="22"/>
        </w:rPr>
        <w:t>压力表、安全阀、温度仪表校验报告或证书是否有效；</w:t>
      </w:r>
      <w:r>
        <w:rPr>
          <w:rFonts w:hint="eastAsia"/>
          <w:szCs w:val="22"/>
        </w:rPr>
        <w:t>（</w:t>
      </w:r>
      <w:r>
        <w:rPr>
          <w:szCs w:val="22"/>
        </w:rPr>
        <w:t>2</w:t>
      </w:r>
      <w:r>
        <w:rPr>
          <w:rFonts w:hint="eastAsia"/>
          <w:szCs w:val="22"/>
        </w:rPr>
        <w:t>）</w:t>
      </w:r>
      <w:r>
        <w:rPr>
          <w:szCs w:val="22"/>
        </w:rPr>
        <w:t>安全阀整定压力是否按最高允许工作压力整定；</w:t>
      </w:r>
      <w:r>
        <w:rPr>
          <w:rFonts w:hint="eastAsia"/>
          <w:szCs w:val="22"/>
        </w:rPr>
        <w:t>（</w:t>
      </w:r>
      <w:r>
        <w:rPr>
          <w:szCs w:val="22"/>
        </w:rPr>
        <w:t>3</w:t>
      </w:r>
      <w:r>
        <w:rPr>
          <w:rFonts w:hint="eastAsia"/>
          <w:szCs w:val="22"/>
        </w:rPr>
        <w:t>）</w:t>
      </w:r>
      <w:r>
        <w:rPr>
          <w:szCs w:val="22"/>
        </w:rPr>
        <w:t>直读水位表功能是否正常。</w:t>
      </w:r>
    </w:p>
    <w:p>
      <w:pPr>
        <w:keepNext w:val="0"/>
        <w:keepLines w:val="0"/>
        <w:pageBreakBefore w:val="0"/>
        <w:widowControl w:val="0"/>
        <w:numPr>
          <w:ilvl w:val="255"/>
          <w:numId w:val="0"/>
        </w:numPr>
        <w:kinsoku/>
        <w:wordWrap/>
        <w:overflowPunct/>
        <w:topLinePunct w:val="0"/>
        <w:autoSpaceDE/>
        <w:autoSpaceDN/>
        <w:bidi w:val="0"/>
        <w:spacing w:line="600" w:lineRule="exact"/>
        <w:ind w:left="0" w:leftChars="0" w:firstLine="632"/>
        <w:textAlignment w:val="auto"/>
        <w:rPr>
          <w:rFonts w:eastAsia="方正楷体_GBK"/>
          <w:szCs w:val="32"/>
        </w:rPr>
      </w:pPr>
      <w:r>
        <w:rPr>
          <w:rFonts w:eastAsia="方正楷体_GBK"/>
          <w:szCs w:val="32"/>
        </w:rPr>
        <w:t>（二）工业锅炉排查整治</w:t>
      </w:r>
      <w:r>
        <w:rPr>
          <w:rFonts w:hint="eastAsia"/>
          <w:szCs w:val="32"/>
        </w:rPr>
        <w:t>“</w:t>
      </w:r>
      <w:r>
        <w:rPr>
          <w:rFonts w:eastAsia="方正楷体_GBK"/>
          <w:szCs w:val="32"/>
        </w:rPr>
        <w:t>回头看</w:t>
      </w:r>
      <w:r>
        <w:rPr>
          <w:rFonts w:hint="eastAsia"/>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32"/>
        </w:rPr>
        <w:t>1</w:t>
      </w:r>
      <w:r>
        <w:rPr>
          <w:rFonts w:hint="eastAsia"/>
          <w:szCs w:val="32"/>
        </w:rPr>
        <w:t>.</w:t>
      </w:r>
      <w:r>
        <w:rPr>
          <w:szCs w:val="22"/>
        </w:rPr>
        <w:t>安全附件隐患排查整治。对工业锅炉范围内的安全阀、压力表、温度表、水位表及相关安全保护装置等安全附件排查整治进行</w:t>
      </w:r>
      <w:r>
        <w:rPr>
          <w:rFonts w:hint="eastAsia"/>
          <w:szCs w:val="22"/>
        </w:rPr>
        <w:t>“</w:t>
      </w:r>
      <w:r>
        <w:rPr>
          <w:szCs w:val="22"/>
        </w:rPr>
        <w:t>回头看</w:t>
      </w:r>
      <w:r>
        <w:rPr>
          <w:rFonts w:hint="eastAsia"/>
          <w:szCs w:val="22"/>
        </w:rPr>
        <w:t>”，</w:t>
      </w:r>
      <w:r>
        <w:rPr>
          <w:szCs w:val="22"/>
        </w:rPr>
        <w:t>重点检查：</w:t>
      </w:r>
      <w:r>
        <w:rPr>
          <w:rFonts w:hint="eastAsia"/>
          <w:szCs w:val="22"/>
        </w:rPr>
        <w:t>（</w:t>
      </w:r>
      <w:r>
        <w:rPr>
          <w:szCs w:val="22"/>
        </w:rPr>
        <w:t>1</w:t>
      </w:r>
      <w:r>
        <w:rPr>
          <w:rFonts w:hint="eastAsia"/>
          <w:szCs w:val="22"/>
        </w:rPr>
        <w:t>）</w:t>
      </w:r>
      <w:r>
        <w:rPr>
          <w:szCs w:val="22"/>
        </w:rPr>
        <w:t>2020年排查整治中发现</w:t>
      </w:r>
      <w:r>
        <w:rPr>
          <w:rFonts w:hint="eastAsia"/>
          <w:szCs w:val="22"/>
        </w:rPr>
        <w:t>问题</w:t>
      </w:r>
      <w:r>
        <w:rPr>
          <w:szCs w:val="22"/>
        </w:rPr>
        <w:t>的</w:t>
      </w:r>
      <w:r>
        <w:rPr>
          <w:rFonts w:hint="eastAsia"/>
          <w:szCs w:val="22"/>
        </w:rPr>
        <w:t>整改情况；（</w:t>
      </w:r>
      <w:r>
        <w:rPr>
          <w:szCs w:val="22"/>
        </w:rPr>
        <w:t>2</w:t>
      </w:r>
      <w:r>
        <w:rPr>
          <w:rFonts w:hint="eastAsia"/>
          <w:szCs w:val="22"/>
        </w:rPr>
        <w:t>）</w:t>
      </w:r>
      <w:r>
        <w:rPr>
          <w:szCs w:val="22"/>
        </w:rPr>
        <w:t>压力表、安全阀、温度仪表校验报告或证书是否有效；</w:t>
      </w:r>
      <w:r>
        <w:rPr>
          <w:rFonts w:hint="eastAsia"/>
          <w:szCs w:val="22"/>
        </w:rPr>
        <w:t>（</w:t>
      </w:r>
      <w:r>
        <w:rPr>
          <w:szCs w:val="22"/>
        </w:rPr>
        <w:t>3</w:t>
      </w:r>
      <w:r>
        <w:rPr>
          <w:rFonts w:hint="eastAsia"/>
          <w:szCs w:val="22"/>
        </w:rPr>
        <w:t>）</w:t>
      </w:r>
      <w:r>
        <w:rPr>
          <w:szCs w:val="22"/>
        </w:rPr>
        <w:t>安全阀整定压力是否按最高允许工作压力整定，手动排汽是否正常；</w:t>
      </w:r>
      <w:r>
        <w:rPr>
          <w:rFonts w:hint="eastAsia"/>
          <w:szCs w:val="22"/>
        </w:rPr>
        <w:t>（</w:t>
      </w:r>
      <w:r>
        <w:rPr>
          <w:szCs w:val="22"/>
        </w:rPr>
        <w:t>4</w:t>
      </w:r>
      <w:r>
        <w:rPr>
          <w:rFonts w:hint="eastAsia"/>
          <w:szCs w:val="22"/>
        </w:rPr>
        <w:t>）</w:t>
      </w:r>
      <w:r>
        <w:rPr>
          <w:szCs w:val="22"/>
        </w:rPr>
        <w:t>直读水位表功能是否正常。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22"/>
        </w:rPr>
        <w:t>2</w:t>
      </w:r>
      <w:r>
        <w:rPr>
          <w:rFonts w:hint="eastAsia"/>
          <w:szCs w:val="22"/>
        </w:rPr>
        <w:t>.</w:t>
      </w:r>
      <w:r>
        <w:rPr>
          <w:szCs w:val="22"/>
        </w:rPr>
        <w:t>锅炉房隐患排查整治。对锅炉房配置、安全通道、出入门等隐患整治进行</w:t>
      </w:r>
      <w:r>
        <w:rPr>
          <w:rFonts w:hint="eastAsia"/>
          <w:szCs w:val="22"/>
        </w:rPr>
        <w:t>“</w:t>
      </w:r>
      <w:r>
        <w:rPr>
          <w:szCs w:val="22"/>
        </w:rPr>
        <w:t>回头看</w:t>
      </w:r>
      <w:r>
        <w:rPr>
          <w:rFonts w:hint="eastAsia"/>
          <w:szCs w:val="22"/>
        </w:rPr>
        <w:t>”，</w:t>
      </w:r>
      <w:r>
        <w:rPr>
          <w:szCs w:val="22"/>
        </w:rPr>
        <w:t>重点检查：</w:t>
      </w:r>
      <w:r>
        <w:rPr>
          <w:rFonts w:hint="eastAsia"/>
          <w:szCs w:val="22"/>
        </w:rPr>
        <w:t>（</w:t>
      </w:r>
      <w:r>
        <w:rPr>
          <w:szCs w:val="22"/>
        </w:rPr>
        <w:t>1</w:t>
      </w:r>
      <w:r>
        <w:rPr>
          <w:rFonts w:hint="eastAsia"/>
          <w:szCs w:val="22"/>
        </w:rPr>
        <w:t>）</w:t>
      </w:r>
      <w:r>
        <w:rPr>
          <w:szCs w:val="22"/>
        </w:rPr>
        <w:t>2020年排查整治中发现</w:t>
      </w:r>
      <w:r>
        <w:rPr>
          <w:rFonts w:hint="eastAsia"/>
          <w:szCs w:val="22"/>
        </w:rPr>
        <w:t>问题</w:t>
      </w:r>
      <w:r>
        <w:rPr>
          <w:szCs w:val="22"/>
        </w:rPr>
        <w:t>的</w:t>
      </w:r>
      <w:r>
        <w:rPr>
          <w:rFonts w:hint="eastAsia"/>
          <w:szCs w:val="22"/>
        </w:rPr>
        <w:t>整改情况；（2）</w:t>
      </w:r>
      <w:r>
        <w:rPr>
          <w:szCs w:val="22"/>
        </w:rPr>
        <w:t>锅炉房外墙应有相应的防爆措施，泄压面积不低于锅炉间占地面积的10%；</w:t>
      </w:r>
      <w:r>
        <w:rPr>
          <w:rFonts w:hint="eastAsia"/>
          <w:szCs w:val="22"/>
        </w:rPr>
        <w:t>（</w:t>
      </w:r>
      <w:r>
        <w:rPr>
          <w:szCs w:val="22"/>
        </w:rPr>
        <w:t>3</w:t>
      </w:r>
      <w:r>
        <w:rPr>
          <w:rFonts w:hint="eastAsia"/>
          <w:szCs w:val="22"/>
        </w:rPr>
        <w:t>）</w:t>
      </w:r>
      <w:r>
        <w:rPr>
          <w:szCs w:val="22"/>
        </w:rPr>
        <w:t>锅炉房逃生门是否向外开启</w:t>
      </w:r>
      <w:r>
        <w:rPr>
          <w:rFonts w:hint="eastAsia"/>
          <w:szCs w:val="22"/>
        </w:rPr>
        <w:t>；（</w:t>
      </w:r>
      <w:r>
        <w:rPr>
          <w:szCs w:val="22"/>
        </w:rPr>
        <w:t>4</w:t>
      </w:r>
      <w:r>
        <w:rPr>
          <w:rFonts w:hint="eastAsia"/>
          <w:szCs w:val="22"/>
        </w:rPr>
        <w:t>）</w:t>
      </w:r>
      <w:r>
        <w:rPr>
          <w:szCs w:val="22"/>
        </w:rPr>
        <w:t>安置在多层或者高层建筑物内的燃气锅炉是否设置燃气检漏报警装置。</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三、</w:t>
      </w:r>
      <w:r>
        <w:rPr>
          <w:rFonts w:hint="eastAsia" w:eastAsia="方正黑体_GBK"/>
          <w:szCs w:val="32"/>
        </w:rPr>
        <w:t>工作</w:t>
      </w:r>
      <w:r>
        <w:rPr>
          <w:rFonts w:eastAsia="方正黑体_GBK"/>
          <w:szCs w:val="32"/>
        </w:rPr>
        <w:t>进度安排</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32"/>
        </w:rPr>
      </w:pPr>
      <w:r>
        <w:rPr>
          <w:rFonts w:hint="eastAsia" w:cs="方正仿宋_GBK"/>
          <w:szCs w:val="32"/>
        </w:rPr>
        <w:t>从即日起至2021年11月上旬</w:t>
      </w:r>
      <w:r>
        <w:rPr>
          <w:szCs w:val="32"/>
        </w:rPr>
        <w:t>，分四阶段进行。</w:t>
      </w:r>
    </w:p>
    <w:p>
      <w:pPr>
        <w:keepNext w:val="0"/>
        <w:keepLines w:val="0"/>
        <w:pageBreakBefore w:val="0"/>
        <w:widowControl w:val="0"/>
        <w:numPr>
          <w:ilvl w:val="255"/>
          <w:numId w:val="0"/>
        </w:numPr>
        <w:kinsoku/>
        <w:wordWrap/>
        <w:overflowPunct/>
        <w:topLinePunct w:val="0"/>
        <w:autoSpaceDE/>
        <w:autoSpaceDN/>
        <w:bidi w:val="0"/>
        <w:spacing w:line="600" w:lineRule="exact"/>
        <w:ind w:left="0" w:leftChars="0" w:firstLine="654" w:firstLineChars="200"/>
        <w:textAlignment w:val="auto"/>
        <w:rPr>
          <w:szCs w:val="32"/>
        </w:rPr>
      </w:pPr>
      <w:r>
        <w:rPr>
          <w:rFonts w:eastAsia="方正楷体_GBK"/>
          <w:szCs w:val="32"/>
        </w:rPr>
        <w:t>（一）组织部署（4月</w:t>
      </w:r>
      <w:r>
        <w:rPr>
          <w:rFonts w:hint="eastAsia" w:eastAsia="方正楷体_GBK"/>
          <w:szCs w:val="32"/>
        </w:rPr>
        <w:t>底</w:t>
      </w:r>
      <w:r>
        <w:rPr>
          <w:rFonts w:eastAsia="方正楷体_GBK"/>
          <w:szCs w:val="32"/>
        </w:rPr>
        <w:t>至</w:t>
      </w:r>
      <w:r>
        <w:rPr>
          <w:rFonts w:hint="eastAsia" w:eastAsia="方正楷体_GBK"/>
          <w:szCs w:val="32"/>
        </w:rPr>
        <w:t>5</w:t>
      </w:r>
      <w:r>
        <w:rPr>
          <w:rFonts w:eastAsia="方正楷体_GBK"/>
          <w:szCs w:val="32"/>
        </w:rPr>
        <w:t>月</w:t>
      </w:r>
      <w:r>
        <w:rPr>
          <w:rFonts w:hint="eastAsia" w:eastAsia="方正楷体_GBK"/>
          <w:szCs w:val="32"/>
        </w:rPr>
        <w:t>上旬</w:t>
      </w:r>
      <w:r>
        <w:rPr>
          <w:rFonts w:eastAsia="方正楷体_GBK"/>
          <w:szCs w:val="32"/>
        </w:rPr>
        <w:t>）。</w:t>
      </w:r>
      <w:r>
        <w:rPr>
          <w:szCs w:val="32"/>
        </w:rPr>
        <w:t>根据市局</w:t>
      </w:r>
      <w:r>
        <w:rPr>
          <w:rFonts w:hint="eastAsia"/>
          <w:szCs w:val="32"/>
        </w:rPr>
        <w:t>2021年锅炉事故隐患排查整治“回头看”</w:t>
      </w:r>
      <w:r>
        <w:rPr>
          <w:szCs w:val="32"/>
        </w:rPr>
        <w:t>工作要求，</w:t>
      </w:r>
      <w:r>
        <w:rPr>
          <w:rFonts w:hint="eastAsia" w:hAnsi="Calibri" w:cs="方正仿宋_GBK"/>
          <w:szCs w:val="32"/>
        </w:rPr>
        <w:t>认真开展动员部署，结合实际制定《万州区开展2021年锅炉事故隐患排查整治“回头看”实施方案》</w:t>
      </w:r>
      <w:r>
        <w:rPr>
          <w:szCs w:val="32"/>
        </w:rPr>
        <w:t>，明确工作职责、细化任务措施，及时将有关要求传达到辖区各相关企业。</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firstLine="654" w:firstLineChars="200"/>
        <w:textAlignment w:val="auto"/>
        <w:rPr>
          <w:rFonts w:ascii="方正仿宋_GBK" w:hAnsi="方正仿宋_GBK" w:cs="方正仿宋_GBK"/>
          <w:szCs w:val="32"/>
        </w:rPr>
      </w:pPr>
      <w:r>
        <w:rPr>
          <w:rFonts w:eastAsia="方正楷体_GBK"/>
          <w:szCs w:val="32"/>
        </w:rPr>
        <w:t>企业自查（2021年5月上旬至7月上旬）。</w:t>
      </w:r>
      <w:r>
        <w:rPr>
          <w:rFonts w:hint="eastAsia" w:ascii="方正仿宋_GBK" w:hAnsi="方正仿宋_GBK" w:cs="方正仿宋_GBK"/>
          <w:szCs w:val="32"/>
        </w:rPr>
        <w:t>各锅炉企业按照大排查大整治的工作要求，对照“回头看”实施方案明确的整治任务全面开展自查自纠，在核查2020年排查整治以来发现事故隐患问题是否整改到位的基础上，深入进行隐患排查，针对未整改到位和新排查出的问题，要建立隐患台账，制定整改措施，落实整改责任，逐一落实整改，确保事故隐患闭环管理。自查中发现重大事故隐患，要及时报告区市场监管局，须停止使用的必须立即停止。各锅炉企业在自查自纠中要做好痕迹保存，完善相关记录，确保工作开展有迹可查。各锅炉企业应于7月20日前将自查表纸质件加盖公章后报送至各镇乡街道辖区所属市场监管所，由特监科检查的企业将自查表直接报送至特监科。</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ascii="方正仿宋_GBK" w:hAnsi="方正仿宋_GBK" w:eastAsia="方正仿宋_GBK" w:cs="方正仿宋_GBK"/>
          <w:szCs w:val="32"/>
        </w:rPr>
      </w:pPr>
      <w:r>
        <w:rPr>
          <w:rFonts w:hint="eastAsia" w:ascii="方正楷体_GBK" w:hAnsi="方正楷体_GBK" w:eastAsia="方正楷体_GBK" w:cs="方正楷体_GBK"/>
          <w:szCs w:val="32"/>
        </w:rPr>
        <w:t>（三）抽查检查（2021年6月下旬至10月底）。</w:t>
      </w:r>
      <w:r>
        <w:rPr>
          <w:rFonts w:hint="eastAsia" w:ascii="方正仿宋_GBK" w:hAnsi="方正仿宋_GBK" w:eastAsia="方正仿宋_GBK" w:cs="方正仿宋_GBK"/>
          <w:szCs w:val="32"/>
        </w:rPr>
        <w:t>各市场监管所、特监科要按照《万州区2021年锅炉相关企业特种设备专项监督抽查计划表》（附件3），对照工作要求落实好专项监督抽查任务，并于10月20日前将检查表纸质件上报特监科。对企业未按时完成隐患整改的，必须依法进行严肃处理，该立案查处的必须进行立案查处。对发现严重事故隐患，要立即责令停止使用，待消除隐患后方可继续使用，必要时上报区政府进行挂牌督办。特别是在6月下旬至7月上旬重点攻坚阶段，</w:t>
      </w:r>
      <w:r>
        <w:rPr>
          <w:rFonts w:hint="eastAsia" w:ascii="方正仿宋_GBK" w:hAnsi="方正仿宋_GBK" w:eastAsia="方正仿宋_GBK" w:cs="方正仿宋_GBK"/>
          <w:szCs w:val="32"/>
          <w:lang w:eastAsia="zh-CN"/>
        </w:rPr>
        <w:t>各科、所、队</w:t>
      </w:r>
      <w:r>
        <w:rPr>
          <w:rFonts w:hint="eastAsia" w:ascii="方正仿宋_GBK" w:hAnsi="方正仿宋_GBK" w:eastAsia="方正仿宋_GBK" w:cs="方正仿宋_GBK"/>
          <w:szCs w:val="32"/>
        </w:rPr>
        <w:t>要强化领导带队，增强监管力量，加大抽查频次，严防死守确保建党100周年特种设备安全。</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hint="eastAsia" w:ascii="方正仿宋_GBK" w:hAnsi="方正仿宋_GBK" w:eastAsia="方正仿宋_GBK" w:cs="方正仿宋_GBK"/>
          <w:szCs w:val="32"/>
        </w:rPr>
      </w:pPr>
      <w:r>
        <w:rPr>
          <w:rFonts w:hint="eastAsia" w:ascii="Times New Roman" w:eastAsia="方正楷体_GBK"/>
          <w:szCs w:val="32"/>
        </w:rPr>
        <w:t>（四）</w:t>
      </w:r>
      <w:r>
        <w:rPr>
          <w:rFonts w:ascii="Times New Roman" w:eastAsia="方正楷体_GBK"/>
          <w:szCs w:val="32"/>
        </w:rPr>
        <w:t>梳理总结（2021年11月上旬）。</w:t>
      </w:r>
      <w:r>
        <w:rPr>
          <w:rFonts w:hint="eastAsia" w:ascii="方正仿宋_GBK" w:hAnsi="方正仿宋_GBK" w:eastAsia="方正仿宋_GBK" w:cs="方正仿宋_GBK"/>
          <w:szCs w:val="32"/>
        </w:rPr>
        <w:t>各市场监管所、特监科要按照要求认真梳理本次“回头看”整治工作，总结经验成果，提炼好的经验做法。特监科要及时汇总，形成专项整治书面工作总结，连同《锅炉事故隐患专项排查“回头看”统计表》（附件1）</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于2021年10月31日前上报市局。</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四、有关工作要求</w:t>
      </w:r>
    </w:p>
    <w:p>
      <w:pPr>
        <w:pStyle w:val="6"/>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eastAsia="方正仿宋_GBK"/>
          <w:szCs w:val="32"/>
        </w:rPr>
      </w:pPr>
      <w:r>
        <w:rPr>
          <w:rFonts w:ascii="Times New Roman" w:eastAsia="方正楷体_GBK"/>
          <w:szCs w:val="32"/>
        </w:rPr>
        <w:t>（一）统一思想认识。</w:t>
      </w:r>
      <w:r>
        <w:rPr>
          <w:rFonts w:ascii="Times New Roman" w:eastAsia="方正仿宋_GBK"/>
          <w:szCs w:val="32"/>
        </w:rPr>
        <w:t>2021年是中国共产党成立100周年，营造良好的特种设备安全环境，具有十分重大的意义。锅炉领域历来风险高、危险性大，一旦发生事故，影响重大、后果严重，</w:t>
      </w:r>
      <w:r>
        <w:rPr>
          <w:rFonts w:hint="eastAsia" w:ascii="Times New Roman" w:eastAsia="方正仿宋_GBK"/>
          <w:szCs w:val="32"/>
        </w:rPr>
        <w:t>各单位</w:t>
      </w:r>
      <w:r>
        <w:rPr>
          <w:rFonts w:ascii="Times New Roman" w:eastAsia="方正仿宋_GBK"/>
          <w:szCs w:val="32"/>
        </w:rPr>
        <w:t>要切实提高政治站位，切实抓好本次</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整治工作，及时消除锅炉领域各类事故隐患，以高度的责任感和使命感，严守特种设备安全底线，以优异的成绩为共产党100周年献礼。</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ascii="Times New Roman" w:eastAsia="方正仿宋_GBK"/>
          <w:szCs w:val="32"/>
        </w:rPr>
      </w:pPr>
      <w:r>
        <w:rPr>
          <w:rFonts w:ascii="Times New Roman" w:eastAsia="方正楷体_GBK"/>
          <w:szCs w:val="32"/>
        </w:rPr>
        <w:t>（二）加强协同配合。</w:t>
      </w:r>
      <w:r>
        <w:rPr>
          <w:rFonts w:hint="eastAsia" w:ascii="Times New Roman" w:eastAsia="方正仿宋_GBK"/>
          <w:szCs w:val="32"/>
        </w:rPr>
        <w:t>特监科</w:t>
      </w:r>
      <w:r>
        <w:rPr>
          <w:rFonts w:ascii="Times New Roman" w:eastAsia="方正仿宋_GBK"/>
          <w:szCs w:val="32"/>
        </w:rPr>
        <w:t>要与技术机构紧密联系，强化信息资源共享，及时掌握设备检验情况</w:t>
      </w:r>
      <w:r>
        <w:rPr>
          <w:rFonts w:hint="eastAsia" w:ascii="Times New Roman" w:eastAsia="方正仿宋_GBK"/>
          <w:szCs w:val="32"/>
        </w:rPr>
        <w:t>，</w:t>
      </w:r>
      <w:r>
        <w:rPr>
          <w:rFonts w:ascii="Times New Roman" w:eastAsia="方正仿宋_GBK"/>
          <w:szCs w:val="32"/>
        </w:rPr>
        <w:t>同时要加强与技术机构协作，协调解决排查整治中遇到技术问题。技术机构要发挥技术支撑作用，及时开展监督检验，对检验中发现的重大事故隐患问题，要及时通报</w:t>
      </w:r>
      <w:r>
        <w:rPr>
          <w:rFonts w:hint="eastAsia" w:ascii="Times New Roman" w:eastAsia="方正仿宋_GBK"/>
          <w:szCs w:val="32"/>
        </w:rPr>
        <w:t>区</w:t>
      </w:r>
      <w:r>
        <w:rPr>
          <w:rFonts w:ascii="Times New Roman" w:eastAsia="方正仿宋_GBK"/>
          <w:szCs w:val="32"/>
        </w:rPr>
        <w:t>市场监管局，同时要积极组织技术力量支持排查整治</w:t>
      </w:r>
      <w:r>
        <w:rPr>
          <w:rFonts w:hint="eastAsia" w:ascii="Times New Roman" w:eastAsia="方正仿宋_GBK"/>
          <w:szCs w:val="32"/>
        </w:rPr>
        <w:t>。</w:t>
      </w:r>
    </w:p>
    <w:p>
      <w:pPr>
        <w:pStyle w:val="3"/>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pPr>
      <w:r>
        <w:rPr>
          <w:rFonts w:eastAsia="方正楷体_GBK"/>
          <w:szCs w:val="32"/>
        </w:rPr>
        <w:t>（三）营造良好氛围</w:t>
      </w:r>
      <w:r>
        <w:rPr>
          <w:szCs w:val="32"/>
        </w:rPr>
        <w:t>。</w:t>
      </w:r>
      <w:r>
        <w:rPr>
          <w:rFonts w:hint="eastAsia"/>
          <w:szCs w:val="32"/>
        </w:rPr>
        <w:t>各市场监管所、特监科、执法支队</w:t>
      </w:r>
      <w:r>
        <w:rPr>
          <w:szCs w:val="32"/>
        </w:rPr>
        <w:t>要通过媒体、宣传栏、宣传单等形式，加强锅炉安全整治工作宣传，积极开展事故警示教育宣传，不断增强社会公众的认知度和治理意识。遇有重大安全问题、重大舆情、重大突发事件等情况，</w:t>
      </w:r>
      <w:r>
        <w:rPr>
          <w:rFonts w:hint="eastAsia" w:cs="方正仿宋_GBK"/>
          <w:szCs w:val="32"/>
        </w:rPr>
        <w:t>要在第一时间处置的同时向区局报告，区局再根据实际情况向市局和区委、区政府报告。</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54" w:firstLineChars="200"/>
        <w:jc w:val="both"/>
        <w:textAlignment w:val="auto"/>
        <w:rPr>
          <w:rFonts w:ascii="方正仿宋_GBK" w:hAnsi="方正仿宋_GBK" w:cs="方正仿宋_GBK"/>
          <w:sz w:val="32"/>
          <w:szCs w:val="32"/>
        </w:rPr>
      </w:pPr>
      <w:r>
        <w:rPr>
          <w:rFonts w:hint="eastAsia" w:ascii="方正仿宋_GBK" w:hAnsi="方正仿宋_GBK" w:cs="方正仿宋_GBK"/>
          <w:sz w:val="32"/>
          <w:szCs w:val="32"/>
        </w:rPr>
        <w:t>联系人：雷敏，联系电话：58560321</w:t>
      </w:r>
    </w:p>
    <w:p>
      <w:pPr>
        <w:pStyle w:val="6"/>
        <w:keepNext w:val="0"/>
        <w:keepLines w:val="0"/>
        <w:pageBreakBefore w:val="0"/>
        <w:widowControl w:val="0"/>
        <w:kinsoku/>
        <w:wordWrap/>
        <w:overflowPunct/>
        <w:topLinePunct w:val="0"/>
        <w:autoSpaceDE/>
        <w:autoSpaceDN/>
        <w:bidi w:val="0"/>
        <w:spacing w:line="600" w:lineRule="exact"/>
        <w:ind w:left="1438" w:leftChars="0" w:hanging="1438" w:hangingChars="440"/>
        <w:textAlignment w:val="auto"/>
        <w:rPr>
          <w:rFonts w:ascii="Times New Roman" w:eastAsia="方正仿宋_GBK"/>
          <w:szCs w:val="32"/>
        </w:rPr>
      </w:pPr>
    </w:p>
    <w:p>
      <w:pPr>
        <w:pStyle w:val="6"/>
        <w:keepNext w:val="0"/>
        <w:keepLines w:val="0"/>
        <w:pageBreakBefore w:val="0"/>
        <w:widowControl w:val="0"/>
        <w:kinsoku/>
        <w:wordWrap/>
        <w:overflowPunct/>
        <w:topLinePunct w:val="0"/>
        <w:autoSpaceDE/>
        <w:autoSpaceDN/>
        <w:bidi w:val="0"/>
        <w:spacing w:line="600" w:lineRule="exact"/>
        <w:ind w:left="1467" w:leftChars="209" w:hanging="784" w:hangingChars="240"/>
        <w:textAlignment w:val="auto"/>
        <w:rPr>
          <w:rFonts w:ascii="Times New Roman" w:eastAsia="方正仿宋_GBK"/>
          <w:szCs w:val="32"/>
        </w:rPr>
      </w:pPr>
      <w:r>
        <w:rPr>
          <w:rFonts w:ascii="Times New Roman" w:eastAsia="方正仿宋_GBK"/>
          <w:szCs w:val="32"/>
        </w:rPr>
        <w:t>附件：1</w:t>
      </w:r>
      <w:r>
        <w:rPr>
          <w:rFonts w:hint="eastAsia" w:ascii="Times New Roman" w:eastAsia="方正仿宋_GBK"/>
          <w:szCs w:val="32"/>
        </w:rPr>
        <w:t>.</w:t>
      </w:r>
      <w:r>
        <w:rPr>
          <w:rFonts w:ascii="Times New Roman" w:eastAsia="方正仿宋_GBK"/>
          <w:szCs w:val="32"/>
        </w:rPr>
        <w:t>锅炉事故隐患专项排查</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统计表</w:t>
      </w:r>
    </w:p>
    <w:p>
      <w:pPr>
        <w:pStyle w:val="6"/>
        <w:keepNext w:val="0"/>
        <w:keepLines w:val="0"/>
        <w:pageBreakBefore w:val="0"/>
        <w:widowControl w:val="0"/>
        <w:kinsoku/>
        <w:wordWrap/>
        <w:overflowPunct/>
        <w:topLinePunct w:val="0"/>
        <w:autoSpaceDE/>
        <w:autoSpaceDN/>
        <w:bidi w:val="0"/>
        <w:spacing w:line="600" w:lineRule="exact"/>
        <w:ind w:left="994" w:leftChars="304" w:firstLine="654" w:firstLineChars="200"/>
        <w:textAlignment w:val="auto"/>
        <w:rPr>
          <w:rFonts w:ascii="Times New Roman" w:eastAsia="方正仿宋_GBK"/>
          <w:szCs w:val="32"/>
        </w:rPr>
      </w:pPr>
      <w:r>
        <w:rPr>
          <w:rFonts w:hint="eastAsia" w:ascii="Times New Roman" w:eastAsia="方正仿宋_GBK"/>
          <w:szCs w:val="32"/>
        </w:rPr>
        <w:t>2.</w:t>
      </w:r>
      <w:r>
        <w:rPr>
          <w:rFonts w:ascii="Times New Roman" w:eastAsia="方正仿宋_GBK"/>
          <w:szCs w:val="32"/>
        </w:rPr>
        <w:t>锅炉事故隐患专项排查</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自查</w:t>
      </w:r>
      <w:r>
        <w:rPr>
          <w:rFonts w:hint="eastAsia" w:ascii="Times New Roman" w:eastAsia="方正仿宋_GBK"/>
          <w:szCs w:val="32"/>
        </w:rPr>
        <w:t>）</w:t>
      </w:r>
      <w:r>
        <w:rPr>
          <w:rFonts w:ascii="Times New Roman" w:eastAsia="方正仿宋_GBK"/>
          <w:szCs w:val="32"/>
        </w:rPr>
        <w:t>检</w:t>
      </w:r>
      <w:r>
        <w:rPr>
          <w:rFonts w:hint="eastAsia" w:ascii="Times New Roman" w:eastAsia="方正仿宋_GBK"/>
          <w:szCs w:val="32"/>
        </w:rPr>
        <w:t>查</w:t>
      </w:r>
      <w:r>
        <w:rPr>
          <w:rFonts w:ascii="Times New Roman" w:eastAsia="方正仿宋_GBK"/>
          <w:szCs w:val="32"/>
        </w:rPr>
        <w:t>表</w:t>
      </w:r>
    </w:p>
    <w:p>
      <w:pPr>
        <w:pStyle w:val="6"/>
        <w:keepNext w:val="0"/>
        <w:keepLines w:val="0"/>
        <w:pageBreakBefore w:val="0"/>
        <w:widowControl w:val="0"/>
        <w:kinsoku/>
        <w:wordWrap/>
        <w:overflowPunct/>
        <w:topLinePunct w:val="0"/>
        <w:autoSpaceDE/>
        <w:autoSpaceDN/>
        <w:bidi w:val="0"/>
        <w:spacing w:line="600" w:lineRule="exact"/>
        <w:ind w:left="1965" w:leftChars="501" w:hanging="327" w:hangingChars="100"/>
        <w:textAlignment w:val="auto"/>
        <w:rPr>
          <w:rFonts w:ascii="Times New Roman" w:eastAsia="方正仿宋_GBK"/>
          <w:szCs w:val="32"/>
        </w:rPr>
      </w:pPr>
      <w:r>
        <w:rPr>
          <w:rFonts w:hint="eastAsia" w:ascii="Times New Roman" w:eastAsia="方正仿宋_GBK"/>
          <w:szCs w:val="32"/>
        </w:rPr>
        <w:t>3.</w:t>
      </w:r>
      <w:r>
        <w:rPr>
          <w:rFonts w:hint="eastAsia" w:ascii="方正仿宋_GBK" w:hAnsi="方正仿宋_GBK" w:eastAsia="方正仿宋_GBK" w:cs="方正仿宋_GBK"/>
          <w:szCs w:val="32"/>
        </w:rPr>
        <w:t>万州区2021年锅炉相关企业特种设备专项监督抽查计划表</w:t>
      </w:r>
    </w:p>
    <w:p>
      <w:pPr>
        <w:pStyle w:val="2"/>
      </w:pPr>
    </w:p>
    <w:p>
      <w:pPr>
        <w:pStyle w:val="3"/>
        <w:ind w:left="0" w:leftChars="0" w:firstLine="0" w:firstLineChars="0"/>
      </w:pPr>
    </w:p>
    <w:p>
      <w:pPr>
        <w:pStyle w:val="3"/>
        <w:ind w:left="0"/>
      </w:pPr>
    </w:p>
    <w:p/>
    <w:p>
      <w:pPr>
        <w:pStyle w:val="2"/>
      </w:pPr>
    </w:p>
    <w:p>
      <w:pPr>
        <w:pStyle w:val="3"/>
      </w:pPr>
    </w:p>
    <w:p/>
    <w:p>
      <w:pPr>
        <w:pStyle w:val="2"/>
      </w:pPr>
    </w:p>
    <w:p>
      <w:pPr>
        <w:pStyle w:val="3"/>
      </w:pPr>
    </w:p>
    <w:p/>
    <w:p>
      <w:pPr>
        <w:pStyle w:val="2"/>
      </w:pPr>
    </w:p>
    <w:p/>
    <w:p>
      <w:pPr>
        <w:rPr>
          <w:rFonts w:hint="eastAsia" w:ascii="方正黑体_GBK" w:hAnsi="方正黑体_GBK" w:eastAsia="方正黑体_GBK" w:cs="方正黑体_GBK"/>
          <w:szCs w:val="32"/>
        </w:rPr>
        <w:sectPr>
          <w:headerReference r:id="rId3" w:type="default"/>
          <w:footerReference r:id="rId4" w:type="default"/>
          <w:pgSz w:w="11906" w:h="16838"/>
          <w:pgMar w:top="1871" w:right="1474" w:bottom="1531" w:left="1587" w:header="851" w:footer="1474" w:gutter="0"/>
          <w:pgNumType w:fmt="decimal"/>
          <w:cols w:space="0" w:num="1"/>
          <w:rtlGutter w:val="0"/>
          <w:docGrid w:type="linesAndChars" w:linePitch="589" w:charSpace="1547"/>
        </w:sectPr>
      </w:pP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adjustRightInd w:val="0"/>
        <w:snapToGrid w:val="0"/>
        <w:spacing w:line="720" w:lineRule="atLeas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统计表</w:t>
      </w:r>
    </w:p>
    <w:p>
      <w:pPr>
        <w:spacing w:line="280" w:lineRule="exact"/>
        <w:ind w:firstLine="494" w:firstLineChars="200"/>
        <w:rPr>
          <w:sz w:val="24"/>
          <w:szCs w:val="24"/>
        </w:rPr>
      </w:pPr>
      <w:r>
        <w:rPr>
          <w:sz w:val="24"/>
          <w:szCs w:val="24"/>
        </w:rPr>
        <w:t>填报单位：</w:t>
      </w:r>
    </w:p>
    <w:tbl>
      <w:tblPr>
        <w:tblStyle w:val="10"/>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300"/>
        <w:gridCol w:w="123"/>
        <w:gridCol w:w="657"/>
        <w:gridCol w:w="529"/>
        <w:gridCol w:w="2131"/>
        <w:gridCol w:w="2083"/>
        <w:gridCol w:w="237"/>
        <w:gridCol w:w="104"/>
        <w:gridCol w:w="265"/>
        <w:gridCol w:w="1098"/>
        <w:gridCol w:w="300"/>
        <w:gridCol w:w="87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一、企业自查情况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244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开展自查自改单位及锅炉数量</w:t>
            </w:r>
          </w:p>
        </w:tc>
        <w:tc>
          <w:tcPr>
            <w:tcW w:w="5523"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企业数量</w:t>
            </w:r>
          </w:p>
        </w:tc>
        <w:tc>
          <w:tcPr>
            <w:tcW w:w="61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锅炉台数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建设单位</w:t>
            </w:r>
          </w:p>
        </w:tc>
        <w:tc>
          <w:tcPr>
            <w:tcW w:w="42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7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在建锅炉数量</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24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使用单位</w:t>
            </w:r>
          </w:p>
        </w:tc>
        <w:tc>
          <w:tcPr>
            <w:tcW w:w="42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7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在用锅炉数量</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发现事故隐患数量</w:t>
            </w:r>
          </w:p>
          <w:p>
            <w:pPr>
              <w:spacing w:line="240" w:lineRule="exact"/>
              <w:jc w:val="left"/>
              <w:rPr>
                <w:sz w:val="24"/>
                <w:szCs w:val="24"/>
              </w:rPr>
            </w:pPr>
            <w:r>
              <w:rPr>
                <w:sz w:val="24"/>
                <w:szCs w:val="24"/>
              </w:rPr>
              <w:t>统计</w:t>
            </w:r>
          </w:p>
        </w:tc>
        <w:tc>
          <w:tcPr>
            <w:tcW w:w="11709"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4"/>
                <w:szCs w:val="24"/>
              </w:rPr>
            </w:pPr>
            <w:r>
              <w:rPr>
                <w:sz w:val="24"/>
                <w:szCs w:val="24"/>
              </w:rPr>
              <w:t>隐患总数：起，其中严重事故隐患数量：起。隐患整改完成率%。</w:t>
            </w:r>
          </w:p>
          <w:p>
            <w:pPr>
              <w:spacing w:line="300" w:lineRule="exact"/>
              <w:jc w:val="left"/>
              <w:rPr>
                <w:sz w:val="24"/>
                <w:szCs w:val="24"/>
              </w:rPr>
            </w:pPr>
            <w:r>
              <w:rPr>
                <w:sz w:val="24"/>
                <w:szCs w:val="24"/>
              </w:rPr>
              <w:t>（其中电站锅炉隐患总数：起、严重事故隐患数量：起，隐患整改完成率%）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完成隐患治理</w:t>
            </w:r>
          </w:p>
        </w:tc>
        <w:tc>
          <w:tcPr>
            <w:tcW w:w="61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总数：起，其中电站锅炉：起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其中严重事故隐患：起，其中电站锅炉：起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尚未完成整改隐患</w:t>
            </w:r>
          </w:p>
        </w:tc>
        <w:tc>
          <w:tcPr>
            <w:tcW w:w="61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总数：起，其中电站锅炉：起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其中严重事故隐患：起，其中电站锅炉：起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二、监督抽查情况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开展现场监督检查</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人次，其中电站锅炉：人次</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检查建设单位</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检查使用单位</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检查锅炉数量</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发现事故隐患</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完成隐患治理</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下达监察指令书</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份，其中电站锅炉：份</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挂牌督办</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三、未完成整改的严重事故隐患情况统计（可附加页）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序号</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隐患种类</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隐患描述</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企业名称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未整改原因</w:t>
            </w: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采取的工作措施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1</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2</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3</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4</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5</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6</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方正仿宋_GBK"/>
                <w:sz w:val="24"/>
                <w:szCs w:val="24"/>
                <w:lang w:val="en-US" w:eastAsia="zh-CN"/>
              </w:rPr>
            </w:pPr>
            <w:r>
              <w:rPr>
                <w:rFonts w:hint="eastAsia"/>
                <w:sz w:val="24"/>
                <w:szCs w:val="24"/>
                <w:lang w:val="en-US" w:eastAsia="zh-CN"/>
              </w:rPr>
              <w:t>7</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sz w:val="24"/>
                <w:szCs w:val="24"/>
                <w:lang w:val="en-US" w:eastAsia="zh-CN"/>
              </w:rPr>
            </w:pPr>
            <w:r>
              <w:rPr>
                <w:rFonts w:hint="eastAsia"/>
                <w:sz w:val="24"/>
                <w:szCs w:val="24"/>
                <w:lang w:val="en-US" w:eastAsia="zh-CN"/>
              </w:rPr>
              <w:t>8</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sz w:val="24"/>
                <w:szCs w:val="24"/>
                <w:lang w:val="en-US" w:eastAsia="zh-CN"/>
              </w:rPr>
            </w:pP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bl>
    <w:p>
      <w:pPr>
        <w:spacing w:beforeLines="100" w:line="280" w:lineRule="exact"/>
        <w:ind w:firstLine="741" w:firstLineChars="300"/>
        <w:rPr>
          <w:sz w:val="24"/>
          <w:szCs w:val="24"/>
        </w:rPr>
      </w:pPr>
      <w:r>
        <w:rPr>
          <w:sz w:val="24"/>
          <w:szCs w:val="24"/>
        </w:rPr>
        <w:t>联系人：</w:t>
      </w:r>
      <w:r>
        <w:rPr>
          <w:rFonts w:hint="eastAsia"/>
          <w:sz w:val="24"/>
          <w:szCs w:val="24"/>
          <w:lang w:val="en-US" w:eastAsia="zh-CN"/>
        </w:rPr>
        <w:t xml:space="preserve">                                                        </w:t>
      </w:r>
      <w:r>
        <w:rPr>
          <w:sz w:val="24"/>
          <w:szCs w:val="24"/>
        </w:rPr>
        <w:t>联系电话：</w:t>
      </w:r>
    </w:p>
    <w:p>
      <w:pPr>
        <w:pStyle w:val="2"/>
        <w:rPr>
          <w:sz w:val="24"/>
          <w:szCs w:val="24"/>
        </w:rPr>
      </w:pPr>
    </w:p>
    <w:p>
      <w:pPr>
        <w:pStyle w:val="3"/>
        <w:ind w:left="0" w:leftChars="0" w:firstLine="0" w:firstLineChars="0"/>
        <w:rPr>
          <w:sz w:val="24"/>
          <w:szCs w:val="24"/>
        </w:rPr>
      </w:pPr>
    </w:p>
    <w:p>
      <w:pPr>
        <w:rPr>
          <w:sz w:val="24"/>
          <w:szCs w:val="24"/>
        </w:rPr>
      </w:pPr>
      <w:r>
        <w:rPr>
          <w:rFonts w:hint="eastAsia" w:ascii="方正黑体_GBK" w:hAnsi="方正黑体_GBK" w:eastAsia="方正黑体_GBK" w:cs="方正黑体_GBK"/>
          <w:szCs w:val="32"/>
        </w:rPr>
        <w:t>附件2</w:t>
      </w:r>
    </w:p>
    <w:p>
      <w:pPr>
        <w:adjustRightInd w:val="0"/>
        <w:snapToGrid w:val="0"/>
        <w:spacing w:line="660" w:lineRule="exac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自查</w:t>
      </w:r>
      <w:r>
        <w:rPr>
          <w:rFonts w:hint="eastAsia"/>
          <w:sz w:val="44"/>
          <w:szCs w:val="44"/>
        </w:rPr>
        <w:t>）</w:t>
      </w:r>
      <w:r>
        <w:rPr>
          <w:rFonts w:eastAsia="方正小标宋_GBK"/>
          <w:sz w:val="44"/>
          <w:szCs w:val="44"/>
        </w:rPr>
        <w:t>检查表</w:t>
      </w:r>
    </w:p>
    <w:p>
      <w:pPr>
        <w:spacing w:line="360" w:lineRule="exact"/>
        <w:jc w:val="center"/>
        <w:rPr>
          <w:rFonts w:eastAsia="方正楷体_GBK"/>
          <w:sz w:val="28"/>
          <w:szCs w:val="28"/>
        </w:rPr>
      </w:pPr>
      <w:r>
        <w:rPr>
          <w:rFonts w:eastAsia="方正楷体_GBK"/>
          <w:sz w:val="28"/>
          <w:szCs w:val="28"/>
        </w:rPr>
        <w:t>（电站锅炉）</w:t>
      </w:r>
    </w:p>
    <w:p>
      <w:pPr>
        <w:pStyle w:val="8"/>
        <w:spacing w:line="380" w:lineRule="exact"/>
        <w:rPr>
          <w:sz w:val="28"/>
          <w:szCs w:val="28"/>
        </w:rPr>
      </w:pPr>
      <w:r>
        <w:rPr>
          <w:sz w:val="28"/>
          <w:szCs w:val="28"/>
        </w:rPr>
        <w:t>单位（企业）名称（盖章）：</w:t>
      </w:r>
    </w:p>
    <w:tbl>
      <w:tblPr>
        <w:tblStyle w:val="10"/>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15"/>
        <w:gridCol w:w="857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blHeader/>
          <w:jc w:val="center"/>
        </w:trPr>
        <w:tc>
          <w:tcPr>
            <w:tcW w:w="493" w:type="dxa"/>
            <w:vAlign w:val="center"/>
          </w:tcPr>
          <w:p>
            <w:pPr>
              <w:spacing w:line="280" w:lineRule="exac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215"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w:t>
            </w:r>
          </w:p>
        </w:tc>
        <w:tc>
          <w:tcPr>
            <w:tcW w:w="8576"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检查内容及有关要求</w:t>
            </w:r>
          </w:p>
        </w:tc>
        <w:tc>
          <w:tcPr>
            <w:tcW w:w="4173"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检查自查描述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493"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1</w:t>
            </w:r>
          </w:p>
        </w:tc>
        <w:tc>
          <w:tcPr>
            <w:tcW w:w="1215" w:type="dxa"/>
            <w:vMerge w:val="restart"/>
            <w:vAlign w:val="center"/>
          </w:tcPr>
          <w:p>
            <w:pPr>
              <w:pStyle w:val="8"/>
              <w:spacing w:line="320" w:lineRule="exact"/>
              <w:rPr>
                <w:rFonts w:ascii="方正仿宋_GBK" w:hAnsi="方正仿宋_GBK" w:cs="方正仿宋_GBK"/>
                <w:spacing w:val="-20"/>
                <w:sz w:val="24"/>
                <w:szCs w:val="24"/>
              </w:rPr>
            </w:pPr>
            <w:r>
              <w:rPr>
                <w:rFonts w:hint="eastAsia" w:ascii="方正仿宋_GBK" w:hAnsi="方正仿宋_GBK" w:cs="方正仿宋_GBK"/>
                <w:spacing w:val="-20"/>
                <w:sz w:val="24"/>
                <w:szCs w:val="24"/>
              </w:rPr>
              <w:t>管道安全</w:t>
            </w:r>
          </w:p>
          <w:p>
            <w:pPr>
              <w:pStyle w:val="8"/>
              <w:spacing w:line="320" w:lineRule="exact"/>
              <w:rPr>
                <w:rFonts w:ascii="方正仿宋_GBK" w:hAnsi="方正仿宋_GBK" w:cs="方正仿宋_GBK"/>
                <w:sz w:val="24"/>
                <w:szCs w:val="24"/>
              </w:rPr>
            </w:pPr>
            <w:r>
              <w:rPr>
                <w:rFonts w:hint="eastAsia" w:ascii="方正仿宋_GBK" w:hAnsi="方正仿宋_GBK" w:cs="方正仿宋_GBK"/>
                <w:spacing w:val="-20"/>
                <w:sz w:val="24"/>
                <w:szCs w:val="24"/>
              </w:rPr>
              <w:t>管材质量</w:t>
            </w: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（1）是否按照市监特函〔2018〕515号和国市监特设〔2019〕37号有关要求，100%全部开展电站锅炉管道管材隐患专项排查。</w:t>
            </w:r>
          </w:p>
        </w:tc>
        <w:tc>
          <w:tcPr>
            <w:tcW w:w="4173" w:type="dxa"/>
          </w:tcPr>
          <w:p>
            <w:pPr>
              <w:spacing w:line="28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center"/>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（2）2018年开展管道管材安全排查整治以来，对遗留未销号的隐患问题，特别是电站锅炉流量计、主蒸汽母管存在事故隐患的整改落实情况，是否还存在检验到期而未开展检验的。</w:t>
            </w:r>
          </w:p>
        </w:tc>
        <w:tc>
          <w:tcPr>
            <w:tcW w:w="4173" w:type="dxa"/>
          </w:tcPr>
          <w:p>
            <w:pPr>
              <w:spacing w:line="28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（3）电站企业是否按照《锅规》建立定期巡回检查制度并做好记录。</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（4）是否制定管道泄漏、爆破应急措施和救援预案并组织开展救援演练。</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（5）运行超过10万小时未进行检验的主蒸汽母管，是否对焊接接头进行100%无损检测、金相检验及硬度检测。</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（6）对未实施制造监检的元件组合装置是否进行补充检验检测。</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7）电站企业是否按照有关规定要求，建立电站锅炉范围内管道及材料质量事故隐患排查长效机制，落实电站锅炉管道管材的设计制造、订货采购、入场验收、检验检测、安装调试等工作要求，完善锅炉范围内管道（尤其主蒸汽母管）、元件组合装置定期检验和制造监检台账。</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jc w:val="center"/>
        </w:trPr>
        <w:tc>
          <w:tcPr>
            <w:tcW w:w="493"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2</w:t>
            </w:r>
          </w:p>
        </w:tc>
        <w:tc>
          <w:tcPr>
            <w:tcW w:w="1215"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安全</w:t>
            </w:r>
          </w:p>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附件</w:t>
            </w: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（1）压力表、安全阀、温度仪表校验报告或证书是否有效。</w:t>
            </w:r>
          </w:p>
        </w:tc>
        <w:tc>
          <w:tcPr>
            <w:tcW w:w="4173" w:type="dxa"/>
          </w:tcPr>
          <w:p>
            <w:pPr>
              <w:spacing w:line="32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blHeader/>
          <w:jc w:val="center"/>
        </w:trPr>
        <w:tc>
          <w:tcPr>
            <w:tcW w:w="493" w:type="dxa"/>
            <w:vMerge w:val="continue"/>
            <w:vAlign w:val="center"/>
          </w:tcPr>
          <w:p>
            <w:pPr>
              <w:spacing w:line="320" w:lineRule="exact"/>
              <w:jc w:val="left"/>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（2）安全阀整定压力是否按最高允许工作压力整定。</w:t>
            </w:r>
          </w:p>
        </w:tc>
        <w:tc>
          <w:tcPr>
            <w:tcW w:w="4173" w:type="dxa"/>
          </w:tcPr>
          <w:p>
            <w:pPr>
              <w:spacing w:line="32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center"/>
              <w:rPr>
                <w:rFonts w:ascii="方正仿宋_GBK" w:hAnsi="方正仿宋_GBK" w:cs="方正仿宋_GBK"/>
                <w:sz w:val="24"/>
                <w:szCs w:val="24"/>
              </w:rPr>
            </w:pP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（3）直读水位表功能是否正常。</w:t>
            </w:r>
          </w:p>
        </w:tc>
        <w:tc>
          <w:tcPr>
            <w:tcW w:w="4173" w:type="dxa"/>
          </w:tcPr>
          <w:p>
            <w:pPr>
              <w:spacing w:line="320" w:lineRule="exac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blHeader/>
          <w:jc w:val="center"/>
        </w:trPr>
        <w:tc>
          <w:tcPr>
            <w:tcW w:w="14457" w:type="dxa"/>
            <w:gridSpan w:val="4"/>
            <w:vAlign w:val="center"/>
          </w:tcPr>
          <w:p>
            <w:pPr>
              <w:spacing w:line="320" w:lineRule="exact"/>
              <w:rPr>
                <w:rFonts w:hint="eastAsia" w:ascii="方正仿宋_GBK" w:hAnsi="方正仿宋_GBK" w:cs="方正仿宋_GBK"/>
                <w:sz w:val="24"/>
                <w:szCs w:val="24"/>
              </w:rPr>
            </w:pPr>
            <w:r>
              <w:rPr>
                <w:rFonts w:hint="eastAsia" w:ascii="方正仿宋_GBK" w:hAnsi="方正仿宋_GBK" w:cs="方正仿宋_GBK"/>
                <w:sz w:val="24"/>
                <w:szCs w:val="24"/>
              </w:rPr>
              <w:t>检查（自查）人员签字：                                                   日 期：</w:t>
            </w:r>
          </w:p>
          <w:p>
            <w:pPr>
              <w:pStyle w:val="2"/>
            </w:pPr>
          </w:p>
          <w:p>
            <w:pPr>
              <w:spacing w:line="320" w:lineRule="exact"/>
              <w:rPr>
                <w:rFonts w:ascii="方正仿宋_GBK" w:hAnsi="方正仿宋_GBK" w:cs="方正仿宋_GBK"/>
                <w:sz w:val="24"/>
                <w:szCs w:val="24"/>
              </w:rPr>
            </w:pPr>
          </w:p>
          <w:p>
            <w:pPr>
              <w:spacing w:line="320" w:lineRule="exact"/>
              <w:rPr>
                <w:rFonts w:hint="eastAsia" w:ascii="方正仿宋_GBK" w:hAnsi="方正仿宋_GBK" w:cs="方正仿宋_GBK"/>
                <w:sz w:val="24"/>
                <w:szCs w:val="24"/>
              </w:rPr>
            </w:pPr>
            <w:r>
              <w:rPr>
                <w:rFonts w:hint="eastAsia" w:ascii="方正仿宋_GBK" w:hAnsi="方正仿宋_GBK" w:cs="方正仿宋_GBK"/>
                <w:sz w:val="24"/>
                <w:szCs w:val="24"/>
              </w:rPr>
              <w:t>被检查单位（企业）负责人签字：                                           日 期：</w:t>
            </w:r>
          </w:p>
          <w:p>
            <w:pPr>
              <w:pStyle w:val="2"/>
            </w:pPr>
          </w:p>
          <w:p>
            <w:pPr>
              <w:spacing w:line="280" w:lineRule="exact"/>
              <w:rPr>
                <w:rFonts w:ascii="方正仿宋_GBK" w:hAnsi="方正仿宋_GBK" w:cs="方正仿宋_GBK"/>
                <w:sz w:val="24"/>
                <w:szCs w:val="24"/>
              </w:rPr>
            </w:pPr>
          </w:p>
        </w:tc>
      </w:tr>
    </w:tbl>
    <w:p>
      <w:pPr>
        <w:spacing w:line="560" w:lineRule="exact"/>
        <w:jc w:val="center"/>
        <w:rPr>
          <w:rFonts w:eastAsia="方正小标宋_GBK"/>
          <w:sz w:val="44"/>
          <w:szCs w:val="44"/>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adjustRightInd w:val="0"/>
        <w:snapToGrid w:val="0"/>
        <w:spacing w:line="660" w:lineRule="exac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自查</w:t>
      </w:r>
      <w:r>
        <w:rPr>
          <w:rFonts w:hint="eastAsia"/>
          <w:sz w:val="44"/>
          <w:szCs w:val="44"/>
        </w:rPr>
        <w:t>）</w:t>
      </w:r>
      <w:r>
        <w:rPr>
          <w:rFonts w:eastAsia="方正小标宋_GBK"/>
          <w:sz w:val="44"/>
          <w:szCs w:val="44"/>
        </w:rPr>
        <w:t>检查表</w:t>
      </w:r>
    </w:p>
    <w:p>
      <w:pPr>
        <w:spacing w:line="300" w:lineRule="exact"/>
        <w:jc w:val="center"/>
        <w:rPr>
          <w:rFonts w:eastAsia="方正楷体_GBK"/>
          <w:sz w:val="28"/>
          <w:szCs w:val="28"/>
        </w:rPr>
      </w:pPr>
      <w:r>
        <w:rPr>
          <w:rFonts w:eastAsia="方正楷体_GBK"/>
          <w:sz w:val="28"/>
          <w:szCs w:val="28"/>
        </w:rPr>
        <w:t>（工业锅炉）</w:t>
      </w:r>
    </w:p>
    <w:p>
      <w:pPr>
        <w:spacing w:line="360" w:lineRule="exact"/>
        <w:rPr>
          <w:sz w:val="28"/>
          <w:szCs w:val="28"/>
        </w:rPr>
      </w:pPr>
      <w:r>
        <w:rPr>
          <w:sz w:val="28"/>
          <w:szCs w:val="28"/>
        </w:rPr>
        <w:t>单位（企业）名称（盖章）：</w:t>
      </w:r>
    </w:p>
    <w:tbl>
      <w:tblPr>
        <w:tblStyle w:val="10"/>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22"/>
        <w:gridCol w:w="8328"/>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493" w:type="dxa"/>
            <w:vAlign w:val="center"/>
          </w:tcPr>
          <w:p>
            <w:pPr>
              <w:spacing w:line="240" w:lineRule="exact"/>
              <w:rPr>
                <w:rFonts w:eastAsia="方正黑体_GBK"/>
                <w:sz w:val="24"/>
                <w:szCs w:val="24"/>
              </w:rPr>
            </w:pPr>
            <w:r>
              <w:rPr>
                <w:rFonts w:eastAsia="方正黑体_GBK"/>
                <w:sz w:val="24"/>
                <w:szCs w:val="24"/>
              </w:rPr>
              <w:t>序号</w:t>
            </w:r>
          </w:p>
        </w:tc>
        <w:tc>
          <w:tcPr>
            <w:tcW w:w="1122" w:type="dxa"/>
            <w:vAlign w:val="center"/>
          </w:tcPr>
          <w:p>
            <w:pPr>
              <w:spacing w:line="240" w:lineRule="exact"/>
              <w:jc w:val="center"/>
              <w:rPr>
                <w:rFonts w:eastAsia="方正黑体_GBK"/>
                <w:sz w:val="24"/>
                <w:szCs w:val="24"/>
              </w:rPr>
            </w:pPr>
            <w:r>
              <w:rPr>
                <w:rFonts w:eastAsia="方正黑体_GBK"/>
                <w:sz w:val="24"/>
                <w:szCs w:val="24"/>
              </w:rPr>
              <w:t>检查</w:t>
            </w:r>
          </w:p>
          <w:p>
            <w:pPr>
              <w:spacing w:line="240" w:lineRule="exact"/>
              <w:jc w:val="center"/>
              <w:rPr>
                <w:rFonts w:eastAsia="方正黑体_GBK"/>
                <w:sz w:val="24"/>
                <w:szCs w:val="24"/>
              </w:rPr>
            </w:pPr>
            <w:r>
              <w:rPr>
                <w:rFonts w:eastAsia="方正黑体_GBK"/>
                <w:sz w:val="24"/>
                <w:szCs w:val="24"/>
              </w:rPr>
              <w:t>项目</w:t>
            </w:r>
          </w:p>
        </w:tc>
        <w:tc>
          <w:tcPr>
            <w:tcW w:w="8328" w:type="dxa"/>
            <w:vAlign w:val="center"/>
          </w:tcPr>
          <w:p>
            <w:pPr>
              <w:spacing w:line="240" w:lineRule="exact"/>
              <w:jc w:val="center"/>
              <w:rPr>
                <w:rFonts w:eastAsia="方正黑体_GBK"/>
                <w:sz w:val="24"/>
                <w:szCs w:val="24"/>
              </w:rPr>
            </w:pPr>
            <w:r>
              <w:rPr>
                <w:rFonts w:eastAsia="方正黑体_GBK"/>
                <w:sz w:val="24"/>
                <w:szCs w:val="24"/>
              </w:rPr>
              <w:t>检查内容及有关要求</w:t>
            </w:r>
          </w:p>
        </w:tc>
        <w:tc>
          <w:tcPr>
            <w:tcW w:w="4514" w:type="dxa"/>
            <w:vAlign w:val="center"/>
          </w:tcPr>
          <w:p>
            <w:pPr>
              <w:spacing w:line="240" w:lineRule="exact"/>
              <w:jc w:val="center"/>
              <w:rPr>
                <w:rFonts w:eastAsia="方正黑体_GBK"/>
                <w:sz w:val="24"/>
                <w:szCs w:val="24"/>
              </w:rPr>
            </w:pPr>
            <w:r>
              <w:rPr>
                <w:rFonts w:eastAsia="方正黑体_GBK"/>
                <w:sz w:val="24"/>
                <w:szCs w:val="24"/>
              </w:rPr>
              <w:t>检查自查描述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493" w:type="dxa"/>
            <w:vAlign w:val="center"/>
          </w:tcPr>
          <w:p>
            <w:pPr>
              <w:spacing w:line="360" w:lineRule="exact"/>
              <w:jc w:val="center"/>
              <w:rPr>
                <w:sz w:val="24"/>
                <w:szCs w:val="24"/>
              </w:rPr>
            </w:pPr>
            <w:r>
              <w:rPr>
                <w:sz w:val="24"/>
                <w:szCs w:val="24"/>
              </w:rPr>
              <w:t>1</w:t>
            </w:r>
          </w:p>
        </w:tc>
        <w:tc>
          <w:tcPr>
            <w:tcW w:w="1122" w:type="dxa"/>
            <w:vAlign w:val="center"/>
          </w:tcPr>
          <w:p>
            <w:pPr>
              <w:spacing w:line="360" w:lineRule="exact"/>
              <w:jc w:val="center"/>
              <w:rPr>
                <w:sz w:val="24"/>
                <w:szCs w:val="24"/>
              </w:rPr>
            </w:pPr>
            <w:r>
              <w:rPr>
                <w:sz w:val="24"/>
                <w:szCs w:val="24"/>
              </w:rPr>
              <w:t>整改</w:t>
            </w:r>
          </w:p>
          <w:p>
            <w:pPr>
              <w:spacing w:line="360" w:lineRule="exact"/>
              <w:jc w:val="center"/>
              <w:rPr>
                <w:sz w:val="24"/>
                <w:szCs w:val="24"/>
              </w:rPr>
            </w:pPr>
            <w:r>
              <w:rPr>
                <w:sz w:val="24"/>
                <w:szCs w:val="24"/>
              </w:rPr>
              <w:t>事项</w:t>
            </w:r>
          </w:p>
        </w:tc>
        <w:tc>
          <w:tcPr>
            <w:tcW w:w="8328" w:type="dxa"/>
            <w:vAlign w:val="center"/>
          </w:tcPr>
          <w:p>
            <w:pPr>
              <w:spacing w:line="360" w:lineRule="exact"/>
              <w:jc w:val="left"/>
              <w:rPr>
                <w:sz w:val="24"/>
                <w:szCs w:val="24"/>
              </w:rPr>
            </w:pPr>
            <w:r>
              <w:rPr>
                <w:sz w:val="24"/>
                <w:szCs w:val="24"/>
              </w:rPr>
              <w:t>2020年排查整治中发现问题</w:t>
            </w:r>
            <w:r>
              <w:rPr>
                <w:rFonts w:hint="eastAsia"/>
                <w:sz w:val="24"/>
                <w:szCs w:val="24"/>
              </w:rPr>
              <w:t>是否</w:t>
            </w:r>
            <w:r>
              <w:rPr>
                <w:sz w:val="24"/>
                <w:szCs w:val="24"/>
              </w:rPr>
              <w:t>整改</w:t>
            </w:r>
            <w:r>
              <w:rPr>
                <w:rFonts w:hint="eastAsia"/>
                <w:sz w:val="24"/>
                <w:szCs w:val="24"/>
              </w:rPr>
              <w:t>到位</w:t>
            </w:r>
            <w:r>
              <w:rPr>
                <w:sz w:val="24"/>
                <w:szCs w:val="24"/>
              </w:rPr>
              <w:t>。</w:t>
            </w:r>
          </w:p>
        </w:tc>
        <w:tc>
          <w:tcPr>
            <w:tcW w:w="4514" w:type="dxa"/>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93" w:type="dxa"/>
            <w:vMerge w:val="restart"/>
            <w:vAlign w:val="center"/>
          </w:tcPr>
          <w:p>
            <w:pPr>
              <w:spacing w:line="240" w:lineRule="exact"/>
              <w:jc w:val="center"/>
              <w:rPr>
                <w:sz w:val="24"/>
                <w:szCs w:val="24"/>
              </w:rPr>
            </w:pPr>
            <w:r>
              <w:rPr>
                <w:sz w:val="24"/>
                <w:szCs w:val="24"/>
              </w:rPr>
              <w:t>2</w:t>
            </w:r>
          </w:p>
        </w:tc>
        <w:tc>
          <w:tcPr>
            <w:tcW w:w="1122" w:type="dxa"/>
            <w:vMerge w:val="restart"/>
            <w:vAlign w:val="center"/>
          </w:tcPr>
          <w:p>
            <w:pPr>
              <w:spacing w:line="360" w:lineRule="exact"/>
              <w:jc w:val="center"/>
              <w:rPr>
                <w:sz w:val="24"/>
                <w:szCs w:val="24"/>
              </w:rPr>
            </w:pPr>
            <w:r>
              <w:rPr>
                <w:sz w:val="24"/>
                <w:szCs w:val="24"/>
              </w:rPr>
              <w:t>安全</w:t>
            </w:r>
          </w:p>
          <w:p>
            <w:pPr>
              <w:spacing w:line="360" w:lineRule="exact"/>
              <w:jc w:val="center"/>
              <w:rPr>
                <w:sz w:val="24"/>
                <w:szCs w:val="24"/>
              </w:rPr>
            </w:pPr>
            <w:r>
              <w:rPr>
                <w:sz w:val="24"/>
                <w:szCs w:val="24"/>
              </w:rPr>
              <w:t>附件</w:t>
            </w:r>
          </w:p>
        </w:tc>
        <w:tc>
          <w:tcPr>
            <w:tcW w:w="8328" w:type="dxa"/>
            <w:vAlign w:val="center"/>
          </w:tcPr>
          <w:p>
            <w:pPr>
              <w:spacing w:line="360" w:lineRule="exact"/>
              <w:jc w:val="left"/>
              <w:rPr>
                <w:sz w:val="24"/>
                <w:szCs w:val="24"/>
              </w:rPr>
            </w:pPr>
            <w:r>
              <w:rPr>
                <w:sz w:val="24"/>
                <w:szCs w:val="24"/>
              </w:rPr>
              <w:t>（1）压力表、安全阀、温度仪表校验报告或证书是否有效。</w:t>
            </w:r>
          </w:p>
        </w:tc>
        <w:tc>
          <w:tcPr>
            <w:tcW w:w="4514" w:type="dxa"/>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center"/>
              <w:rPr>
                <w:sz w:val="24"/>
                <w:szCs w:val="24"/>
              </w:rPr>
            </w:pPr>
          </w:p>
        </w:tc>
        <w:tc>
          <w:tcPr>
            <w:tcW w:w="8328" w:type="dxa"/>
            <w:vAlign w:val="center"/>
          </w:tcPr>
          <w:p>
            <w:pPr>
              <w:spacing w:line="360" w:lineRule="exact"/>
              <w:jc w:val="left"/>
              <w:rPr>
                <w:spacing w:val="-20"/>
                <w:sz w:val="24"/>
                <w:szCs w:val="24"/>
              </w:rPr>
            </w:pPr>
            <w:r>
              <w:rPr>
                <w:spacing w:val="-20"/>
                <w:sz w:val="24"/>
                <w:szCs w:val="24"/>
              </w:rPr>
              <w:t>（2）安全阀整定压力是否按最高允许工作压力整定，手动排汽是否正常。</w:t>
            </w:r>
          </w:p>
        </w:tc>
        <w:tc>
          <w:tcPr>
            <w:tcW w:w="4514" w:type="dxa"/>
          </w:tcPr>
          <w:p>
            <w:pPr>
              <w:spacing w:line="36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center"/>
              <w:rPr>
                <w:sz w:val="24"/>
                <w:szCs w:val="24"/>
              </w:rPr>
            </w:pPr>
          </w:p>
        </w:tc>
        <w:tc>
          <w:tcPr>
            <w:tcW w:w="8328" w:type="dxa"/>
            <w:vAlign w:val="center"/>
          </w:tcPr>
          <w:p>
            <w:pPr>
              <w:spacing w:line="360" w:lineRule="exact"/>
              <w:jc w:val="left"/>
              <w:rPr>
                <w:sz w:val="24"/>
                <w:szCs w:val="24"/>
              </w:rPr>
            </w:pPr>
            <w:r>
              <w:rPr>
                <w:sz w:val="24"/>
                <w:szCs w:val="24"/>
              </w:rPr>
              <w:t>（3）直读水位表功能是否正常。</w:t>
            </w:r>
          </w:p>
        </w:tc>
        <w:tc>
          <w:tcPr>
            <w:tcW w:w="4514"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493" w:type="dxa"/>
            <w:vMerge w:val="restart"/>
            <w:vAlign w:val="center"/>
          </w:tcPr>
          <w:p>
            <w:pPr>
              <w:spacing w:line="240" w:lineRule="exact"/>
              <w:jc w:val="center"/>
              <w:rPr>
                <w:sz w:val="24"/>
                <w:szCs w:val="24"/>
              </w:rPr>
            </w:pPr>
            <w:r>
              <w:rPr>
                <w:sz w:val="24"/>
                <w:szCs w:val="24"/>
              </w:rPr>
              <w:t>3</w:t>
            </w:r>
          </w:p>
        </w:tc>
        <w:tc>
          <w:tcPr>
            <w:tcW w:w="1122" w:type="dxa"/>
            <w:vMerge w:val="restart"/>
            <w:vAlign w:val="center"/>
          </w:tcPr>
          <w:p>
            <w:pPr>
              <w:spacing w:line="360" w:lineRule="exact"/>
              <w:jc w:val="left"/>
              <w:rPr>
                <w:sz w:val="24"/>
                <w:szCs w:val="24"/>
              </w:rPr>
            </w:pPr>
            <w:r>
              <w:rPr>
                <w:sz w:val="24"/>
                <w:szCs w:val="24"/>
              </w:rPr>
              <w:t>锅炉房</w:t>
            </w:r>
          </w:p>
        </w:tc>
        <w:tc>
          <w:tcPr>
            <w:tcW w:w="8328" w:type="dxa"/>
            <w:vAlign w:val="center"/>
          </w:tcPr>
          <w:p>
            <w:pPr>
              <w:spacing w:line="320" w:lineRule="exact"/>
              <w:jc w:val="left"/>
              <w:rPr>
                <w:sz w:val="24"/>
                <w:szCs w:val="24"/>
              </w:rPr>
            </w:pPr>
            <w:r>
              <w:rPr>
                <w:sz w:val="24"/>
                <w:szCs w:val="24"/>
              </w:rPr>
              <w:t>（1）锅炉房外墙应有相应的防爆措施，泄压面积不低于锅炉间占地面积的10%。</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left"/>
              <w:rPr>
                <w:sz w:val="24"/>
                <w:szCs w:val="24"/>
              </w:rPr>
            </w:pPr>
          </w:p>
        </w:tc>
        <w:tc>
          <w:tcPr>
            <w:tcW w:w="8328" w:type="dxa"/>
            <w:vAlign w:val="center"/>
          </w:tcPr>
          <w:p>
            <w:pPr>
              <w:spacing w:line="360" w:lineRule="exact"/>
              <w:jc w:val="left"/>
              <w:rPr>
                <w:sz w:val="24"/>
                <w:szCs w:val="24"/>
              </w:rPr>
            </w:pPr>
            <w:r>
              <w:rPr>
                <w:sz w:val="24"/>
                <w:szCs w:val="24"/>
              </w:rPr>
              <w:t>（2）锅炉房逃生门是否向外开启。</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left"/>
              <w:rPr>
                <w:sz w:val="24"/>
                <w:szCs w:val="24"/>
              </w:rPr>
            </w:pPr>
          </w:p>
        </w:tc>
        <w:tc>
          <w:tcPr>
            <w:tcW w:w="8328" w:type="dxa"/>
            <w:vAlign w:val="center"/>
          </w:tcPr>
          <w:p>
            <w:pPr>
              <w:spacing w:line="360" w:lineRule="exact"/>
              <w:jc w:val="left"/>
              <w:rPr>
                <w:sz w:val="24"/>
                <w:szCs w:val="24"/>
              </w:rPr>
            </w:pPr>
            <w:r>
              <w:rPr>
                <w:sz w:val="24"/>
                <w:szCs w:val="24"/>
              </w:rPr>
              <w:t>（3）</w:t>
            </w:r>
            <w:r>
              <w:rPr>
                <w:spacing w:val="-20"/>
                <w:sz w:val="24"/>
                <w:szCs w:val="24"/>
              </w:rPr>
              <w:t>安置在多层或者高层建筑物内的燃气锅炉是否设置燃气检漏报警装置。</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457" w:type="dxa"/>
            <w:gridSpan w:val="4"/>
            <w:vAlign w:val="center"/>
          </w:tcPr>
          <w:p>
            <w:pPr>
              <w:spacing w:line="280" w:lineRule="exact"/>
              <w:rPr>
                <w:sz w:val="24"/>
                <w:szCs w:val="24"/>
              </w:rPr>
            </w:pPr>
            <w:r>
              <w:rPr>
                <w:sz w:val="24"/>
                <w:szCs w:val="24"/>
              </w:rPr>
              <w:t>检查（自查）人员签字：</w:t>
            </w:r>
            <w:r>
              <w:rPr>
                <w:rFonts w:hint="eastAsia"/>
                <w:sz w:val="24"/>
                <w:szCs w:val="24"/>
                <w:lang w:val="en-US" w:eastAsia="zh-CN"/>
              </w:rPr>
              <w:t xml:space="preserve">                                              </w:t>
            </w:r>
            <w:r>
              <w:rPr>
                <w:sz w:val="24"/>
                <w:szCs w:val="24"/>
              </w:rPr>
              <w:t>日期：</w:t>
            </w:r>
          </w:p>
          <w:p>
            <w:pPr>
              <w:spacing w:line="280" w:lineRule="exact"/>
              <w:rPr>
                <w:sz w:val="24"/>
                <w:szCs w:val="24"/>
              </w:rPr>
            </w:pPr>
          </w:p>
          <w:p>
            <w:pPr>
              <w:spacing w:line="280" w:lineRule="exact"/>
              <w:rPr>
                <w:sz w:val="24"/>
                <w:szCs w:val="24"/>
              </w:rPr>
            </w:pPr>
            <w:r>
              <w:rPr>
                <w:sz w:val="24"/>
                <w:szCs w:val="24"/>
              </w:rPr>
              <w:t>被检查单位（企业）负责人签字：</w:t>
            </w:r>
            <w:r>
              <w:rPr>
                <w:rFonts w:hint="eastAsia"/>
                <w:sz w:val="24"/>
                <w:szCs w:val="24"/>
                <w:lang w:val="en-US" w:eastAsia="zh-CN"/>
              </w:rPr>
              <w:t xml:space="preserve">                                      </w:t>
            </w:r>
            <w:r>
              <w:rPr>
                <w:sz w:val="24"/>
                <w:szCs w:val="24"/>
              </w:rPr>
              <w:t>日期：</w:t>
            </w:r>
          </w:p>
        </w:tc>
      </w:tr>
    </w:tbl>
    <w:p>
      <w:pPr>
        <w:widowControl/>
        <w:jc w:val="center"/>
        <w:textAlignment w:val="center"/>
        <w:rPr>
          <w:rFonts w:hint="eastAsia" w:ascii="方正黑体_GBK" w:hAnsi="方正黑体_GBK" w:eastAsia="方正黑体_GBK" w:cs="方正黑体_GBK"/>
          <w:color w:val="000000"/>
          <w:kern w:val="0"/>
          <w:szCs w:val="32"/>
        </w:rPr>
        <w:sectPr>
          <w:pgSz w:w="16838" w:h="11906" w:orient="landscape"/>
          <w:pgMar w:top="1531" w:right="2098" w:bottom="1531" w:left="1984" w:header="851" w:footer="1474" w:gutter="0"/>
          <w:pgNumType w:fmt="decimal"/>
          <w:cols w:space="0" w:num="1"/>
          <w:rtlGutter w:val="0"/>
          <w:docGrid w:type="linesAndChars" w:linePitch="589" w:charSpace="1547"/>
        </w:sectPr>
      </w:pPr>
    </w:p>
    <w:tbl>
      <w:tblPr>
        <w:tblStyle w:val="10"/>
        <w:tblW w:w="9360" w:type="dxa"/>
        <w:tblInd w:w="0" w:type="dxa"/>
        <w:tblLayout w:type="fixed"/>
        <w:tblCellMar>
          <w:top w:w="0" w:type="dxa"/>
          <w:left w:w="0" w:type="dxa"/>
          <w:bottom w:w="0" w:type="dxa"/>
          <w:right w:w="0" w:type="dxa"/>
        </w:tblCellMar>
      </w:tblPr>
      <w:tblGrid>
        <w:gridCol w:w="608"/>
        <w:gridCol w:w="5196"/>
        <w:gridCol w:w="3556"/>
      </w:tblGrid>
      <w:tr>
        <w:trPr>
          <w:trHeight w:val="940" w:hRule="atLeast"/>
        </w:trPr>
        <w:tc>
          <w:tcPr>
            <w:tcW w:w="9360"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Cs w:val="32"/>
              </w:rPr>
              <w:t>万州区2021年锅炉相关企业特种设备专项监督抽查计划表</w:t>
            </w:r>
          </w:p>
        </w:tc>
      </w:tr>
      <w:tr>
        <w:tblPrEx>
          <w:tblCellMar>
            <w:top w:w="0" w:type="dxa"/>
            <w:left w:w="0" w:type="dxa"/>
            <w:bottom w:w="0" w:type="dxa"/>
            <w:right w:w="0" w:type="dxa"/>
          </w:tblCellMar>
        </w:tblPrEx>
        <w:trPr>
          <w:trHeight w:val="4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序号</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单位名称</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检查单位</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重庆天杰弘饲料有限公司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甘宁所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2</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白猫（重庆）有限公司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龙都所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3</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重庆市万州区明邦建材有限公司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经开区所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4</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重庆锦川电力设施有限公司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高峰所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5</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重庆烟叶复烤有限公司万州复烤厂</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沙河所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6</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重庆宁兰食品（集团）有限公司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分水所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7</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重庆谭木匠工艺品有限公司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双河口所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8</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重庆奥力生物制药有限公司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五桥所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9</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重庆江峡生化制药有限公司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五桥所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10</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重庆市万州区民建纺织印染有限责任公司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高梁所</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11</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神华神东重庆万州港电有限公司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12</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重庆市万州区三峰环保发电有限公司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13</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重庆万州西南水泥有限公司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14</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重庆索特盐化有限公司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15</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重庆市万州区供热有限公司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bl>
    <w:p>
      <w:pPr>
        <w:keepNext w:val="0"/>
        <w:keepLines w:val="0"/>
        <w:pageBreakBefore w:val="0"/>
        <w:widowControl w:val="0"/>
        <w:tabs>
          <w:tab w:val="left" w:pos="2565"/>
        </w:tabs>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pStyle w:val="3"/>
        <w:ind w:left="0" w:leftChars="0" w:firstLine="0" w:firstLineChars="0"/>
        <w:rPr>
          <w:rFonts w:hint="eastAsia"/>
        </w:rPr>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top w:val="single" w:color="auto" w:sz="4" w:space="0"/>
          <w:bottom w:val="single" w:color="auto" w:sz="4" w:space="0"/>
        </w:pBdr>
        <w:kinsoku/>
        <w:wordWrap/>
        <w:overflowPunct/>
        <w:topLinePunct w:val="0"/>
        <w:bidi w:val="0"/>
        <w:snapToGrid/>
        <w:spacing w:line="580" w:lineRule="exact"/>
        <w:textAlignment w:val="auto"/>
        <w:rPr>
          <w:rFonts w:ascii="方正小标宋_GBK" w:hAnsi="方正小标宋_GBK" w:eastAsia="方正小标宋_GBK" w:cs="方正小标宋_GBK"/>
          <w:sz w:val="44"/>
          <w:szCs w:val="44"/>
        </w:rPr>
      </w:pPr>
      <w:r>
        <w:rPr>
          <w:rFonts w:hint="default" w:ascii="Times New Roman" w:hAnsi="Times New Roman" w:eastAsia="方正仿宋_GBK" w:cs="Times New Roman"/>
          <w:sz w:val="28"/>
          <w:szCs w:val="28"/>
          <w:lang w:val="en-US" w:eastAsia="zh-CN"/>
        </w:rPr>
        <w:t xml:space="preserve"> 重庆市万州区市场监督管理局办公室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2021年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日印发</w:t>
      </w:r>
      <w:r>
        <w:rPr>
          <w:rFonts w:hint="eastAsia" w:ascii="Times New Roman" w:hAnsi="Times New Roman" w:eastAsia="方正仿宋_GBK" w:cs="Times New Roman"/>
          <w:sz w:val="28"/>
          <w:szCs w:val="28"/>
          <w:lang w:val="en-US" w:eastAsia="zh-CN"/>
        </w:rPr>
        <w:t xml:space="preserve"> </w:t>
      </w:r>
    </w:p>
    <w:sectPr>
      <w:pgSz w:w="11906" w:h="16838"/>
      <w:pgMar w:top="2098" w:right="1531" w:bottom="1984" w:left="1531" w:header="851" w:footer="1474" w:gutter="0"/>
      <w:pgNumType w:fmt="decimal"/>
      <w:cols w:space="0" w:num="1"/>
      <w:rtlGutter w:val="0"/>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Tahoma">
    <w:altName w:val="DejaVu Sans"/>
    <w:panose1 w:val="020B0604030504040204"/>
    <w:charset w:val="00"/>
    <w:family w:val="swiss"/>
    <w:pitch w:val="default"/>
    <w:sig w:usb0="00000000" w:usb1="00000000" w:usb2="00000008" w:usb3="00000000" w:csb0="200101FF" w:csb1="2028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109220</wp:posOffset>
              </wp:positionV>
              <wp:extent cx="771525" cy="30353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71525" cy="303530"/>
                      </a:xfrm>
                      <a:prstGeom prst="rect">
                        <a:avLst/>
                      </a:prstGeom>
                      <a:noFill/>
                      <a:ln w="6350">
                        <a:noFill/>
                      </a:ln>
                      <a:effectLst/>
                    </wps:spPr>
                    <wps:txbx>
                      <w:txbxContent>
                        <w:p>
                          <w:pPr>
                            <w:pStyle w:val="2"/>
                            <w:rPr>
                              <w:rStyle w:val="12"/>
                              <w:rFonts w:ascii="宋体"/>
                              <w:sz w:val="28"/>
                              <w:szCs w:val="28"/>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2</w:t>
                          </w:r>
                          <w:r>
                            <w:rPr>
                              <w:rFonts w:ascii="宋体" w:hAnsi="宋体" w:cs="宋体"/>
                              <w:sz w:val="28"/>
                              <w:szCs w:val="28"/>
                            </w:rPr>
                            <w:fldChar w:fldCharType="end"/>
                          </w:r>
                          <w:r>
                            <w:rPr>
                              <w:rStyle w:val="12"/>
                              <w:rFonts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8.6pt;height:23.9pt;width:60.75pt;mso-position-horizontal:outside;mso-position-horizontal-relative:margin;z-index:251658240;mso-width-relative:page;mso-height-relative:page;" filled="f" stroked="f" coordsize="21600,21600" o:gfxdata="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ndO9UAAAAGAQAADwAAAAAAAAABACAAAAA4AAAAZHJzL2Rv&#10;d25yZXYueG1sUEsBAhQAFAAAAAgAh07iQK7PlosnAgAANwQAAA4AAAAAAAAAAQAgAAAAOgEAAGRy&#10;cy9lMm9Eb2MueG1sUEsFBgAAAAAGAAYAWQEAANMFAAAAAA==&#10;">
              <v:fill on="f" focussize="0,0"/>
              <v:stroke on="f" weight="0.5pt"/>
              <v:imagedata o:title=""/>
              <o:lock v:ext="edit" aspectratio="f"/>
              <v:textbox inset="0mm,0mm,0mm,0mm">
                <w:txbxContent>
                  <w:p>
                    <w:pPr>
                      <w:pStyle w:val="2"/>
                      <w:rPr>
                        <w:rStyle w:val="12"/>
                        <w:rFonts w:ascii="宋体"/>
                        <w:sz w:val="28"/>
                        <w:szCs w:val="28"/>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2</w:t>
                    </w:r>
                    <w:r>
                      <w:rPr>
                        <w:rFonts w:ascii="宋体" w:hAnsi="宋体" w:cs="宋体"/>
                        <w:sz w:val="28"/>
                        <w:szCs w:val="28"/>
                      </w:rPr>
                      <w:fldChar w:fldCharType="end"/>
                    </w:r>
                    <w:r>
                      <w:rPr>
                        <w:rStyle w:val="12"/>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8043C"/>
    <w:multiLevelType w:val="singleLevel"/>
    <w:tmpl w:val="607804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4"/>
  <w:drawingGridVerticalSpacing w:val="295"/>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D2BED"/>
    <w:rsid w:val="003E3F66"/>
    <w:rsid w:val="004101E2"/>
    <w:rsid w:val="00A4188C"/>
    <w:rsid w:val="00D560A0"/>
    <w:rsid w:val="00F76F67"/>
    <w:rsid w:val="00FD313E"/>
    <w:rsid w:val="02817FB0"/>
    <w:rsid w:val="02AA0242"/>
    <w:rsid w:val="03A93B2C"/>
    <w:rsid w:val="05D93AE5"/>
    <w:rsid w:val="0A4420F7"/>
    <w:rsid w:val="0B466B3D"/>
    <w:rsid w:val="0CB63086"/>
    <w:rsid w:val="0DB557A0"/>
    <w:rsid w:val="0DDE52FA"/>
    <w:rsid w:val="0E4074B2"/>
    <w:rsid w:val="0F3509FF"/>
    <w:rsid w:val="0F9A21D9"/>
    <w:rsid w:val="0FA7136D"/>
    <w:rsid w:val="0FC75D51"/>
    <w:rsid w:val="10691352"/>
    <w:rsid w:val="11421D1E"/>
    <w:rsid w:val="120A1076"/>
    <w:rsid w:val="136E0A08"/>
    <w:rsid w:val="13AD2BED"/>
    <w:rsid w:val="152275B7"/>
    <w:rsid w:val="18473394"/>
    <w:rsid w:val="18AF4847"/>
    <w:rsid w:val="193F0B5D"/>
    <w:rsid w:val="195A1581"/>
    <w:rsid w:val="1A1047E0"/>
    <w:rsid w:val="1C7A5C79"/>
    <w:rsid w:val="1CEA5669"/>
    <w:rsid w:val="1E566517"/>
    <w:rsid w:val="1E643D9F"/>
    <w:rsid w:val="1F856994"/>
    <w:rsid w:val="21470F6E"/>
    <w:rsid w:val="225B4480"/>
    <w:rsid w:val="22D20486"/>
    <w:rsid w:val="22E44973"/>
    <w:rsid w:val="24263568"/>
    <w:rsid w:val="245D1846"/>
    <w:rsid w:val="250B0E08"/>
    <w:rsid w:val="262C49D8"/>
    <w:rsid w:val="26503BEC"/>
    <w:rsid w:val="28BE02B8"/>
    <w:rsid w:val="28FF2641"/>
    <w:rsid w:val="2A564F86"/>
    <w:rsid w:val="2B5167B1"/>
    <w:rsid w:val="2DD8032C"/>
    <w:rsid w:val="2F211C6B"/>
    <w:rsid w:val="30C0461B"/>
    <w:rsid w:val="30F47764"/>
    <w:rsid w:val="322942D1"/>
    <w:rsid w:val="32A720DC"/>
    <w:rsid w:val="32C53375"/>
    <w:rsid w:val="33847D48"/>
    <w:rsid w:val="339331F2"/>
    <w:rsid w:val="33AF2887"/>
    <w:rsid w:val="33F240B6"/>
    <w:rsid w:val="33F969F6"/>
    <w:rsid w:val="34E60333"/>
    <w:rsid w:val="35047332"/>
    <w:rsid w:val="35D728B4"/>
    <w:rsid w:val="36143BBC"/>
    <w:rsid w:val="38962CC1"/>
    <w:rsid w:val="3A0274F7"/>
    <w:rsid w:val="3AA125AE"/>
    <w:rsid w:val="3C544DDD"/>
    <w:rsid w:val="3F188563"/>
    <w:rsid w:val="3F261AA1"/>
    <w:rsid w:val="406D6FB4"/>
    <w:rsid w:val="41FE0C6A"/>
    <w:rsid w:val="436C144A"/>
    <w:rsid w:val="43F52DE3"/>
    <w:rsid w:val="44FE396F"/>
    <w:rsid w:val="462D7440"/>
    <w:rsid w:val="46DD5D27"/>
    <w:rsid w:val="479424EA"/>
    <w:rsid w:val="488B7547"/>
    <w:rsid w:val="492C46A4"/>
    <w:rsid w:val="4AF73C13"/>
    <w:rsid w:val="4B417CFB"/>
    <w:rsid w:val="4B5C3FF7"/>
    <w:rsid w:val="4C041A4C"/>
    <w:rsid w:val="4CAD3C68"/>
    <w:rsid w:val="4D482214"/>
    <w:rsid w:val="4E8F5E01"/>
    <w:rsid w:val="4EC50387"/>
    <w:rsid w:val="4EF70DD7"/>
    <w:rsid w:val="4FF05A37"/>
    <w:rsid w:val="509C1BB8"/>
    <w:rsid w:val="50ED7734"/>
    <w:rsid w:val="51246922"/>
    <w:rsid w:val="51797DEA"/>
    <w:rsid w:val="53907E9F"/>
    <w:rsid w:val="546642C8"/>
    <w:rsid w:val="557879E7"/>
    <w:rsid w:val="55917C93"/>
    <w:rsid w:val="55AD4908"/>
    <w:rsid w:val="56440D1E"/>
    <w:rsid w:val="569C6525"/>
    <w:rsid w:val="56B51C98"/>
    <w:rsid w:val="56DE434B"/>
    <w:rsid w:val="57A650AB"/>
    <w:rsid w:val="57CB1EFE"/>
    <w:rsid w:val="5AD54B77"/>
    <w:rsid w:val="5B697F52"/>
    <w:rsid w:val="5CC334DC"/>
    <w:rsid w:val="5DD63DB0"/>
    <w:rsid w:val="5E2F562E"/>
    <w:rsid w:val="5EE45AE5"/>
    <w:rsid w:val="5F7C14FA"/>
    <w:rsid w:val="5FEA3540"/>
    <w:rsid w:val="606F23E6"/>
    <w:rsid w:val="613E703E"/>
    <w:rsid w:val="634232F3"/>
    <w:rsid w:val="677D5597"/>
    <w:rsid w:val="678E3DC0"/>
    <w:rsid w:val="67BF1860"/>
    <w:rsid w:val="68241FB0"/>
    <w:rsid w:val="69DD3DE5"/>
    <w:rsid w:val="6A992D62"/>
    <w:rsid w:val="6AC8792C"/>
    <w:rsid w:val="6B661F97"/>
    <w:rsid w:val="6DC65FF3"/>
    <w:rsid w:val="6DF67989"/>
    <w:rsid w:val="6E3E07D9"/>
    <w:rsid w:val="6EAB41C2"/>
    <w:rsid w:val="6F36575D"/>
    <w:rsid w:val="6F9C0340"/>
    <w:rsid w:val="7275363E"/>
    <w:rsid w:val="73277460"/>
    <w:rsid w:val="73391EC1"/>
    <w:rsid w:val="7391048F"/>
    <w:rsid w:val="742D42D5"/>
    <w:rsid w:val="7436335E"/>
    <w:rsid w:val="75E6231D"/>
    <w:rsid w:val="76263C13"/>
    <w:rsid w:val="771A5B06"/>
    <w:rsid w:val="77442669"/>
    <w:rsid w:val="77514DB2"/>
    <w:rsid w:val="7AA85AC9"/>
    <w:rsid w:val="7D007AFA"/>
    <w:rsid w:val="7E3C6020"/>
    <w:rsid w:val="7F112764"/>
    <w:rsid w:val="7FD37F6D"/>
    <w:rsid w:val="B8A1F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6"/>
    <w:qFormat/>
    <w:uiPriority w:val="99"/>
    <w:pPr>
      <w:tabs>
        <w:tab w:val="center" w:pos="4153"/>
        <w:tab w:val="right" w:pos="8306"/>
      </w:tabs>
      <w:snapToGrid w:val="0"/>
      <w:jc w:val="left"/>
    </w:pPr>
    <w:rPr>
      <w:rFonts w:ascii="Calibri" w:eastAsia="宋体" w:cs="Calibri"/>
      <w:sz w:val="18"/>
      <w:szCs w:val="18"/>
    </w:rPr>
  </w:style>
  <w:style w:type="paragraph" w:customStyle="1" w:styleId="3">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4">
    <w:name w:val="Body Text"/>
    <w:basedOn w:val="1"/>
    <w:next w:val="5"/>
    <w:qFormat/>
    <w:uiPriority w:val="0"/>
    <w:pPr>
      <w:spacing w:line="590" w:lineRule="exact"/>
    </w:pPr>
    <w:rPr>
      <w:rFonts w:eastAsia="仿宋_GB2312"/>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Body Text Indent"/>
    <w:basedOn w:val="1"/>
    <w:qFormat/>
    <w:uiPriority w:val="0"/>
    <w:pPr>
      <w:ind w:firstLine="643" w:firstLineChars="201"/>
    </w:pPr>
    <w:rPr>
      <w:rFonts w:ascii="仿宋_GB2312" w:eastAsia="仿宋_GB2312"/>
      <w:szCs w:val="24"/>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eastAsia="宋体" w:cs="Calibri"/>
      <w:sz w:val="18"/>
      <w:szCs w:val="18"/>
    </w:rPr>
  </w:style>
  <w:style w:type="paragraph" w:styleId="8">
    <w:name w:val="Body Text 2"/>
    <w:basedOn w:val="1"/>
    <w:qFormat/>
    <w:uiPriority w:val="0"/>
    <w:pPr>
      <w:spacing w:after="120" w:line="480" w:lineRule="auto"/>
    </w:pPr>
    <w:rPr>
      <w:rFonts w:ascii="Tahoma" w:hAnsi="Tahoma" w:eastAsia="宋体"/>
      <w:sz w:val="21"/>
      <w:szCs w:val="24"/>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99"/>
    <w:rPr>
      <w:rFonts w:ascii="Calibri" w:hAnsi="Calibri" w:eastAsia="宋体" w:cs="Times New Roman"/>
      <w:lang w:val="en-US" w:eastAsia="zh-CN" w:bidi="ar-SA"/>
    </w:rPr>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页眉 Char"/>
    <w:basedOn w:val="11"/>
    <w:link w:val="7"/>
    <w:semiHidden/>
    <w:qFormat/>
    <w:uiPriority w:val="99"/>
    <w:rPr>
      <w:rFonts w:ascii="Calibri" w:hAnsi="Calibri" w:eastAsia="宋体" w:cs="Calibri"/>
      <w:sz w:val="18"/>
      <w:szCs w:val="18"/>
      <w:lang w:val="en-US" w:eastAsia="zh-CN" w:bidi="ar-SA"/>
    </w:rPr>
  </w:style>
  <w:style w:type="character" w:customStyle="1" w:styleId="16">
    <w:name w:val="页脚 Char"/>
    <w:basedOn w:val="11"/>
    <w:link w:val="2"/>
    <w:qFormat/>
    <w:uiPriority w:val="99"/>
    <w:rPr>
      <w:rFonts w:ascii="Calibri" w:hAnsi="Calibri" w:eastAsia="宋体" w:cs="Calibri"/>
      <w:sz w:val="18"/>
      <w:szCs w:val="18"/>
      <w:lang w:val="en-US" w:eastAsia="zh-CN" w:bidi="ar-SA"/>
    </w:rPr>
  </w:style>
  <w:style w:type="paragraph" w:customStyle="1" w:styleId="17">
    <w:name w:val="Heading1"/>
    <w:basedOn w:val="1"/>
    <w:next w:val="1"/>
    <w:qFormat/>
    <w:uiPriority w:val="0"/>
    <w:pPr>
      <w:spacing w:beforeAutospacing="1" w:afterAutospacing="1"/>
      <w:jc w:val="left"/>
      <w:textAlignment w:val="baseline"/>
    </w:pPr>
    <w:rPr>
      <w:rFonts w:ascii="宋体" w:hAnsi="宋体"/>
      <w:b/>
      <w:kern w:val="44"/>
      <w:szCs w:val="21"/>
    </w:rPr>
  </w:style>
  <w:style w:type="character" w:customStyle="1" w:styleId="18">
    <w:name w:val="font41"/>
    <w:basedOn w:val="11"/>
    <w:qFormat/>
    <w:uiPriority w:val="0"/>
    <w:rPr>
      <w:rFonts w:hint="default" w:ascii="Times New Roman" w:hAnsi="Times New Roman" w:cs="Times New Roman"/>
      <w:color w:val="000000"/>
      <w:sz w:val="24"/>
      <w:szCs w:val="24"/>
      <w:u w:val="none"/>
    </w:rPr>
  </w:style>
  <w:style w:type="character" w:customStyle="1" w:styleId="19">
    <w:name w:val="font21"/>
    <w:basedOn w:val="11"/>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2143</Words>
  <Characters>239</Characters>
  <Lines>1</Lines>
  <Paragraphs>4</Paragraphs>
  <TotalTime>0</TotalTime>
  <ScaleCrop>false</ScaleCrop>
  <LinksUpToDate>false</LinksUpToDate>
  <CharactersWithSpaces>2378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2021-01-08T16:02:00Z</dcterms:created>
  <dc:creator>王德芳</dc:creator>
  <cp:lastModifiedBy>user</cp:lastModifiedBy>
  <cp:lastPrinted>2021-05-12T09:44:00Z</cp:lastPrinted>
  <dcterms:modified xsi:type="dcterms:W3CDTF">2024-01-02T17:55:10Z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