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right" w:leader="underscore" w:pos="7560"/>
          <w:tab w:val="righ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left"/>
        <w:textAlignment w:val="auto"/>
        <w:rPr>
          <w:rFonts w:hint="default" w:ascii="Times New Roman" w:hAnsi="Times New Roman" w:eastAsia="方正小标宋_GBK" w:cs="Times New Roman"/>
          <w:color w:val="FF0000"/>
          <w:spacing w:val="-28"/>
          <w:w w:val="85"/>
          <w:sz w:val="64"/>
          <w:szCs w:val="64"/>
          <w:lang w:eastAsia="zh-CN"/>
        </w:rPr>
      </w:pPr>
      <w:r>
        <w:rPr>
          <w:rFonts w:hint="default" w:ascii="Times New Roman" w:hAnsi="Times New Roman" w:eastAsia="方正小标宋_GBK" w:cs="Times New Roman"/>
          <w:color w:val="FF0000"/>
          <w:spacing w:val="115"/>
          <w:w w:val="100"/>
          <w:kern w:val="0"/>
          <w:sz w:val="64"/>
          <w:szCs w:val="64"/>
          <w:fitText w:val="7603" w:id="-483954214"/>
          <w:lang w:eastAsia="zh-CN"/>
        </w:rPr>
        <w:t>重庆市万州区民政</w:t>
      </w:r>
      <w:r>
        <w:rPr>
          <w:rFonts w:hint="default" w:ascii="Times New Roman" w:hAnsi="Times New Roman" w:eastAsia="方正小标宋_GBK" w:cs="Times New Roman"/>
          <w:color w:val="FF0000"/>
          <w:spacing w:val="1"/>
          <w:w w:val="100"/>
          <w:kern w:val="0"/>
          <w:sz w:val="64"/>
          <w:szCs w:val="64"/>
          <w:fitText w:val="7603" w:id="-483954214"/>
          <w:lang w:eastAsia="zh-CN"/>
        </w:rPr>
        <w:t>局</w:t>
      </w:r>
    </w:p>
    <w:p>
      <w:pPr>
        <w:keepNext w:val="0"/>
        <w:keepLines w:val="0"/>
        <w:pageBreakBefore w:val="0"/>
        <w:tabs>
          <w:tab w:val="right" w:pos="7560"/>
          <w:tab w:val="left" w:pos="7780"/>
        </w:tabs>
        <w:kinsoku/>
        <w:wordWrap/>
        <w:overflowPunct/>
        <w:topLinePunct w:val="0"/>
        <w:autoSpaceDE/>
        <w:autoSpaceDN/>
        <w:bidi w:val="0"/>
        <w:spacing w:line="900" w:lineRule="exact"/>
        <w:jc w:val="left"/>
        <w:textAlignment w:val="auto"/>
        <w:rPr>
          <w:rFonts w:hint="default" w:ascii="Times New Roman" w:hAnsi="Times New Roman" w:eastAsia="方正小标宋_GBK" w:cs="Times New Roman"/>
          <w:color w:val="FF0000"/>
          <w:spacing w:val="-23"/>
          <w:w w:val="85"/>
          <w:sz w:val="64"/>
          <w:szCs w:val="64"/>
        </w:rPr>
      </w:pPr>
      <w:r>
        <w:rPr>
          <w:rFonts w:hint="default" w:ascii="Times New Roman" w:hAnsi="Times New Roman" w:eastAsia="方正小标宋_GBK" w:cs="Times New Roman"/>
          <w:color w:val="FF0000"/>
          <w:spacing w:val="1"/>
          <w:w w:val="74"/>
          <w:kern w:val="0"/>
          <w:sz w:val="64"/>
          <w:szCs w:val="64"/>
          <w:fitText w:val="7603" w:id="-483954214"/>
        </w:rPr>
        <w:t>重庆市万州区老龄工作委员会办公</w:t>
      </w:r>
      <w:r>
        <w:rPr>
          <w:rFonts w:hint="default" w:ascii="Times New Roman" w:hAnsi="Times New Roman" w:eastAsia="方正小标宋_GBK" w:cs="Times New Roman"/>
          <w:color w:val="FF0000"/>
          <w:spacing w:val="27"/>
          <w:w w:val="74"/>
          <w:kern w:val="0"/>
          <w:sz w:val="64"/>
          <w:szCs w:val="64"/>
          <w:fitText w:val="7603" w:id="-483954214"/>
        </w:rPr>
        <w:t>室</w:t>
      </w:r>
    </w:p>
    <w:p>
      <w:pPr>
        <w:keepNext w:val="0"/>
        <w:keepLines w:val="0"/>
        <w:pageBreakBefore w:val="0"/>
        <w:widowControl w:val="0"/>
        <w:tabs>
          <w:tab w:val="left" w:pos="7560"/>
          <w:tab w:val="righ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left"/>
        <w:textAlignment w:val="auto"/>
        <w:rPr>
          <w:rFonts w:hint="default" w:ascii="Times New Roman" w:hAnsi="Times New Roman" w:eastAsia="方正小标宋_GBK" w:cs="Times New Roman"/>
          <w:color w:val="FF0000"/>
          <w:spacing w:val="-68"/>
          <w:w w:val="85"/>
          <w:sz w:val="64"/>
          <w:szCs w:val="64"/>
        </w:rPr>
      </w:pPr>
      <w:r>
        <w:rPr>
          <w:rFonts w:hint="default" w:ascii="Times New Roman" w:hAnsi="Times New Roman" w:eastAsia="方正小标宋_GBK" w:cs="Times New Roman"/>
          <w:color w:val="FF0000"/>
          <w:spacing w:val="-34"/>
          <w:w w:val="85"/>
          <w:sz w:val="66"/>
          <w:szCs w:val="66"/>
        </w:rPr>
        <w:pict>
          <v:shape id="_x0000_s1027" o:spid="_x0000_s1027" o:spt="136" type="#_x0000_t136" style="position:absolute;left:0pt;margin-left:384.25pt;margin-top:0.05pt;height:42.35pt;width:55.4pt;z-index:25166233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文件" style="font-family:方正小标宋_GBK;font-size:32pt;font-weight:bold;v-rotate-letters:f;v-same-letter-heights:f;v-text-align:center;"/>
          </v:shape>
        </w:pict>
      </w:r>
      <w:r>
        <w:rPr>
          <w:rFonts w:hint="default" w:ascii="Times New Roman" w:hAnsi="Times New Roman" w:eastAsia="方正小标宋_GBK" w:cs="Times New Roman"/>
          <w:color w:val="FF0000"/>
          <w:spacing w:val="1"/>
          <w:w w:val="74"/>
          <w:kern w:val="0"/>
          <w:sz w:val="64"/>
          <w:szCs w:val="64"/>
          <w:fitText w:val="7603" w:id="-483954214"/>
        </w:rPr>
        <w:t>重庆市万州区文化和旅游发展委员</w:t>
      </w:r>
      <w:r>
        <w:rPr>
          <w:rFonts w:hint="default" w:ascii="Times New Roman" w:hAnsi="Times New Roman" w:eastAsia="方正小标宋_GBK" w:cs="Times New Roman"/>
          <w:color w:val="FF0000"/>
          <w:spacing w:val="27"/>
          <w:w w:val="74"/>
          <w:kern w:val="0"/>
          <w:sz w:val="64"/>
          <w:szCs w:val="64"/>
          <w:fitText w:val="7603" w:id="-483954214"/>
        </w:rPr>
        <w:t>会</w:t>
      </w:r>
      <w:r>
        <w:rPr>
          <w:rFonts w:hint="default" w:ascii="Times New Roman" w:hAnsi="Times New Roman" w:eastAsia="方正小标宋_GBK" w:cs="Times New Roman"/>
          <w:color w:val="FF0000"/>
          <w:spacing w:val="-28"/>
          <w:w w:val="85"/>
          <w:sz w:val="64"/>
          <w:szCs w:val="64"/>
        </w:rPr>
        <w:t xml:space="preserve"> </w:t>
      </w:r>
      <w:r>
        <w:rPr>
          <w:rFonts w:hint="default" w:ascii="Times New Roman" w:hAnsi="Times New Roman" w:eastAsia="方正小标宋_GBK" w:cs="Times New Roman"/>
          <w:color w:val="FF0000"/>
          <w:spacing w:val="-68"/>
          <w:w w:val="85"/>
          <w:sz w:val="64"/>
          <w:szCs w:val="64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7560"/>
          <w:tab w:val="lef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FF0000"/>
          <w:spacing w:val="-23"/>
          <w:w w:val="85"/>
          <w:sz w:val="64"/>
          <w:szCs w:val="6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FF0000"/>
          <w:spacing w:val="1"/>
          <w:w w:val="84"/>
          <w:kern w:val="0"/>
          <w:sz w:val="64"/>
          <w:szCs w:val="64"/>
          <w:fitText w:val="7603" w:id="-483954214"/>
        </w:rPr>
        <w:t>重庆市万州区文学艺术界联合</w:t>
      </w:r>
      <w:r>
        <w:rPr>
          <w:rFonts w:hint="default" w:ascii="Times New Roman" w:hAnsi="Times New Roman" w:eastAsia="方正小标宋_GBK" w:cs="Times New Roman"/>
          <w:color w:val="FF0000"/>
          <w:spacing w:val="44"/>
          <w:w w:val="84"/>
          <w:kern w:val="0"/>
          <w:sz w:val="64"/>
          <w:szCs w:val="64"/>
          <w:fitText w:val="7603" w:id="-483954214"/>
        </w:rPr>
        <w:t>会</w:t>
      </w:r>
      <w:r>
        <w:rPr>
          <w:rFonts w:hint="default" w:ascii="Times New Roman" w:hAnsi="Times New Roman" w:eastAsia="方正小标宋_GBK" w:cs="Times New Roman"/>
          <w:color w:val="FF0000"/>
          <w:spacing w:val="-23"/>
          <w:w w:val="85"/>
          <w:sz w:val="64"/>
          <w:szCs w:val="64"/>
          <w:lang w:val="en-US" w:eastAsia="zh-CN"/>
        </w:rPr>
        <w:tab/>
      </w:r>
    </w:p>
    <w:p>
      <w:pPr>
        <w:keepNext w:val="0"/>
        <w:keepLines w:val="0"/>
        <w:pageBreakBefore w:val="0"/>
        <w:tabs>
          <w:tab w:val="right" w:pos="7560"/>
          <w:tab w:val="left" w:pos="7780"/>
        </w:tabs>
        <w:kinsoku/>
        <w:wordWrap/>
        <w:overflowPunct/>
        <w:topLinePunct w:val="0"/>
        <w:autoSpaceDE/>
        <w:autoSpaceDN/>
        <w:bidi w:val="0"/>
        <w:spacing w:line="900" w:lineRule="exact"/>
        <w:jc w:val="left"/>
        <w:textAlignment w:val="auto"/>
        <w:rPr>
          <w:rFonts w:hint="default" w:ascii="Times New Roman" w:hAnsi="Times New Roman" w:eastAsia="方正小标宋_GBK" w:cs="Times New Roman"/>
          <w:color w:val="FF0000"/>
          <w:spacing w:val="60"/>
          <w:w w:val="62"/>
          <w:kern w:val="0"/>
          <w:sz w:val="64"/>
          <w:szCs w:val="64"/>
          <w:fitText w:val="7603" w:id="-483954214"/>
        </w:rPr>
      </w:pPr>
      <w:r>
        <w:rPr>
          <w:rFonts w:hint="default" w:ascii="Times New Roman" w:hAnsi="Times New Roman" w:eastAsia="方正小标宋_GBK" w:cs="Times New Roman"/>
          <w:color w:val="FF0000"/>
          <w:spacing w:val="1"/>
          <w:w w:val="62"/>
          <w:kern w:val="0"/>
          <w:sz w:val="64"/>
          <w:szCs w:val="64"/>
          <w:fitText w:val="7603" w:id="-483954214"/>
        </w:rPr>
        <w:t>中国人寿保险股份有限公司</w:t>
      </w:r>
      <w:r>
        <w:rPr>
          <w:rFonts w:hint="default" w:ascii="Times New Roman" w:hAnsi="Times New Roman" w:eastAsia="方正小标宋_GBK" w:cs="Times New Roman"/>
          <w:color w:val="FF0000"/>
          <w:spacing w:val="1"/>
          <w:w w:val="62"/>
          <w:kern w:val="0"/>
          <w:sz w:val="64"/>
          <w:szCs w:val="64"/>
          <w:fitText w:val="7603" w:id="-483954214"/>
          <w:lang w:eastAsia="zh-CN"/>
        </w:rPr>
        <w:t>重庆</w:t>
      </w:r>
      <w:r>
        <w:rPr>
          <w:rFonts w:hint="default" w:ascii="Times New Roman" w:hAnsi="Times New Roman" w:eastAsia="方正小标宋_GBK" w:cs="Times New Roman"/>
          <w:color w:val="FF0000"/>
          <w:spacing w:val="1"/>
          <w:w w:val="62"/>
          <w:kern w:val="0"/>
          <w:sz w:val="64"/>
          <w:szCs w:val="64"/>
          <w:fitText w:val="7603" w:id="-483954214"/>
        </w:rPr>
        <w:t>万州</w:t>
      </w:r>
      <w:r>
        <w:rPr>
          <w:rFonts w:hint="default" w:ascii="Times New Roman" w:hAnsi="Times New Roman" w:eastAsia="方正小标宋_GBK" w:cs="Times New Roman"/>
          <w:color w:val="FF0000"/>
          <w:spacing w:val="1"/>
          <w:w w:val="62"/>
          <w:kern w:val="0"/>
          <w:sz w:val="64"/>
          <w:szCs w:val="64"/>
          <w:fitText w:val="7603" w:id="-483954214"/>
          <w:lang w:eastAsia="zh-CN"/>
        </w:rPr>
        <w:t>支</w:t>
      </w:r>
      <w:r>
        <w:rPr>
          <w:rFonts w:hint="default" w:ascii="Times New Roman" w:hAnsi="Times New Roman" w:eastAsia="方正小标宋_GBK" w:cs="Times New Roman"/>
          <w:color w:val="FF0000"/>
          <w:spacing w:val="1"/>
          <w:w w:val="62"/>
          <w:kern w:val="0"/>
          <w:sz w:val="64"/>
          <w:szCs w:val="64"/>
          <w:fitText w:val="7603" w:id="-483954214"/>
        </w:rPr>
        <w:t>公</w:t>
      </w:r>
      <w:r>
        <w:rPr>
          <w:rFonts w:hint="default" w:ascii="Times New Roman" w:hAnsi="Times New Roman" w:eastAsia="方正小标宋_GBK" w:cs="Times New Roman"/>
          <w:color w:val="FF0000"/>
          <w:spacing w:val="31"/>
          <w:w w:val="62"/>
          <w:kern w:val="0"/>
          <w:sz w:val="64"/>
          <w:szCs w:val="64"/>
          <w:fitText w:val="7603" w:id="-483954214"/>
        </w:rPr>
        <w:t>司</w:t>
      </w:r>
    </w:p>
    <w:p>
      <w:pPr>
        <w:pStyle w:val="5"/>
        <w:rPr>
          <w:rFonts w:hint="default" w:ascii="Times New Roman" w:hAnsi="Times New Roman" w:eastAsia="方正小标宋_GBK" w:cs="Times New Roman"/>
          <w:b w:val="0"/>
          <w:bCs/>
          <w:color w:val="auto"/>
          <w:spacing w:val="0"/>
          <w:w w:val="84"/>
          <w:sz w:val="44"/>
          <w:szCs w:val="44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spacing w:line="520" w:lineRule="exact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万州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民</w:t>
      </w:r>
      <w:r>
        <w:rPr>
          <w:rFonts w:hint="default" w:ascii="Times New Roman" w:hAnsi="Times New Roman" w:eastAsia="方正仿宋_GBK" w:cs="Times New Roman"/>
          <w:sz w:val="32"/>
        </w:rPr>
        <w:t>发〔20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212725</wp:posOffset>
                </wp:positionV>
                <wp:extent cx="5600700" cy="0"/>
                <wp:effectExtent l="0" t="12700" r="0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75pt;margin-top:16.75pt;height:0pt;width:441pt;z-index:251659264;mso-width-relative:page;mso-height-relative:page;" filled="f" stroked="t" coordsize="21600,21600" o:gfxdata="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7ksTydQAAAAJAQAADwAAAAAAAAABACAAAAA4AAAAZHJzL2Rvd25y&#10;ZXYueG1sUEsBAhQAFAAAAAgAh07iQHNrNXbsAQAAtQMAAA4AAAAAAAAAAQAgAAAAOQEAAGRycy9l&#10;Mm9Eb2MueG1sUEsFBgAAAAAGAAYAWQEAAJc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关于举办2025年重庆市老年人才艺大赛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万州片区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预选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赛的通知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各镇乡（民族乡）人民政府，各街道办事处，区老龄委各成员单位，区级有关部门，有关单位，相关社会团体：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right="19" w:firstLine="709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为深入贯彻落实习近平总书记关于老龄工作的重要指示批示精神，大力弘扬积极老龄观、健康老龄化新理念，促进发展银发经济和文化消费，不断丰富老年人精神文化生活，展现老年人积极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向上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的精神风貌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和艺术才华。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根据《关于举办2025年重庆市老年人才艺大赛的通知》（渝老办﹝2025﹞1号）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精神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，决定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举办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2025年重庆市老年人才艺大赛万州片区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赛。现将有关事项通知如下。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一、大赛主题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银龄展风采 才艺颂华章——2025年“中国人寿杯”重庆市老年人才艺大赛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万州片区预选赛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二、组织构架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重庆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市万州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区民政局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、重庆市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万州区老龄工作委员会办公室、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重庆市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万州区文化和旅游发展委员会、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重庆市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万州区文学艺术界联合会、中国人寿保险股份有限公司重庆万州支公司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承办单位：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重庆市万州区老年活动中心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参赛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区有演出能力的老年人均可参赛。参赛人员应身体健康，无重大疾病；年龄应符合女性55岁以上（1970年9月30日前出生），男性60岁以上（1965年9月30日前出生）。所有参赛人员必须符合以上年龄条件，严禁不符合条件人员替代演出，一经查出，取消该作品参演资格。节目编创者、辅导者应分别控制在3人（含）以内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四、赛项设置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大赛设置合唱、舞蹈、器乐和时装表演4个赛项。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合唱。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参赛曲目以歌颂党、歌颂祖国、歌颂新时代幸福生活为主题，鼓励在演唱方式或演唱歌曲上创新，以团体形式参赛，每支参赛队伍需15人（含）以上，时长控制在5分钟以内。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舞蹈。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应把握时代脉搏，聆听时代声音，传承发扬民族传统艺术，鼓励具有中国特色、巴渝风情的舞蹈作品，提倡创新性和多样性，舞种不限，题材不限，以团体形式参赛，每参赛队伍需12人（含）以上，时长控制在5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参赛作品应紧扣时代旋律，积极传承和发扬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民族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传统器乐艺术，鼓励融入巴渝地区特色音乐元素的器乐作品。乐器种类不限，题材不限，以团体参演方式，每支参赛队伍需10人（含）以上，时长控制在5分钟以内。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时装表演。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参赛作品应富于时代气息，展示新时代老人积极向上的精神风貌，鼓励富有地方元素的原创设计服饰，以团体参演方式，每支参赛队伍需15人（含）以上，时长控制在5分钟以内。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五、参加赛事流程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大赛分预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、专家评审、择优推荐三个阶段进行。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（2025年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5月10日至6月10日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）。各镇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街道、区级有关部门、有关单位和有关社会团体择优推荐参赛作品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日前将推荐节目视频（录制环境安静无噪音，光照充足均匀。画面比例16：9横屏，视频大小不超过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G，分辨率1920*1080P，音频双声道即可）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2025年重庆市老年人才艺大赛万州区预选赛报名汇总表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》（附件1）《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17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25年重庆市老年人才艺大赛万州区预选赛参赛节目登记表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》（附件2）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报送至区老年活动中心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报送方式可线上或线下报送（线上报送邮箱835130555@qq.com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，线下报送地址：重庆市万州区白岩路297号老年活动中心冉素林；联系电话：58202527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（2025年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11日至6月30日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）。主办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组织专业评委团队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从参赛推荐的作品中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重点根据创意性、表演水平、舞台效果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原则上评出6个获奖作品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若参赛作品数量不足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根据实际情况调整获奖作品数量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），颁发预选赛荣誉证书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（三）择优推荐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（2025年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对获奖作品进行提升指导，并择优推荐参加2025年重庆市老年人才艺大赛。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本次片区赛评选一等奖1名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二等奖2名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等奖3名。对获奖节目颁发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七、其他有关事宜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（一）此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次片区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赛是贯彻落实习近平总书记关于老龄工作的重要指示批示精神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大力弘扬积极老龄观、健康老龄化新理念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展现老年人积极向上的精神风貌和艺术才华的具体举措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各镇街、区级有关部门、有关单位及相关社会团体要高度重视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加强组织领导和统筹协调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积极推荐优秀节目参赛。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镇乡街道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、区级有关部门、有关单位及相关社会团体要广泛宣传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加强组织指导辖区和系统老年群团组织,充分挖掘当地特色文化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、排练出高质量的节目参赛。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各参赛队伍推荐、创编、排练、录制节目等产生费用均为自理。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（四）此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片区预选赛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的所有规则、条款及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最终解释权归主办单位所有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冉素林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58202527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30" w:right="1055" w:firstLine="616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30" w:right="25" w:rightChars="0" w:firstLine="640" w:firstLineChars="200"/>
        <w:jc w:val="distribute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t>附件：1. 2</w:t>
      </w:r>
      <w:r>
        <w:rPr>
          <w:rFonts w:hint="default" w:ascii="Times New Roman" w:hAnsi="Times New Roman" w:eastAsia="方正仿宋_GBK" w:cs="Times New Roman"/>
          <w:color w:val="000000" w:themeColor="text1"/>
          <w:spacing w:val="-20"/>
          <w:sz w:val="32"/>
          <w14:textFill>
            <w14:solidFill>
              <w14:schemeClr w14:val="tx1"/>
            </w14:solidFill>
          </w14:textFill>
        </w:rPr>
        <w:t>025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pacing w:val="-20"/>
          <w:sz w:val="32"/>
          <w14:textFill>
            <w14:solidFill>
              <w14:schemeClr w14:val="tx1"/>
            </w14:solidFill>
          </w14:textFill>
        </w:rPr>
        <w:t>重庆市老年人才艺大赛万州区预选赛报名汇总表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Chars="765" w:right="25" w:rightChars="0"/>
        <w:jc w:val="distribute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20"/>
          <w:sz w:val="32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方正仿宋_GBK" w:cs="Times New Roman"/>
          <w:color w:val="000000" w:themeColor="text1"/>
          <w:spacing w:val="-34"/>
          <w:sz w:val="32"/>
          <w14:textFill>
            <w14:solidFill>
              <w14:schemeClr w14:val="tx1"/>
            </w14:solidFill>
          </w14:textFill>
        </w:rPr>
        <w:t>年重庆市老年人才艺大赛万州区预选赛参赛节目登记表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万州区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民政局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00" w:themeColor="text1"/>
          <w:spacing w:val="-23"/>
          <w:sz w:val="32"/>
          <w:szCs w:val="32"/>
          <w14:textFill>
            <w14:solidFill>
              <w14:schemeClr w14:val="tx1"/>
            </w14:solidFill>
          </w14:textFill>
        </w:rPr>
        <w:t>重庆市</w:t>
      </w:r>
      <w:r>
        <w:rPr>
          <w:rFonts w:hint="default" w:ascii="Times New Roman" w:hAnsi="Times New Roman" w:eastAsia="方正仿宋_GBK" w:cs="Times New Roman"/>
          <w:color w:val="000000" w:themeColor="text1"/>
          <w:spacing w:val="-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万州区</w:t>
      </w:r>
      <w:r>
        <w:rPr>
          <w:rFonts w:hint="default" w:ascii="Times New Roman" w:hAnsi="Times New Roman" w:eastAsia="方正仿宋_GBK" w:cs="Times New Roman"/>
          <w:color w:val="000000" w:themeColor="text1"/>
          <w:spacing w:val="-23"/>
          <w:sz w:val="32"/>
          <w:szCs w:val="32"/>
          <w14:textFill>
            <w14:solidFill>
              <w14:schemeClr w14:val="tx1"/>
            </w14:solidFill>
          </w14:textFill>
        </w:rPr>
        <w:t>老龄工作委员会办公</w:t>
      </w:r>
      <w:r>
        <w:rPr>
          <w:rFonts w:hint="default" w:ascii="Times New Roman" w:hAnsi="Times New Roman" w:eastAsia="方正仿宋_GBK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室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2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2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</w:rPr>
      </w:pPr>
    </w:p>
    <w:p>
      <w:pPr>
        <w:pStyle w:val="4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28"/>
          <w:sz w:val="32"/>
          <w:szCs w:val="32"/>
          <w14:textFill>
            <w14:solidFill>
              <w14:schemeClr w14:val="tx1"/>
            </w14:solidFill>
          </w14:textFill>
        </w:rPr>
        <w:t>重庆市</w:t>
      </w:r>
      <w:r>
        <w:rPr>
          <w:rFonts w:hint="default" w:ascii="Times New Roman" w:hAnsi="Times New Roman" w:eastAsia="方正仿宋_GBK" w:cs="Times New Roman"/>
          <w:color w:val="000000" w:themeColor="text1"/>
          <w:spacing w:val="-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万州区</w:t>
      </w:r>
      <w:r>
        <w:rPr>
          <w:rFonts w:hint="default" w:ascii="Times New Roman" w:hAnsi="Times New Roman" w:eastAsia="方正仿宋_GBK" w:cs="Times New Roman"/>
          <w:color w:val="000000" w:themeColor="text1"/>
          <w:spacing w:val="-28"/>
          <w:sz w:val="32"/>
          <w:szCs w:val="32"/>
          <w14:textFill>
            <w14:solidFill>
              <w14:schemeClr w14:val="tx1"/>
            </w14:solidFill>
          </w14:textFill>
        </w:rPr>
        <w:t>文化和旅游发展委员会</w:t>
      </w:r>
      <w:r>
        <w:rPr>
          <w:rFonts w:hint="default" w:ascii="Times New Roman" w:hAnsi="Times New Roman" w:eastAsia="方正仿宋_GBK" w:cs="Times New Roman"/>
          <w:color w:val="000000" w:themeColor="text1"/>
          <w:spacing w:val="-2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 w:themeColor="text1"/>
          <w:spacing w:val="-28"/>
          <w:sz w:val="32"/>
          <w:szCs w:val="32"/>
          <w14:textFill>
            <w14:solidFill>
              <w14:schemeClr w14:val="tx1"/>
            </w14:solidFill>
          </w14:textFill>
        </w:rPr>
        <w:t>重庆市</w:t>
      </w:r>
      <w:r>
        <w:rPr>
          <w:rFonts w:hint="default" w:ascii="Times New Roman" w:hAnsi="Times New Roman" w:eastAsia="方正仿宋_GBK" w:cs="Times New Roman"/>
          <w:color w:val="000000" w:themeColor="text1"/>
          <w:spacing w:val="-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万州区</w:t>
      </w:r>
      <w:r>
        <w:rPr>
          <w:rFonts w:hint="default" w:ascii="Times New Roman" w:hAnsi="Times New Roman" w:eastAsia="方正仿宋_GBK" w:cs="Times New Roman"/>
          <w:color w:val="000000" w:themeColor="text1"/>
          <w:spacing w:val="-28"/>
          <w:sz w:val="32"/>
          <w:szCs w:val="32"/>
          <w14:textFill>
            <w14:solidFill>
              <w14:schemeClr w14:val="tx1"/>
            </w14:solidFill>
          </w14:textFill>
        </w:rPr>
        <w:t>文学艺术界联合会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2002" w:firstLineChars="7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中国人寿保险股份有限公司</w:t>
      </w:r>
      <w:r>
        <w:rPr>
          <w:rFonts w:hint="default" w:ascii="Times New Roman" w:hAnsi="Times New Roman" w:eastAsia="方正仿宋_GBK" w:cs="Times New Roman"/>
          <w:color w:val="000000" w:themeColor="text1"/>
          <w:spacing w:val="-1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重庆万州支</w:t>
      </w:r>
      <w:r>
        <w:rPr>
          <w:rFonts w:hint="default" w:ascii="Times New Roman" w:hAnsi="Times New Roman" w:eastAsia="方正仿宋_GBK" w:cs="Times New Roman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1260"/>
        </w:tabs>
        <w:overflowPunct w:val="0"/>
        <w:spacing w:line="579" w:lineRule="exac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-6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-6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2025年重庆市老年人才艺大赛万州区预选赛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-6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-6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报名汇总表</w:t>
      </w:r>
    </w:p>
    <w:tbl>
      <w:tblPr>
        <w:tblStyle w:val="8"/>
        <w:tblW w:w="9627" w:type="dxa"/>
        <w:tblInd w:w="-3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280"/>
        <w:gridCol w:w="1307"/>
        <w:gridCol w:w="1320"/>
        <w:gridCol w:w="1853"/>
        <w:gridCol w:w="960"/>
        <w:gridCol w:w="907"/>
      </w:tblGrid>
      <w:tr>
        <w:trPr>
          <w:trHeight w:val="539" w:hRule="atLeast"/>
        </w:trPr>
        <w:tc>
          <w:tcPr>
            <w:tcW w:w="962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推荐单位：</w:t>
            </w:r>
          </w:p>
        </w:tc>
      </w:tr>
      <w:tr>
        <w:trPr>
          <w:trHeight w:val="924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参演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赛项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表演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创作或改编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节目</w:t>
            </w:r>
          </w:p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rPr>
          <w:trHeight w:val="106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760" w:firstLineChars="8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046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760" w:firstLineChars="8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164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113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074" w:hRule="atLeast"/>
        </w:trPr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单位盖章</w:t>
            </w:r>
          </w:p>
        </w:tc>
      </w:tr>
      <w:tr>
        <w:trPr>
          <w:trHeight w:val="987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电话（含手机）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72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79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地址（含邮编）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7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355" w:right="918" w:hanging="11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-17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-17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2025年重庆市老年人才艺大赛万州区预选赛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-17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-17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参赛节目登记表</w:t>
      </w:r>
    </w:p>
    <w:tbl>
      <w:tblPr>
        <w:tblStyle w:val="8"/>
        <w:tblW w:w="89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707"/>
        <w:gridCol w:w="182"/>
        <w:gridCol w:w="2372"/>
        <w:gridCol w:w="4345"/>
      </w:tblGrid>
      <w:tr>
        <w:trPr>
          <w:trHeight w:val="454" w:hRule="atLeast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推荐单位（盖章）：</w:t>
            </w:r>
          </w:p>
        </w:tc>
      </w:tr>
      <w:tr>
        <w:trPr>
          <w:trHeight w:val="454" w:hRule="atLeast"/>
        </w:trPr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节目名称：</w:t>
            </w:r>
          </w:p>
        </w:tc>
        <w:tc>
          <w:tcPr>
            <w:tcW w:w="6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80" w:firstLineChars="9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节目赛项：</w:t>
            </w:r>
          </w:p>
        </w:tc>
      </w:tr>
      <w:tr>
        <w:trPr>
          <w:cantSplit/>
          <w:trHeight w:val="376" w:hRule="atLeast"/>
        </w:trPr>
        <w:tc>
          <w:tcPr>
            <w:tcW w:w="8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表演者</w:t>
            </w:r>
          </w:p>
        </w:tc>
      </w:tr>
      <w:tr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</w:tr>
      <w:tr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501" w:hRule="atLeast"/>
        </w:trPr>
        <w:tc>
          <w:tcPr>
            <w:tcW w:w="8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创作（改编）者</w:t>
            </w:r>
          </w:p>
        </w:tc>
      </w:tr>
      <w:tr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创作或改编</w:t>
            </w: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501" w:hRule="atLeast"/>
        </w:trPr>
        <w:tc>
          <w:tcPr>
            <w:tcW w:w="8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辅导者</w:t>
            </w:r>
          </w:p>
        </w:tc>
      </w:tr>
      <w:tr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501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052" w:hRule="atLeast"/>
        </w:trPr>
        <w:tc>
          <w:tcPr>
            <w:tcW w:w="8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内容梗概或曲目简介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tbl>
      <w:tblPr>
        <w:tblStyle w:val="8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615" w:hRule="atLeast"/>
        </w:trPr>
        <w:tc>
          <w:tcPr>
            <w:tcW w:w="88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tabs>
                <w:tab w:val="left" w:pos="8232"/>
              </w:tabs>
              <w:spacing w:line="5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重庆市万州区民政局办公室        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日印发</w:t>
            </w:r>
          </w:p>
        </w:tc>
      </w:tr>
    </w:tbl>
    <w:p>
      <w:pPr>
        <w:pStyle w:val="2"/>
        <w:rPr>
          <w:rFonts w:hint="default"/>
        </w:rPr>
      </w:pPr>
    </w:p>
    <w:sectPr>
      <w:footerReference r:id="rId3" w:type="default"/>
      <w:pgSz w:w="11906" w:h="16838"/>
      <w:pgMar w:top="2098" w:right="1474" w:bottom="1984" w:left="1587" w:header="0" w:footer="85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">
    <w:altName w:val="汉仪君黑-35简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47625</wp:posOffset>
              </wp:positionV>
              <wp:extent cx="810260" cy="3543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10260" cy="354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0" w:leftChars="0" w:right="114" w:righ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75pt;height:27.9pt;width:63.8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CHJrlPVAAAABQEAAA8AAAAAAAAAAQAgAAAAOAAAAGRycy9kb3ducmV2Lnht&#10;bFBLAQIUABQAAAAIAIdO4kAbb8olHwIAACkEAAAOAAAAAAAAAAEAIAAAADo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left="0" w:leftChars="0" w:right="114" w:righ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72941"/>
    <w:multiLevelType w:val="singleLevel"/>
    <w:tmpl w:val="F677294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2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AA"/>
    <w:rsid w:val="00015FAA"/>
    <w:rsid w:val="001660A1"/>
    <w:rsid w:val="002918D2"/>
    <w:rsid w:val="00380420"/>
    <w:rsid w:val="00460F35"/>
    <w:rsid w:val="00485493"/>
    <w:rsid w:val="004C6DFB"/>
    <w:rsid w:val="00566E1B"/>
    <w:rsid w:val="005F7DBE"/>
    <w:rsid w:val="00643AF2"/>
    <w:rsid w:val="00655AE4"/>
    <w:rsid w:val="007C4E1E"/>
    <w:rsid w:val="007F14EC"/>
    <w:rsid w:val="00965098"/>
    <w:rsid w:val="009B7BCE"/>
    <w:rsid w:val="00B056B7"/>
    <w:rsid w:val="00B548A0"/>
    <w:rsid w:val="00BC6926"/>
    <w:rsid w:val="00BD133C"/>
    <w:rsid w:val="00C56CB6"/>
    <w:rsid w:val="00CB5A28"/>
    <w:rsid w:val="00D2093F"/>
    <w:rsid w:val="00E028DB"/>
    <w:rsid w:val="00F04822"/>
    <w:rsid w:val="00F0571A"/>
    <w:rsid w:val="00FA441A"/>
    <w:rsid w:val="00FB541C"/>
    <w:rsid w:val="0C686809"/>
    <w:rsid w:val="0D110968"/>
    <w:rsid w:val="16950B0A"/>
    <w:rsid w:val="19C16FB0"/>
    <w:rsid w:val="1EFF2FFD"/>
    <w:rsid w:val="1F096E77"/>
    <w:rsid w:val="1F366FA9"/>
    <w:rsid w:val="2387726D"/>
    <w:rsid w:val="23DB3E54"/>
    <w:rsid w:val="23F61A94"/>
    <w:rsid w:val="24752565"/>
    <w:rsid w:val="29B669AE"/>
    <w:rsid w:val="2F2F2626"/>
    <w:rsid w:val="4A9948F1"/>
    <w:rsid w:val="4CBB4158"/>
    <w:rsid w:val="57EA58F1"/>
    <w:rsid w:val="593A0225"/>
    <w:rsid w:val="66011048"/>
    <w:rsid w:val="674B6A9E"/>
    <w:rsid w:val="6D68651B"/>
    <w:rsid w:val="70E441FE"/>
    <w:rsid w:val="DFE6AC6D"/>
    <w:rsid w:val="E3F76C0F"/>
    <w:rsid w:val="F1F9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keepNext/>
      <w:keepLines/>
      <w:spacing w:line="259" w:lineRule="auto"/>
      <w:ind w:left="1354" w:right="917" w:hanging="10"/>
      <w:outlineLvl w:val="0"/>
    </w:pPr>
    <w:rPr>
      <w:rFonts w:ascii="微软雅黑" w:hAnsi="微软雅黑" w:eastAsia="微软雅黑" w:cs="微软雅黑"/>
      <w:color w:val="000000"/>
      <w:kern w:val="2"/>
      <w:sz w:val="38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qFormat/>
    <w:uiPriority w:val="1"/>
    <w:rPr>
      <w:rFonts w:ascii="PMingLiU" w:hAnsi="PMingLiU" w:eastAsia="PMingLiU" w:cs="PMingLiU"/>
      <w:sz w:val="32"/>
      <w:szCs w:val="32"/>
      <w:lang w:val="en-US" w:eastAsia="zh-CN" w:bidi="ar-SA"/>
    </w:rPr>
  </w:style>
  <w:style w:type="paragraph" w:customStyle="1" w:styleId="6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2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4"/>
    <w:qFormat/>
    <w:uiPriority w:val="9"/>
    <w:rPr>
      <w:rFonts w:ascii="微软雅黑" w:hAnsi="微软雅黑" w:eastAsia="微软雅黑" w:cs="微软雅黑"/>
      <w:color w:val="000000"/>
      <w:sz w:val="38"/>
    </w:rPr>
  </w:style>
  <w:style w:type="table" w:customStyle="1" w:styleId="13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2110</Words>
  <Characters>2225</Characters>
  <Lines>14</Lines>
  <Paragraphs>4</Paragraphs>
  <TotalTime>5</TotalTime>
  <ScaleCrop>false</ScaleCrop>
  <LinksUpToDate>false</LinksUpToDate>
  <CharactersWithSpaces>2252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2025-04-25T01:21:00Z</dcterms:created>
  <dc:creator>Administrator</dc:creator>
  <cp:lastModifiedBy>收文管理员</cp:lastModifiedBy>
  <cp:lastPrinted>2025-05-09T00:05:00Z</cp:lastPrinted>
  <dcterms:modified xsi:type="dcterms:W3CDTF">2025-05-12T09:22:39Z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eyJoZGlkIjoiZTg1OGNmYWU5ZjExYmFlMGJhNTQ3ODFjMzAxYzdlYmUiLCJ1c2VySWQiOiI4NjUzMDQyMTQifQ==</vt:lpwstr>
  </property>
  <property fmtid="{D5CDD505-2E9C-101B-9397-08002B2CF9AE}" pid="3" name="KSOProductBuildVer">
    <vt:lpwstr>2052-11.8.2.10125</vt:lpwstr>
  </property>
  <property fmtid="{D5CDD505-2E9C-101B-9397-08002B2CF9AE}" pid="4" name="ICV">
    <vt:lpwstr>342AE5B0759342BEB9C89E4584E075BF_13</vt:lpwstr>
  </property>
</Properties>
</file>