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center"/>
        <w:rPr>
          <w:rFonts w:hint="eastAsia" w:ascii="方正小标宋_GBK" w:eastAsia="方正小标宋_GBK"/>
          <w:color w:val="000000"/>
          <w:spacing w:val="-23"/>
          <w:sz w:val="44"/>
          <w:szCs w:val="44"/>
        </w:rPr>
      </w:pPr>
      <w:r>
        <w:rPr>
          <w:rFonts w:hint="eastAsia" w:ascii="方正小标宋_GBK" w:eastAsia="方正小标宋_GBK"/>
          <w:color w:val="000000"/>
          <w:spacing w:val="-23"/>
          <w:sz w:val="44"/>
          <w:szCs w:val="44"/>
        </w:rPr>
        <w:t>重庆市万州区城市提升指挥部城市管理组办公室关于印发“全民动手共同缔造山城美丽家园”</w:t>
      </w:r>
    </w:p>
    <w:p>
      <w:pPr>
        <w:keepNext w:val="0"/>
        <w:keepLines w:val="0"/>
        <w:pageBreakBefore w:val="0"/>
        <w:kinsoku/>
        <w:wordWrap/>
        <w:overflowPunct/>
        <w:topLinePunct w:val="0"/>
        <w:bidi w:val="0"/>
        <w:snapToGrid/>
        <w:spacing w:line="560" w:lineRule="exact"/>
        <w:jc w:val="center"/>
        <w:rPr>
          <w:rFonts w:hint="eastAsia" w:ascii="方正小标宋_GBK" w:eastAsia="方正小标宋_GBK"/>
          <w:color w:val="000000"/>
          <w:spacing w:val="-23"/>
          <w:sz w:val="44"/>
          <w:szCs w:val="44"/>
        </w:rPr>
      </w:pPr>
      <w:r>
        <w:rPr>
          <w:rFonts w:hint="eastAsia" w:ascii="方正小标宋_GBK" w:eastAsia="方正小标宋_GBK"/>
          <w:color w:val="000000"/>
          <w:spacing w:val="-23"/>
          <w:sz w:val="44"/>
          <w:szCs w:val="44"/>
        </w:rPr>
        <w:t>市容环境整治主题活动实施方案的通知</w:t>
      </w:r>
    </w:p>
    <w:p>
      <w:pPr>
        <w:pStyle w:val="2"/>
      </w:pPr>
    </w:p>
    <w:p>
      <w:pPr>
        <w:tabs>
          <w:tab w:val="left" w:pos="1230"/>
        </w:tabs>
        <w:spacing w:line="560" w:lineRule="exact"/>
        <w:jc w:val="center"/>
        <w:rPr>
          <w:rFonts w:ascii="方正仿宋_GBK" w:eastAsia="方正仿宋_GBK"/>
          <w:sz w:val="32"/>
        </w:rPr>
      </w:pPr>
      <w:r>
        <w:rPr>
          <w:rFonts w:hint="eastAsia" w:ascii="方正仿宋_GBK" w:eastAsia="方正仿宋_GBK"/>
          <w:color w:val="000000"/>
          <w:sz w:val="32"/>
          <w:szCs w:val="32"/>
        </w:rPr>
        <w:t>万州城管组办发〔2022〕</w:t>
      </w:r>
      <w:r>
        <w:rPr>
          <w:rFonts w:hint="eastAsia" w:ascii="方正仿宋_GBK" w:eastAsia="方正仿宋_GBK"/>
          <w:color w:val="000000"/>
          <w:sz w:val="32"/>
          <w:szCs w:val="32"/>
          <w:lang w:val="en-US" w:eastAsia="zh-CN"/>
        </w:rPr>
        <w:t>2</w:t>
      </w:r>
      <w:r>
        <w:rPr>
          <w:rFonts w:hint="eastAsia" w:ascii="方正仿宋_GBK" w:eastAsia="方正仿宋_GBK"/>
          <w:color w:val="000000"/>
          <w:sz w:val="32"/>
          <w:szCs w:val="32"/>
        </w:rPr>
        <w:t>号</w:t>
      </w:r>
    </w:p>
    <w:p>
      <w:pPr>
        <w:keepNext w:val="0"/>
        <w:keepLines w:val="0"/>
        <w:pageBreakBefore w:val="0"/>
        <w:kinsoku/>
        <w:wordWrap/>
        <w:overflowPunct/>
        <w:topLinePunct w:val="0"/>
        <w:bidi w:val="0"/>
        <w:snapToGrid/>
        <w:spacing w:line="560" w:lineRule="exact"/>
        <w:rPr>
          <w:rFonts w:eastAsia="方正仿宋_GBK"/>
          <w:sz w:val="32"/>
          <w:szCs w:val="32"/>
        </w:rPr>
      </w:pPr>
    </w:p>
    <w:p>
      <w:pPr>
        <w:keepNext w:val="0"/>
        <w:keepLines w:val="0"/>
        <w:pageBreakBefore w:val="0"/>
        <w:kinsoku/>
        <w:wordWrap/>
        <w:overflowPunct/>
        <w:topLinePunct w:val="0"/>
        <w:bidi w:val="0"/>
        <w:snapToGrid/>
        <w:spacing w:line="560" w:lineRule="exact"/>
        <w:rPr>
          <w:rFonts w:ascii="方正仿宋_GBK" w:eastAsia="方正仿宋_GBK"/>
          <w:sz w:val="32"/>
          <w:szCs w:val="32"/>
        </w:rPr>
      </w:pPr>
      <w:r>
        <w:rPr>
          <w:rFonts w:hint="eastAsia" w:eastAsia="方正仿宋_GBK"/>
          <w:sz w:val="32"/>
          <w:szCs w:val="32"/>
        </w:rPr>
        <w:t>各镇乡（民族乡）党委和人民政府，各街道党工委和办事处，</w:t>
      </w:r>
      <w:r>
        <w:rPr>
          <w:rFonts w:hint="eastAsia" w:ascii="方正仿宋_GBK" w:eastAsia="方正仿宋_GBK"/>
          <w:sz w:val="32"/>
          <w:szCs w:val="32"/>
        </w:rPr>
        <w:t>有关部门：</w:t>
      </w:r>
    </w:p>
    <w:p>
      <w:pPr>
        <w:pStyle w:val="7"/>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rPr>
          <w:rFonts w:ascii="方正仿宋_GBK" w:eastAsia="方正仿宋_GBK"/>
          <w:spacing w:val="-6"/>
          <w:sz w:val="32"/>
          <w:szCs w:val="32"/>
        </w:rPr>
      </w:pPr>
      <w:r>
        <w:rPr>
          <w:rFonts w:hint="eastAsia" w:ascii="方正仿宋_GBK" w:hAnsi="Tahoma" w:eastAsia="方正仿宋_GBK" w:cs="Tahoma"/>
          <w:sz w:val="32"/>
          <w:szCs w:val="32"/>
          <w:shd w:val="clear" w:color="auto" w:fill="FFFFFF"/>
        </w:rPr>
        <w:t>按照市委宣传部、市文明办、市城市管理局《关于印发“全民动手共同缔造山城美丽家园”主题活动工作方案的通知》（</w:t>
      </w:r>
      <w:r>
        <w:rPr>
          <w:rFonts w:hint="eastAsia" w:ascii="方正仿宋_GBK" w:eastAsia="方正仿宋_GBK"/>
          <w:sz w:val="32"/>
          <w:szCs w:val="32"/>
        </w:rPr>
        <w:t>渝城管局〔2021〕152号</w:t>
      </w:r>
      <w:r>
        <w:rPr>
          <w:rFonts w:hint="eastAsia" w:ascii="方正仿宋_GBK" w:hAnsi="Tahoma" w:eastAsia="方正仿宋_GBK" w:cs="Tahoma"/>
          <w:sz w:val="32"/>
          <w:szCs w:val="32"/>
          <w:shd w:val="clear" w:color="auto" w:fill="FFFFFF"/>
        </w:rPr>
        <w:t>）文件精神，</w:t>
      </w:r>
      <w:r>
        <w:rPr>
          <w:rFonts w:ascii="方正仿宋_GBK" w:hAnsi="Tahoma" w:eastAsia="方正仿宋_GBK" w:cs="Tahoma"/>
          <w:sz w:val="32"/>
          <w:szCs w:val="32"/>
          <w:shd w:val="clear" w:color="auto" w:fill="FFFFFF"/>
        </w:rPr>
        <w:t>我区将积极开展此项</w:t>
      </w:r>
      <w:r>
        <w:rPr>
          <w:rFonts w:hint="eastAsia" w:ascii="方正仿宋_GBK" w:hAnsi="Tahoma" w:eastAsia="方正仿宋_GBK" w:cs="Tahoma"/>
          <w:sz w:val="32"/>
          <w:szCs w:val="32"/>
          <w:shd w:val="clear" w:color="auto" w:fill="FFFFFF"/>
        </w:rPr>
        <w:t>活动，</w:t>
      </w:r>
      <w:r>
        <w:rPr>
          <w:rFonts w:hint="eastAsia" w:ascii="方正仿宋_GBK" w:eastAsia="方正仿宋_GBK"/>
          <w:spacing w:val="-6"/>
          <w:sz w:val="32"/>
          <w:szCs w:val="32"/>
        </w:rPr>
        <w:t>现将</w:t>
      </w:r>
      <w:r>
        <w:rPr>
          <w:rFonts w:hint="eastAsia" w:eastAsia="方正仿宋_GBK"/>
          <w:sz w:val="32"/>
          <w:szCs w:val="32"/>
        </w:rPr>
        <w:t>活动实施方案（见附件1）印发</w:t>
      </w:r>
      <w:r>
        <w:rPr>
          <w:rFonts w:hint="eastAsia" w:ascii="方正仿宋_GBK" w:eastAsia="方正仿宋_GBK"/>
          <w:spacing w:val="-6"/>
          <w:sz w:val="32"/>
          <w:szCs w:val="32"/>
        </w:rPr>
        <w:t>你们，请对照开展相关工作。</w:t>
      </w:r>
    </w:p>
    <w:p>
      <w:pPr>
        <w:pStyle w:val="7"/>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rPr>
          <w:rFonts w:ascii="方正仿宋_GBK" w:eastAsia="方正仿宋_GBK"/>
          <w:spacing w:val="-6"/>
          <w:sz w:val="32"/>
          <w:szCs w:val="32"/>
        </w:rPr>
      </w:pPr>
      <w:r>
        <w:rPr>
          <w:rFonts w:ascii="Times New Roman" w:hAnsi="Times New Roman" w:eastAsia="方正仿宋_GBK" w:cs="Times New Roman"/>
          <w:color w:val="auto"/>
          <w:kern w:val="2"/>
          <w:sz w:val="32"/>
        </w:rPr>
        <w:t>各</w:t>
      </w:r>
      <w:r>
        <w:rPr>
          <w:rFonts w:hint="eastAsia" w:ascii="Times New Roman" w:hAnsi="Times New Roman" w:eastAsia="方正仿宋_GBK" w:cs="Times New Roman"/>
          <w:color w:val="auto"/>
          <w:kern w:val="2"/>
          <w:sz w:val="32"/>
        </w:rPr>
        <w:t>单位</w:t>
      </w:r>
      <w:r>
        <w:rPr>
          <w:rFonts w:hint="eastAsia" w:ascii="Times New Roman" w:hAnsi="Times New Roman" w:eastAsia="方正仿宋_GBK" w:cs="Times New Roman"/>
          <w:color w:val="auto"/>
          <w:kern w:val="2"/>
          <w:sz w:val="32"/>
          <w:lang w:eastAsia="zh-CN"/>
        </w:rPr>
        <w:t>、各街道镇乡</w:t>
      </w:r>
      <w:r>
        <w:rPr>
          <w:rFonts w:hint="eastAsia" w:ascii="Times New Roman" w:hAnsi="Times New Roman" w:eastAsia="方正仿宋_GBK" w:cs="Times New Roman"/>
          <w:color w:val="auto"/>
          <w:kern w:val="2"/>
          <w:sz w:val="32"/>
        </w:rPr>
        <w:t>要确定专项工作联系人，每月汇总开展情况，于</w:t>
      </w:r>
      <w:r>
        <w:rPr>
          <w:rFonts w:ascii="Times New Roman" w:hAnsi="Times New Roman" w:eastAsia="方正仿宋_GBK" w:cs="Times New Roman"/>
          <w:color w:val="auto"/>
          <w:kern w:val="2"/>
          <w:sz w:val="32"/>
        </w:rPr>
        <w:t>每月</w:t>
      </w:r>
      <w:r>
        <w:rPr>
          <w:rFonts w:hint="eastAsia" w:ascii="Times New Roman" w:hAnsi="Times New Roman" w:eastAsia="方正仿宋_GBK" w:cs="Times New Roman"/>
          <w:color w:val="auto"/>
          <w:kern w:val="2"/>
          <w:sz w:val="32"/>
        </w:rPr>
        <w:t>28</w:t>
      </w:r>
      <w:r>
        <w:rPr>
          <w:rFonts w:ascii="Times New Roman" w:hAnsi="Times New Roman" w:eastAsia="方正仿宋_GBK" w:cs="Times New Roman"/>
          <w:color w:val="auto"/>
          <w:kern w:val="2"/>
          <w:sz w:val="32"/>
        </w:rPr>
        <w:t>日前</w:t>
      </w:r>
      <w:r>
        <w:rPr>
          <w:rFonts w:hint="eastAsia" w:ascii="Times New Roman" w:hAnsi="Times New Roman" w:eastAsia="方正仿宋_GBK" w:cs="Times New Roman"/>
          <w:color w:val="auto"/>
          <w:kern w:val="2"/>
          <w:sz w:val="32"/>
        </w:rPr>
        <w:t>将主题活动月度情况统计表（见附件2）</w:t>
      </w:r>
      <w:r>
        <w:rPr>
          <w:rFonts w:ascii="Times New Roman" w:hAnsi="Times New Roman" w:eastAsia="方正仿宋_GBK" w:cs="Times New Roman"/>
          <w:color w:val="auto"/>
          <w:kern w:val="2"/>
          <w:sz w:val="32"/>
        </w:rPr>
        <w:t>报送</w:t>
      </w:r>
      <w:r>
        <w:rPr>
          <w:rFonts w:hint="eastAsia" w:ascii="Times New Roman" w:hAnsi="Times New Roman" w:eastAsia="方正仿宋_GBK" w:cs="Times New Roman"/>
          <w:color w:val="auto"/>
          <w:kern w:val="2"/>
          <w:sz w:val="32"/>
        </w:rPr>
        <w:t>区城市管理局</w:t>
      </w:r>
      <w:r>
        <w:rPr>
          <w:rFonts w:ascii="Times New Roman" w:hAnsi="Times New Roman" w:eastAsia="方正仿宋_GBK" w:cs="Times New Roman"/>
          <w:color w:val="auto"/>
          <w:kern w:val="2"/>
          <w:sz w:val="32"/>
        </w:rPr>
        <w:t>，并在202</w:t>
      </w:r>
      <w:r>
        <w:rPr>
          <w:rFonts w:hint="eastAsia" w:ascii="Times New Roman" w:hAnsi="Times New Roman" w:eastAsia="方正仿宋_GBK" w:cs="Times New Roman"/>
          <w:color w:val="auto"/>
          <w:kern w:val="2"/>
          <w:sz w:val="32"/>
        </w:rPr>
        <w:t>2</w:t>
      </w:r>
      <w:r>
        <w:rPr>
          <w:rFonts w:ascii="Times New Roman" w:hAnsi="Times New Roman" w:eastAsia="方正仿宋_GBK" w:cs="Times New Roman"/>
          <w:color w:val="auto"/>
          <w:kern w:val="2"/>
          <w:sz w:val="32"/>
        </w:rPr>
        <w:t>年1</w:t>
      </w:r>
      <w:r>
        <w:rPr>
          <w:rFonts w:hint="eastAsia" w:ascii="Times New Roman" w:hAnsi="Times New Roman" w:eastAsia="方正仿宋_GBK" w:cs="Times New Roman"/>
          <w:color w:val="auto"/>
          <w:kern w:val="2"/>
          <w:sz w:val="32"/>
        </w:rPr>
        <w:t>0</w:t>
      </w:r>
      <w:r>
        <w:rPr>
          <w:rFonts w:ascii="Times New Roman" w:hAnsi="Times New Roman" w:eastAsia="方正仿宋_GBK" w:cs="Times New Roman"/>
          <w:color w:val="auto"/>
          <w:kern w:val="2"/>
          <w:sz w:val="32"/>
        </w:rPr>
        <w:t>月</w:t>
      </w:r>
      <w:r>
        <w:rPr>
          <w:rFonts w:hint="eastAsia" w:ascii="Times New Roman" w:hAnsi="Times New Roman" w:eastAsia="方正仿宋_GBK" w:cs="Times New Roman"/>
          <w:color w:val="auto"/>
          <w:kern w:val="2"/>
          <w:sz w:val="32"/>
        </w:rPr>
        <w:t>31</w:t>
      </w:r>
      <w:r>
        <w:rPr>
          <w:rFonts w:ascii="Times New Roman" w:hAnsi="Times New Roman" w:eastAsia="方正仿宋_GBK" w:cs="Times New Roman"/>
          <w:color w:val="auto"/>
          <w:kern w:val="2"/>
          <w:sz w:val="32"/>
        </w:rPr>
        <w:t>日前报送</w:t>
      </w:r>
      <w:r>
        <w:rPr>
          <w:rFonts w:hint="eastAsia" w:ascii="Times New Roman" w:hAnsi="Times New Roman" w:eastAsia="方正仿宋_GBK" w:cs="Times New Roman"/>
          <w:color w:val="auto"/>
          <w:kern w:val="2"/>
          <w:sz w:val="32"/>
        </w:rPr>
        <w:t>主题</w:t>
      </w:r>
      <w:r>
        <w:rPr>
          <w:rFonts w:ascii="Times New Roman" w:hAnsi="Times New Roman" w:eastAsia="方正仿宋_GBK" w:cs="Times New Roman"/>
          <w:color w:val="auto"/>
          <w:kern w:val="2"/>
          <w:sz w:val="32"/>
        </w:rPr>
        <w:t>活动总结</w:t>
      </w:r>
      <w:r>
        <w:rPr>
          <w:rFonts w:hint="eastAsia" w:ascii="Times New Roman" w:hAnsi="Times New Roman" w:eastAsia="方正仿宋_GBK" w:cs="Times New Roman"/>
          <w:color w:val="auto"/>
          <w:kern w:val="2"/>
          <w:sz w:val="32"/>
        </w:rPr>
        <w:t>。（联系人：冉栋文，电话：58136197，17318286168，电子邮箱：cqwzczk@163.com）。</w:t>
      </w:r>
    </w:p>
    <w:p>
      <w:pPr>
        <w:keepNext w:val="0"/>
        <w:keepLines w:val="0"/>
        <w:pageBreakBefore w:val="0"/>
        <w:kinsoku/>
        <w:wordWrap/>
        <w:overflowPunct/>
        <w:topLinePunct w:val="0"/>
        <w:bidi w:val="0"/>
        <w:snapToGrid/>
        <w:spacing w:line="560" w:lineRule="exact"/>
        <w:ind w:firstLine="630"/>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697" w:leftChars="456" w:hanging="739" w:hangingChars="231"/>
        <w:jc w:val="left"/>
        <w:textAlignment w:val="auto"/>
        <w:rPr>
          <w:rFonts w:ascii="方正仿宋_GBK" w:eastAsia="方正仿宋_GBK"/>
          <w:sz w:val="32"/>
          <w:szCs w:val="32"/>
        </w:rPr>
      </w:pPr>
      <w:r>
        <w:rPr>
          <w:rFonts w:hint="eastAsia" w:ascii="方正仿宋_GBK" w:eastAsia="方正仿宋_GBK"/>
          <w:sz w:val="32"/>
          <w:szCs w:val="32"/>
          <w:lang w:eastAsia="zh-CN"/>
        </w:rPr>
        <w:t>附件</w:t>
      </w:r>
      <w:r>
        <w:rPr>
          <w:rFonts w:hint="eastAsia" w:ascii="方正仿宋_GBK" w:eastAsia="方正仿宋_GBK"/>
          <w:sz w:val="32"/>
          <w:szCs w:val="32"/>
        </w:rPr>
        <w:t>1</w:t>
      </w:r>
      <w:r>
        <w:rPr>
          <w:rFonts w:hint="eastAsia" w:ascii="方正仿宋_GBK" w:eastAsia="方正仿宋_GBK"/>
          <w:sz w:val="32"/>
          <w:szCs w:val="32"/>
          <w:lang w:val="en-US" w:eastAsia="zh-CN"/>
        </w:rPr>
        <w:t>.</w:t>
      </w:r>
      <w:r>
        <w:rPr>
          <w:rFonts w:hint="eastAsia" w:ascii="方正仿宋_GBK" w:eastAsia="方正仿宋_GBK"/>
          <w:color w:val="000000"/>
          <w:sz w:val="32"/>
          <w:szCs w:val="32"/>
        </w:rPr>
        <w:t>万州区“全民动手共同缔造山城美丽家园”市容环境整治主题活动工作方案</w:t>
      </w:r>
    </w:p>
    <w:p>
      <w:pPr>
        <w:pStyle w:val="7"/>
        <w:keepNext w:val="0"/>
        <w:keepLines w:val="0"/>
        <w:pageBreakBefore w:val="0"/>
        <w:widowControl w:val="0"/>
        <w:kinsoku/>
        <w:wordWrap/>
        <w:overflowPunct/>
        <w:topLinePunct w:val="0"/>
        <w:bidi w:val="0"/>
        <w:snapToGrid/>
        <w:spacing w:before="0" w:beforeAutospacing="0" w:after="0" w:afterAutospacing="0" w:line="560" w:lineRule="exact"/>
        <w:ind w:left="1680" w:leftChars="800" w:firstLine="0" w:firstLineChars="0"/>
        <w:jc w:val="left"/>
        <w:rPr>
          <w:rFonts w:hint="eastAsia"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lang w:val="en-US" w:eastAsia="zh-CN"/>
        </w:rPr>
        <w:t>2.</w:t>
      </w:r>
      <w:r>
        <w:rPr>
          <w:rFonts w:hint="eastAsia" w:ascii="方正仿宋_GBK" w:hAnsi="Times New Roman" w:eastAsia="方正仿宋_GBK" w:cs="Times New Roman"/>
          <w:kern w:val="2"/>
          <w:sz w:val="32"/>
          <w:szCs w:val="32"/>
        </w:rPr>
        <w:t>“全民动手共同缔造山城美丽家园”主题活动月度情况统计表</w:t>
      </w:r>
    </w:p>
    <w:p>
      <w:pPr>
        <w:pStyle w:val="7"/>
        <w:keepNext w:val="0"/>
        <w:keepLines w:val="0"/>
        <w:pageBreakBefore w:val="0"/>
        <w:widowControl w:val="0"/>
        <w:kinsoku/>
        <w:wordWrap/>
        <w:overflowPunct/>
        <w:topLinePunct w:val="0"/>
        <w:bidi w:val="0"/>
        <w:snapToGrid/>
        <w:spacing w:before="0" w:beforeAutospacing="0" w:after="0" w:afterAutospacing="0" w:line="560" w:lineRule="exact"/>
        <w:ind w:left="1693" w:leftChars="800" w:hanging="13" w:firstLineChars="0"/>
        <w:jc w:val="left"/>
        <w:rPr>
          <w:rFonts w:hint="default" w:ascii="方正仿宋_GBK" w:hAnsi="Times New Roman" w:eastAsia="方正仿宋_GBK" w:cs="Times New Roman"/>
          <w:kern w:val="2"/>
          <w:sz w:val="32"/>
          <w:szCs w:val="32"/>
          <w:lang w:val="en-US" w:eastAsia="zh-CN"/>
        </w:rPr>
      </w:pPr>
      <w:r>
        <w:rPr>
          <w:rFonts w:hint="eastAsia" w:ascii="方正仿宋_GBK" w:hAnsi="Times New Roman" w:eastAsia="方正仿宋_GBK" w:cs="Times New Roman"/>
          <w:kern w:val="2"/>
          <w:sz w:val="32"/>
          <w:szCs w:val="32"/>
          <w:lang w:val="en-US" w:eastAsia="zh-CN"/>
        </w:rPr>
        <w:t>3.“全民动手共同缔造山城美丽家园”亮点项目清单</w:t>
      </w:r>
    </w:p>
    <w:p>
      <w:pPr>
        <w:pStyle w:val="2"/>
        <w:keepNext w:val="0"/>
        <w:keepLines w:val="0"/>
        <w:pageBreakBefore w:val="0"/>
        <w:kinsoku/>
        <w:wordWrap/>
        <w:overflowPunct/>
        <w:topLinePunct w:val="0"/>
        <w:bidi w:val="0"/>
        <w:snapToGrid/>
        <w:spacing w:line="560" w:lineRule="exact"/>
        <w:ind w:left="0" w:leftChars="0" w:right="210"/>
        <w:rPr>
          <w:rFonts w:eastAsia="方正仿宋_GBK"/>
          <w:sz w:val="32"/>
          <w:szCs w:val="32"/>
        </w:rPr>
      </w:pPr>
    </w:p>
    <w:p>
      <w:pPr>
        <w:pStyle w:val="2"/>
        <w:keepNext w:val="0"/>
        <w:keepLines w:val="0"/>
        <w:pageBreakBefore w:val="0"/>
        <w:kinsoku/>
        <w:wordWrap/>
        <w:overflowPunct/>
        <w:topLinePunct w:val="0"/>
        <w:bidi w:val="0"/>
        <w:snapToGrid/>
        <w:spacing w:line="560" w:lineRule="exact"/>
        <w:ind w:left="0" w:leftChars="0" w:right="210"/>
        <w:rPr>
          <w:rFonts w:eastAsia="方正仿宋_GBK"/>
          <w:sz w:val="32"/>
          <w:szCs w:val="32"/>
        </w:rPr>
      </w:pPr>
    </w:p>
    <w:p>
      <w:pPr>
        <w:pStyle w:val="2"/>
        <w:keepNext w:val="0"/>
        <w:keepLines w:val="0"/>
        <w:pageBreakBefore w:val="0"/>
        <w:kinsoku/>
        <w:wordWrap/>
        <w:overflowPunct/>
        <w:topLinePunct w:val="0"/>
        <w:bidi w:val="0"/>
        <w:snapToGrid/>
        <w:spacing w:line="560" w:lineRule="exact"/>
        <w:ind w:left="0" w:leftChars="0" w:right="210"/>
        <w:rPr>
          <w:rFonts w:eastAsia="方正仿宋_GBK"/>
          <w:sz w:val="32"/>
          <w:szCs w:val="32"/>
        </w:rPr>
      </w:pPr>
    </w:p>
    <w:p>
      <w:pPr>
        <w:keepNext w:val="0"/>
        <w:keepLines w:val="0"/>
        <w:pageBreakBefore w:val="0"/>
        <w:kinsoku/>
        <w:wordWrap/>
        <w:overflowPunct/>
        <w:topLinePunct w:val="0"/>
        <w:bidi w:val="0"/>
        <w:snapToGrid/>
        <w:spacing w:line="560" w:lineRule="exact"/>
        <w:jc w:val="center"/>
        <w:rPr>
          <w:rFonts w:eastAsia="方正仿宋_GBK"/>
          <w:sz w:val="32"/>
          <w:szCs w:val="32"/>
        </w:rPr>
      </w:pPr>
      <w:r>
        <w:rPr>
          <w:rFonts w:eastAsia="方正仿宋_GBK"/>
          <w:sz w:val="32"/>
          <w:szCs w:val="32"/>
        </w:rPr>
        <w:t xml:space="preserve">                  重庆市万州区城市管理局（代章）</w:t>
      </w:r>
    </w:p>
    <w:p>
      <w:pPr>
        <w:keepNext w:val="0"/>
        <w:keepLines w:val="0"/>
        <w:pageBreakBefore w:val="0"/>
        <w:kinsoku/>
        <w:wordWrap/>
        <w:overflowPunct/>
        <w:topLinePunct w:val="0"/>
        <w:bidi w:val="0"/>
        <w:snapToGrid/>
        <w:spacing w:line="560" w:lineRule="exact"/>
        <w:ind w:firstLine="64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2022年1月 10 日</w:t>
      </w:r>
    </w:p>
    <w:p>
      <w:pPr>
        <w:pStyle w:val="2"/>
        <w:keepNext w:val="0"/>
        <w:keepLines w:val="0"/>
        <w:pageBreakBefore w:val="0"/>
        <w:kinsoku/>
        <w:wordWrap/>
        <w:overflowPunct/>
        <w:topLinePunct w:val="0"/>
        <w:bidi w:val="0"/>
        <w:snapToGrid/>
        <w:spacing w:line="560" w:lineRule="exact"/>
        <w:ind w:left="210" w:right="210" w:firstLine="640" w:firstLineChars="200"/>
        <w:rPr>
          <w:rFonts w:hint="eastAsia" w:eastAsia="方正仿宋_GBK"/>
          <w:sz w:val="32"/>
          <w:szCs w:val="32"/>
          <w:lang w:val="en-US" w:eastAsia="zh-CN"/>
        </w:rPr>
      </w:pPr>
      <w:r>
        <w:rPr>
          <w:rFonts w:hint="eastAsia" w:eastAsia="方正仿宋_GBK"/>
          <w:sz w:val="32"/>
          <w:szCs w:val="32"/>
          <w:lang w:val="en-US" w:eastAsia="zh-CN"/>
        </w:rPr>
        <w:t>（此件公开发布）</w:t>
      </w:r>
    </w:p>
    <w:p>
      <w:pPr>
        <w:pStyle w:val="2"/>
        <w:keepNext w:val="0"/>
        <w:keepLines w:val="0"/>
        <w:pageBreakBefore w:val="0"/>
        <w:kinsoku/>
        <w:wordWrap/>
        <w:overflowPunct/>
        <w:topLinePunct w:val="0"/>
        <w:bidi w:val="0"/>
        <w:snapToGrid/>
        <w:spacing w:line="560" w:lineRule="exact"/>
        <w:ind w:left="210" w:right="210"/>
        <w:rPr>
          <w:rFonts w:eastAsia="方正仿宋_GBK"/>
          <w:sz w:val="32"/>
          <w:szCs w:val="32"/>
        </w:rPr>
      </w:pPr>
    </w:p>
    <w:p>
      <w:pPr>
        <w:pStyle w:val="2"/>
        <w:keepNext w:val="0"/>
        <w:keepLines w:val="0"/>
        <w:pageBreakBefore w:val="0"/>
        <w:kinsoku/>
        <w:wordWrap/>
        <w:overflowPunct/>
        <w:topLinePunct w:val="0"/>
        <w:bidi w:val="0"/>
        <w:snapToGrid/>
        <w:spacing w:line="560" w:lineRule="exact"/>
        <w:ind w:left="210" w:right="210"/>
        <w:rPr>
          <w:rFonts w:eastAsia="方正仿宋_GBK"/>
          <w:sz w:val="32"/>
          <w:szCs w:val="32"/>
        </w:rPr>
      </w:pPr>
    </w:p>
    <w:p>
      <w:pPr>
        <w:pStyle w:val="2"/>
        <w:keepNext w:val="0"/>
        <w:keepLines w:val="0"/>
        <w:pageBreakBefore w:val="0"/>
        <w:kinsoku/>
        <w:wordWrap/>
        <w:overflowPunct/>
        <w:topLinePunct w:val="0"/>
        <w:bidi w:val="0"/>
        <w:snapToGrid/>
        <w:spacing w:line="560" w:lineRule="exact"/>
        <w:ind w:left="210" w:right="210"/>
        <w:rPr>
          <w:rFonts w:eastAsia="方正仿宋_GBK"/>
          <w:sz w:val="32"/>
          <w:szCs w:val="32"/>
        </w:rPr>
      </w:pPr>
    </w:p>
    <w:p>
      <w:pPr>
        <w:pStyle w:val="2"/>
        <w:keepNext w:val="0"/>
        <w:keepLines w:val="0"/>
        <w:pageBreakBefore w:val="0"/>
        <w:kinsoku/>
        <w:wordWrap/>
        <w:overflowPunct/>
        <w:topLinePunct w:val="0"/>
        <w:bidi w:val="0"/>
        <w:snapToGrid/>
        <w:spacing w:line="560" w:lineRule="exact"/>
        <w:ind w:left="210" w:right="210"/>
        <w:rPr>
          <w:rFonts w:eastAsia="方正仿宋_GBK"/>
          <w:sz w:val="32"/>
          <w:szCs w:val="32"/>
        </w:rPr>
        <w:sectPr>
          <w:footerReference r:id="rId3" w:type="default"/>
          <w:footerReference r:id="rId4" w:type="even"/>
          <w:pgSz w:w="11906" w:h="16838"/>
          <w:pgMar w:top="1440" w:right="1800" w:bottom="1440" w:left="1800" w:header="1417" w:footer="1134" w:gutter="0"/>
          <w:cols w:space="0" w:num="1"/>
          <w:rtlGutter w:val="0"/>
          <w:docGrid w:type="lines" w:linePitch="312" w:charSpace="0"/>
        </w:sectPr>
      </w:pPr>
    </w:p>
    <w:p>
      <w:pPr>
        <w:pStyle w:val="2"/>
        <w:keepNext w:val="0"/>
        <w:keepLines w:val="0"/>
        <w:pageBreakBefore w:val="0"/>
        <w:kinsoku/>
        <w:wordWrap/>
        <w:overflowPunct/>
        <w:topLinePunct w:val="0"/>
        <w:bidi w:val="0"/>
        <w:snapToGrid/>
        <w:spacing w:line="560" w:lineRule="exact"/>
        <w:ind w:left="0" w:leftChars="0" w:right="210" w:firstLine="0" w:firstLineChars="0"/>
        <w:rPr>
          <w:rFonts w:hint="eastAsia" w:ascii="方正黑体_GBK" w:hAnsi="方正黑体_GBK" w:eastAsia="方正黑体_GBK" w:cs="方正黑体_GBK"/>
          <w:sz w:val="28"/>
          <w:szCs w:val="28"/>
          <w:lang w:val="en-US" w:eastAsia="zh-CN"/>
        </w:rPr>
      </w:pPr>
      <w:bookmarkStart w:id="0" w:name="_GoBack"/>
      <w:bookmarkEnd w:id="0"/>
      <w:r>
        <w:rPr>
          <w:rFonts w:hint="eastAsia" w:ascii="方正黑体_GBK" w:hAnsi="方正黑体_GBK" w:eastAsia="方正黑体_GBK" w:cs="方正黑体_GBK"/>
          <w:sz w:val="28"/>
          <w:szCs w:val="28"/>
          <w:lang w:eastAsia="zh-CN"/>
        </w:rPr>
        <w:t>附件</w:t>
      </w:r>
      <w:r>
        <w:rPr>
          <w:rFonts w:hint="eastAsia" w:ascii="方正黑体_GBK" w:hAnsi="方正黑体_GBK" w:eastAsia="方正黑体_GBK" w:cs="方正黑体_GBK"/>
          <w:sz w:val="28"/>
          <w:szCs w:val="28"/>
          <w:lang w:val="en-US" w:eastAsia="zh-CN"/>
        </w:rPr>
        <w:t>1</w:t>
      </w:r>
    </w:p>
    <w:p>
      <w:pPr>
        <w:keepNext w:val="0"/>
        <w:keepLines w:val="0"/>
        <w:pageBreakBefore w:val="0"/>
        <w:kinsoku/>
        <w:wordWrap/>
        <w:overflowPunct/>
        <w:topLinePunct w:val="0"/>
        <w:bidi w:val="0"/>
        <w:snapToGrid/>
        <w:spacing w:line="560" w:lineRule="exact"/>
        <w:jc w:val="center"/>
        <w:rPr>
          <w:rFonts w:hint="eastAsia" w:ascii="方正小标宋_GBK" w:eastAsia="方正小标宋_GBK"/>
          <w:color w:val="000000"/>
          <w:spacing w:val="-23"/>
          <w:sz w:val="44"/>
          <w:szCs w:val="44"/>
        </w:rPr>
      </w:pPr>
    </w:p>
    <w:p>
      <w:pPr>
        <w:keepNext w:val="0"/>
        <w:keepLines w:val="0"/>
        <w:pageBreakBefore w:val="0"/>
        <w:kinsoku/>
        <w:wordWrap/>
        <w:overflowPunct/>
        <w:topLinePunct w:val="0"/>
        <w:bidi w:val="0"/>
        <w:snapToGrid/>
        <w:spacing w:line="560" w:lineRule="exact"/>
        <w:jc w:val="center"/>
        <w:rPr>
          <w:rFonts w:ascii="方正小标宋_GBK" w:eastAsia="方正小标宋_GBK"/>
          <w:sz w:val="44"/>
          <w:szCs w:val="44"/>
        </w:rPr>
      </w:pPr>
      <w:r>
        <w:rPr>
          <w:rFonts w:hint="eastAsia" w:ascii="方正小标宋_GBK" w:eastAsia="方正小标宋_GBK"/>
          <w:color w:val="000000"/>
          <w:spacing w:val="-23"/>
          <w:sz w:val="44"/>
          <w:szCs w:val="44"/>
        </w:rPr>
        <w:t>万州区</w:t>
      </w:r>
      <w:r>
        <w:rPr>
          <w:rFonts w:hint="eastAsia" w:ascii="方正小标宋_GBK" w:eastAsia="方正小标宋_GBK"/>
          <w:sz w:val="44"/>
          <w:szCs w:val="44"/>
        </w:rPr>
        <w:t>“全民动手共同缔造山城美丽家园”</w:t>
      </w:r>
    </w:p>
    <w:p>
      <w:pPr>
        <w:keepNext w:val="0"/>
        <w:keepLines w:val="0"/>
        <w:pageBreakBefore w:val="0"/>
        <w:kinsoku/>
        <w:wordWrap/>
        <w:overflowPunct/>
        <w:topLinePunct w:val="0"/>
        <w:bidi w:val="0"/>
        <w:snapToGrid/>
        <w:spacing w:line="560" w:lineRule="exact"/>
        <w:jc w:val="center"/>
        <w:rPr>
          <w:rFonts w:ascii="方正小标宋_GBK" w:eastAsia="方正小标宋_GBK"/>
          <w:sz w:val="44"/>
          <w:szCs w:val="44"/>
        </w:rPr>
      </w:pPr>
      <w:r>
        <w:rPr>
          <w:rFonts w:hint="eastAsia" w:ascii="方正小标宋_GBK" w:eastAsia="方正小标宋_GBK"/>
          <w:color w:val="000000"/>
          <w:spacing w:val="-23"/>
          <w:sz w:val="44"/>
          <w:szCs w:val="44"/>
        </w:rPr>
        <w:t>市容环境整治主题活动</w:t>
      </w:r>
      <w:r>
        <w:rPr>
          <w:rFonts w:hint="eastAsia" w:ascii="方正小标宋_GBK" w:eastAsia="方正小标宋_GBK"/>
          <w:sz w:val="44"/>
          <w:szCs w:val="44"/>
        </w:rPr>
        <w:t>工作方案</w:t>
      </w:r>
    </w:p>
    <w:p>
      <w:pPr>
        <w:pStyle w:val="19"/>
        <w:keepNext w:val="0"/>
        <w:keepLines w:val="0"/>
        <w:pageBreakBefore w:val="0"/>
        <w:kinsoku/>
        <w:wordWrap/>
        <w:overflowPunct/>
        <w:topLinePunct w:val="0"/>
        <w:bidi w:val="0"/>
        <w:snapToGrid/>
        <w:spacing w:line="560" w:lineRule="exact"/>
        <w:rPr>
          <w:rFonts w:ascii="方正仿宋_GBK" w:eastAsia="方正仿宋_GBK"/>
          <w:sz w:val="32"/>
          <w:szCs w:val="32"/>
        </w:rPr>
      </w:pPr>
    </w:p>
    <w:p>
      <w:pPr>
        <w:keepNext w:val="0"/>
        <w:keepLines w:val="0"/>
        <w:pageBreakBefore w:val="0"/>
        <w:kinsoku/>
        <w:wordWrap/>
        <w:overflowPunct/>
        <w:topLinePunct w:val="0"/>
        <w:bidi w:val="0"/>
        <w:snapToGrid/>
        <w:spacing w:line="560" w:lineRule="exact"/>
        <w:ind w:firstLine="640"/>
        <w:rPr>
          <w:rFonts w:ascii="方正仿宋_GBK" w:eastAsia="方正仿宋_GBK"/>
          <w:sz w:val="32"/>
          <w:szCs w:val="32"/>
        </w:rPr>
      </w:pPr>
      <w:r>
        <w:rPr>
          <w:rFonts w:hint="eastAsia" w:ascii="方正仿宋_GBK" w:eastAsia="方正仿宋_GBK"/>
          <w:sz w:val="32"/>
          <w:szCs w:val="32"/>
        </w:rPr>
        <w:t>为深入践行“人民城市人民建，人民城市为人民”理念，顺应人民群众对美好环境和幸福生活的新期待，加快打造生态优先绿色发展示范区、</w:t>
      </w:r>
      <w:r>
        <w:rPr>
          <w:rFonts w:ascii="方正仿宋_GBK" w:eastAsia="方正仿宋_GBK"/>
          <w:sz w:val="32"/>
          <w:szCs w:val="32"/>
        </w:rPr>
        <w:t>建设全国性综合交通物流枢纽、提升区域中心城市功能、建设三峡库区经济中心</w:t>
      </w:r>
      <w:r>
        <w:rPr>
          <w:rFonts w:hint="eastAsia" w:ascii="方正仿宋_GBK" w:eastAsia="方正仿宋_GBK"/>
          <w:sz w:val="32"/>
          <w:szCs w:val="32"/>
        </w:rPr>
        <w:t>，</w:t>
      </w:r>
      <w:r>
        <w:rPr>
          <w:rFonts w:hint="eastAsia" w:ascii="方正仿宋_GBK" w:eastAsia="方正仿宋_GBK"/>
          <w:sz w:val="32"/>
          <w:szCs w:val="32"/>
          <w:lang w:eastAsia="zh-CN"/>
        </w:rPr>
        <w:t>共同创建成为“全国文明城区”，</w:t>
      </w:r>
      <w:r>
        <w:rPr>
          <w:rFonts w:hint="eastAsia" w:ascii="方正仿宋_GBK" w:eastAsia="方正仿宋_GBK"/>
          <w:sz w:val="32"/>
          <w:szCs w:val="32"/>
        </w:rPr>
        <w:t>将在全</w:t>
      </w:r>
      <w:r>
        <w:rPr>
          <w:rFonts w:ascii="方正仿宋_GBK" w:eastAsia="方正仿宋_GBK"/>
          <w:sz w:val="32"/>
          <w:szCs w:val="32"/>
        </w:rPr>
        <w:t>区</w:t>
      </w:r>
      <w:r>
        <w:rPr>
          <w:rFonts w:hint="eastAsia" w:ascii="方正仿宋_GBK" w:eastAsia="方正仿宋_GBK"/>
          <w:sz w:val="32"/>
          <w:szCs w:val="32"/>
        </w:rPr>
        <w:t>联合开展“全民动手共同缔造山城美丽家园”市容环境整治主题活动（以下简称主题活动），动员广大市民参与山城美丽家园建设，共同缔造美好环境，提升城市品质，现结合万州区实际制定工作方案。</w:t>
      </w:r>
    </w:p>
    <w:p>
      <w:pPr>
        <w:keepNext w:val="0"/>
        <w:keepLines w:val="0"/>
        <w:pageBreakBefore w:val="0"/>
        <w:kinsoku/>
        <w:wordWrap/>
        <w:overflowPunct/>
        <w:topLinePunct w:val="0"/>
        <w:bidi w:val="0"/>
        <w:snapToGrid/>
        <w:spacing w:line="560" w:lineRule="exact"/>
        <w:ind w:firstLine="640"/>
        <w:rPr>
          <w:rFonts w:ascii="方正黑体_GBK" w:hAnsi="微软雅黑" w:eastAsia="方正黑体_GBK" w:cs="宋体"/>
          <w:color w:val="000000"/>
          <w:kern w:val="0"/>
          <w:sz w:val="32"/>
          <w:szCs w:val="32"/>
        </w:rPr>
      </w:pPr>
      <w:r>
        <w:rPr>
          <w:rFonts w:hint="eastAsia" w:ascii="方正黑体_GBK" w:hAnsi="微软雅黑" w:eastAsia="方正黑体_GBK" w:cs="宋体"/>
          <w:color w:val="000000"/>
          <w:kern w:val="0"/>
          <w:sz w:val="32"/>
          <w:szCs w:val="32"/>
        </w:rPr>
        <w:t>一、指导思想</w:t>
      </w:r>
    </w:p>
    <w:p>
      <w:pPr>
        <w:keepNext w:val="0"/>
        <w:keepLines w:val="0"/>
        <w:pageBreakBefore w:val="0"/>
        <w:kinsoku/>
        <w:wordWrap/>
        <w:overflowPunct/>
        <w:topLinePunct w:val="0"/>
        <w:bidi w:val="0"/>
        <w:snapToGrid/>
        <w:spacing w:line="560" w:lineRule="exact"/>
        <w:ind w:firstLine="640"/>
        <w:rPr>
          <w:rFonts w:ascii="方正仿宋_GBK" w:hAnsi="微软雅黑" w:eastAsia="方正仿宋_GBK" w:cs="宋体"/>
          <w:color w:val="000000"/>
          <w:kern w:val="0"/>
          <w:sz w:val="32"/>
          <w:szCs w:val="32"/>
        </w:rPr>
      </w:pPr>
      <w:r>
        <w:rPr>
          <w:rFonts w:hint="eastAsia" w:ascii="方正仿宋_GBK" w:hAnsi="方正仿宋_GBK" w:eastAsia="方正仿宋_GBK" w:cs="方正仿宋_GBK"/>
          <w:sz w:val="32"/>
          <w:szCs w:val="32"/>
        </w:rPr>
        <w:t>以习近平新时代中国特色社会主义思想为指导，深入贯彻党的十九大和十九届二中、三中、四中、五中、六中全会精神，深学笃用习近平生态文明思想，全面贯彻习近平总书记对重庆提出的营造良好政治生态，坚持“两点”定位、“两地”“两高”目标，发挥“三个作用”和推动成渝地区双城经济圈建设等重要指示要求</w:t>
      </w:r>
      <w:r>
        <w:rPr>
          <w:rFonts w:hint="eastAsia" w:ascii="方正仿宋_GBK" w:hAnsi="微软雅黑" w:eastAsia="方正仿宋_GBK" w:cs="宋体"/>
          <w:color w:val="000000"/>
          <w:kern w:val="0"/>
          <w:sz w:val="32"/>
          <w:szCs w:val="32"/>
        </w:rPr>
        <w:t>，坚持以人民为中心的发展思想，把握新发展阶段、贯彻新发展理念，充分发挥城市管理在推动绿色发展中的重要作用，通过政府主导、辖区实施、市民参与，推进城市环境“平面”“立面”一体化整治，全域打造城市特色亮点，持续深化</w:t>
      </w:r>
      <w:r>
        <w:rPr>
          <w:rFonts w:hint="eastAsia" w:ascii="方正仿宋_GBK" w:hAnsi="Tahoma" w:eastAsia="方正仿宋_GBK" w:cs="Tahoma"/>
          <w:sz w:val="32"/>
          <w:szCs w:val="32"/>
          <w:shd w:val="clear" w:color="auto" w:fill="FFFFFF"/>
        </w:rPr>
        <w:t>“大城三管”及“马路办公”，为加快建设“一区一枢纽两中心”，</w:t>
      </w:r>
      <w:r>
        <w:rPr>
          <w:rFonts w:hint="eastAsia" w:ascii="方正仿宋_GBK" w:hAnsi="微软雅黑" w:eastAsia="方正仿宋_GBK" w:cs="宋体"/>
          <w:color w:val="000000"/>
          <w:kern w:val="0"/>
          <w:sz w:val="32"/>
          <w:szCs w:val="32"/>
        </w:rPr>
        <w:t>建设高质量发展高品质生活新范例发挥更大作用。</w:t>
      </w:r>
    </w:p>
    <w:p>
      <w:pPr>
        <w:keepNext w:val="0"/>
        <w:keepLines w:val="0"/>
        <w:pageBreakBefore w:val="0"/>
        <w:kinsoku/>
        <w:wordWrap/>
        <w:overflowPunct/>
        <w:topLinePunct w:val="0"/>
        <w:bidi w:val="0"/>
        <w:snapToGrid/>
        <w:spacing w:line="560" w:lineRule="exact"/>
        <w:ind w:firstLine="640"/>
        <w:rPr>
          <w:rFonts w:ascii="方正黑体_GBK" w:hAnsi="微软雅黑" w:eastAsia="方正黑体_GBK" w:cs="宋体"/>
          <w:color w:val="000000"/>
          <w:kern w:val="0"/>
          <w:sz w:val="32"/>
          <w:szCs w:val="32"/>
        </w:rPr>
      </w:pPr>
      <w:r>
        <w:rPr>
          <w:rFonts w:hint="eastAsia" w:ascii="方正黑体_GBK" w:hAnsi="微软雅黑" w:eastAsia="方正黑体_GBK" w:cs="宋体"/>
          <w:color w:val="000000"/>
          <w:kern w:val="0"/>
          <w:sz w:val="32"/>
          <w:szCs w:val="32"/>
        </w:rPr>
        <w:t>二、工作任务</w:t>
      </w:r>
    </w:p>
    <w:p>
      <w:pPr>
        <w:keepNext w:val="0"/>
        <w:keepLines w:val="0"/>
        <w:pageBreakBefore w:val="0"/>
        <w:kinsoku/>
        <w:wordWrap/>
        <w:overflowPunct/>
        <w:topLinePunct w:val="0"/>
        <w:bidi w:val="0"/>
        <w:snapToGrid/>
        <w:spacing w:line="560" w:lineRule="exact"/>
        <w:ind w:firstLine="640"/>
        <w:rPr>
          <w:rFonts w:ascii="方正仿宋_GBK" w:eastAsia="方正仿宋_GBK"/>
          <w:sz w:val="32"/>
          <w:szCs w:val="32"/>
        </w:rPr>
      </w:pPr>
      <w:r>
        <w:rPr>
          <w:rStyle w:val="17"/>
          <w:rFonts w:hint="eastAsia"/>
          <w:szCs w:val="32"/>
        </w:rPr>
        <w:t>（一）提升“平面”环境品质。</w:t>
      </w:r>
      <w:r>
        <w:rPr>
          <w:rFonts w:hint="eastAsia" w:ascii="方正仿宋_GBK" w:eastAsia="方正仿宋_GBK"/>
          <w:sz w:val="32"/>
          <w:szCs w:val="32"/>
        </w:rPr>
        <w:t>以</w:t>
      </w:r>
      <w:r>
        <w:rPr>
          <w:rFonts w:hint="eastAsia" w:ascii="方正仿宋_GBK" w:hAnsi="黑体" w:eastAsia="方正仿宋_GBK" w:cs="黑体"/>
          <w:sz w:val="32"/>
          <w:szCs w:val="32"/>
        </w:rPr>
        <w:t>“我为城市扮靓装”</w:t>
      </w:r>
      <w:r>
        <w:rPr>
          <w:rFonts w:hint="eastAsia" w:ascii="方正仿宋_GBK" w:eastAsia="方正仿宋_GBK"/>
          <w:sz w:val="32"/>
          <w:szCs w:val="32"/>
        </w:rPr>
        <w:t>为主旨，按照“谁建设、谁使用、谁管理、谁整治”原则，开展市容环境大整治、城市品质大提升，重点整治坡坎崖滩、背街小巷及其他环境薄弱区域，补齐环境卫生短板，进一步擦亮城市底色，让城市更加干净整洁靓丽。</w:t>
      </w:r>
    </w:p>
    <w:p>
      <w:pPr>
        <w:keepNext w:val="0"/>
        <w:keepLines w:val="0"/>
        <w:pageBreakBefore w:val="0"/>
        <w:kinsoku/>
        <w:wordWrap/>
        <w:overflowPunct/>
        <w:topLinePunct w:val="0"/>
        <w:bidi w:val="0"/>
        <w:snapToGrid/>
        <w:spacing w:line="560" w:lineRule="exact"/>
        <w:ind w:firstLine="640"/>
        <w:rPr>
          <w:rFonts w:ascii="方正仿宋_GBK" w:hAnsi="Tahoma" w:eastAsia="方正仿宋_GBK" w:cs="Tahoma"/>
          <w:sz w:val="32"/>
          <w:szCs w:val="32"/>
          <w:shd w:val="clear" w:color="auto" w:fill="FFFFFF"/>
        </w:rPr>
      </w:pPr>
      <w:r>
        <w:rPr>
          <w:rFonts w:hint="eastAsia" w:ascii="方正仿宋_GBK" w:eastAsia="方正仿宋_GBK"/>
          <w:sz w:val="32"/>
          <w:szCs w:val="32"/>
        </w:rPr>
        <w:t>1．整治环境卫生。在全区</w:t>
      </w:r>
      <w:r>
        <w:rPr>
          <w:rFonts w:ascii="方正仿宋_GBK" w:eastAsia="方正仿宋_GBK"/>
          <w:sz w:val="32"/>
          <w:szCs w:val="32"/>
        </w:rPr>
        <w:t>全域</w:t>
      </w:r>
      <w:r>
        <w:rPr>
          <w:rFonts w:hint="eastAsia" w:ascii="方正仿宋_GBK" w:eastAsia="方正仿宋_GBK"/>
          <w:sz w:val="32"/>
          <w:szCs w:val="32"/>
        </w:rPr>
        <w:t>范围内，</w:t>
      </w:r>
      <w:r>
        <w:rPr>
          <w:rFonts w:hint="eastAsia" w:ascii="方正仿宋_GBK" w:hAnsi="Tahoma" w:eastAsia="方正仿宋_GBK" w:cs="Tahoma"/>
          <w:sz w:val="32"/>
          <w:szCs w:val="32"/>
          <w:shd w:val="clear" w:color="auto" w:fill="FFFFFF"/>
        </w:rPr>
        <w:t>以</w:t>
      </w:r>
      <w:r>
        <w:rPr>
          <w:rFonts w:hint="eastAsia" w:ascii="方正仿宋_GBK" w:eastAsia="方正仿宋_GBK"/>
          <w:sz w:val="32"/>
          <w:szCs w:val="32"/>
        </w:rPr>
        <w:t>背街小巷、城乡结合部、跨江大桥下、农贸市场、学校周边、江岸消落区等为重点，在群众反映集中的热点区域，开展环境卫生整治，着重解决热点难点问题，</w:t>
      </w:r>
      <w:r>
        <w:rPr>
          <w:rFonts w:hint="eastAsia" w:ascii="方正仿宋_GBK" w:hAnsi="Tahoma" w:eastAsia="方正仿宋_GBK" w:cs="Tahoma"/>
          <w:sz w:val="32"/>
          <w:szCs w:val="32"/>
          <w:shd w:val="clear" w:color="auto" w:fill="FFFFFF"/>
        </w:rPr>
        <w:t>补齐薄弱区域短板、强化环境管理弱项，确保全域环境干净整洁。</w:t>
      </w:r>
    </w:p>
    <w:p>
      <w:pPr>
        <w:keepNext w:val="0"/>
        <w:keepLines w:val="0"/>
        <w:pageBreakBefore w:val="0"/>
        <w:numPr>
          <w:ilvl w:val="0"/>
          <w:numId w:val="0"/>
        </w:numPr>
        <w:kinsoku/>
        <w:wordWrap/>
        <w:overflowPunct/>
        <w:topLinePunct w:val="0"/>
        <w:bidi w:val="0"/>
        <w:snapToGrid/>
        <w:spacing w:line="560" w:lineRule="exact"/>
        <w:ind w:firstLine="640" w:firstLineChars="200"/>
      </w:pPr>
      <w:r>
        <w:rPr>
          <w:rFonts w:hint="eastAsia" w:ascii="方正仿宋_GBK" w:eastAsia="方正仿宋_GBK"/>
          <w:sz w:val="32"/>
          <w:szCs w:val="32"/>
          <w:lang w:val="en-US" w:eastAsia="zh-CN"/>
        </w:rPr>
        <w:t>2.</w:t>
      </w:r>
      <w:r>
        <w:rPr>
          <w:rFonts w:hint="eastAsia" w:ascii="方正仿宋_GBK" w:eastAsia="方正仿宋_GBK"/>
          <w:sz w:val="32"/>
          <w:szCs w:val="32"/>
        </w:rPr>
        <w:t>擦亮</w:t>
      </w:r>
      <w:r>
        <w:rPr>
          <w:rFonts w:hint="eastAsia" w:ascii="方正仿宋_GBK" w:eastAsia="方正仿宋_GBK"/>
          <w:bCs/>
          <w:sz w:val="32"/>
          <w:szCs w:val="32"/>
        </w:rPr>
        <w:t>坡坎崖</w:t>
      </w:r>
      <w:r>
        <w:rPr>
          <w:rFonts w:hint="eastAsia" w:ascii="方正仿宋_GBK" w:eastAsia="方正仿宋_GBK"/>
          <w:sz w:val="32"/>
          <w:szCs w:val="32"/>
        </w:rPr>
        <w:t>滩</w:t>
      </w:r>
      <w:r>
        <w:rPr>
          <w:rFonts w:hint="eastAsia" w:ascii="方正仿宋_GBK" w:eastAsia="方正仿宋_GBK"/>
          <w:bCs/>
          <w:sz w:val="32"/>
          <w:szCs w:val="32"/>
        </w:rPr>
        <w:t>底色。在全区建成区</w:t>
      </w:r>
      <w:r>
        <w:rPr>
          <w:rFonts w:hint="eastAsia" w:ascii="方正仿宋_GBK" w:eastAsia="方正仿宋_GBK"/>
          <w:sz w:val="32"/>
          <w:szCs w:val="32"/>
        </w:rPr>
        <w:t>，以城市主次干道沿线、</w:t>
      </w:r>
      <w:r>
        <w:rPr>
          <w:rFonts w:hint="eastAsia" w:ascii="方正仿宋_GBK" w:eastAsia="方正仿宋_GBK"/>
          <w:bCs/>
          <w:sz w:val="32"/>
          <w:szCs w:val="32"/>
        </w:rPr>
        <w:t>城市商圈周</w:t>
      </w:r>
      <w:r>
        <w:rPr>
          <w:rFonts w:hint="eastAsia" w:ascii="方正仿宋_GBK" w:eastAsia="方正仿宋_GBK"/>
          <w:sz w:val="32"/>
          <w:szCs w:val="32"/>
        </w:rPr>
        <w:t>边、公共广场周边、交通枢纽周边坡坎崖滩等为重点，统筹企事业单位、物业小区周边坡坎崖滩及城市建设中新增坡坎崖滩区域，着力消除白色暴露垃圾、堆放杂物、占用公共绿地种菜等现象，提升市容市貌整体水平。</w:t>
      </w:r>
    </w:p>
    <w:p>
      <w:pPr>
        <w:pStyle w:val="2"/>
        <w:keepNext w:val="0"/>
        <w:keepLines w:val="0"/>
        <w:pageBreakBefore w:val="0"/>
        <w:kinsoku/>
        <w:wordWrap/>
        <w:overflowPunct/>
        <w:topLinePunct w:val="0"/>
        <w:bidi w:val="0"/>
        <w:snapToGrid/>
        <w:spacing w:line="560" w:lineRule="exact"/>
        <w:ind w:left="210" w:right="210"/>
        <w:rPr>
          <w:rFonts w:eastAsia="方正仿宋_GBK"/>
        </w:rPr>
      </w:pPr>
      <w:r>
        <w:rPr>
          <w:rFonts w:hint="eastAsia" w:ascii="方正仿宋_GBK" w:eastAsia="方正仿宋_GBK"/>
          <w:sz w:val="32"/>
          <w:szCs w:val="32"/>
        </w:rPr>
        <w:t xml:space="preserve">  </w:t>
      </w:r>
      <w:r>
        <w:rPr>
          <w:rFonts w:hint="eastAsia" w:ascii="方正仿宋_GBK" w:hAnsi="Tahoma" w:eastAsia="方正仿宋_GBK" w:cs="Tahoma"/>
          <w:sz w:val="32"/>
          <w:szCs w:val="32"/>
          <w:shd w:val="clear" w:color="auto" w:fill="FFFFFF"/>
        </w:rPr>
        <w:t>责任单位：各街道</w:t>
      </w:r>
      <w:r>
        <w:rPr>
          <w:rFonts w:ascii="方正仿宋_GBK" w:hAnsi="Tahoma" w:eastAsia="方正仿宋_GBK" w:cs="Tahoma"/>
          <w:sz w:val="32"/>
          <w:szCs w:val="32"/>
          <w:shd w:val="clear" w:color="auto" w:fill="FFFFFF"/>
        </w:rPr>
        <w:t>办事处</w:t>
      </w:r>
      <w:r>
        <w:rPr>
          <w:rFonts w:hint="eastAsia" w:ascii="方正仿宋_GBK" w:hAnsi="Tahoma" w:eastAsia="方正仿宋_GBK" w:cs="Tahoma"/>
          <w:sz w:val="32"/>
          <w:szCs w:val="32"/>
          <w:shd w:val="clear" w:color="auto" w:fill="FFFFFF"/>
        </w:rPr>
        <w:t>、</w:t>
      </w:r>
      <w:r>
        <w:rPr>
          <w:rFonts w:ascii="Times New Roman" w:hAnsi="Times New Roman" w:eastAsia="方正仿宋_GBK"/>
          <w:sz w:val="32"/>
          <w:szCs w:val="32"/>
        </w:rPr>
        <w:t>区城市管理局</w:t>
      </w:r>
    </w:p>
    <w:p>
      <w:pPr>
        <w:keepNext w:val="0"/>
        <w:keepLines w:val="0"/>
        <w:pageBreakBefore w:val="0"/>
        <w:numPr>
          <w:ilvl w:val="0"/>
          <w:numId w:val="0"/>
        </w:numPr>
        <w:kinsoku/>
        <w:wordWrap/>
        <w:overflowPunct/>
        <w:topLinePunct w:val="0"/>
        <w:bidi w:val="0"/>
        <w:snapToGrid/>
        <w:spacing w:line="560" w:lineRule="exact"/>
        <w:ind w:firstLine="640" w:firstLineChars="200"/>
        <w:rPr>
          <w:rFonts w:ascii="方正仿宋_GBK" w:eastAsia="方正仿宋_GBK"/>
          <w:sz w:val="32"/>
          <w:szCs w:val="32"/>
        </w:rPr>
      </w:pPr>
      <w:r>
        <w:rPr>
          <w:rFonts w:hint="eastAsia" w:ascii="方正仿宋_GBK" w:eastAsia="方正仿宋_GBK"/>
          <w:sz w:val="32"/>
          <w:szCs w:val="32"/>
          <w:lang w:val="en-US" w:eastAsia="zh-CN"/>
        </w:rPr>
        <w:t>3.</w:t>
      </w:r>
      <w:r>
        <w:rPr>
          <w:rFonts w:hint="eastAsia" w:ascii="方正仿宋_GBK" w:eastAsia="方正仿宋_GBK"/>
          <w:sz w:val="32"/>
          <w:szCs w:val="32"/>
        </w:rPr>
        <w:t>治理垃圾污染。推进生活垃圾分类，加大分类设施投入力度，促进市民习惯养成，提高分类投放准确率；不断完善生活垃圾焚烧、厨余垃圾资源化应用和建筑垃圾无害化处理设施，促进垃圾减量化、资源化、无害化；规范垃圾站场、公厕、环卫车辆等管理，消除脏、乱、臭现象；常态化开展水域清漂保洁，全面清理消落区垃圾，实现长江经济带绿色发展。</w:t>
      </w:r>
    </w:p>
    <w:p>
      <w:pPr>
        <w:keepNext w:val="0"/>
        <w:keepLines w:val="0"/>
        <w:pageBreakBefore w:val="0"/>
        <w:kinsoku/>
        <w:wordWrap/>
        <w:overflowPunct/>
        <w:topLinePunct w:val="0"/>
        <w:bidi w:val="0"/>
        <w:snapToGrid/>
        <w:spacing w:line="560" w:lineRule="exact"/>
        <w:ind w:firstLine="640"/>
        <w:rPr>
          <w:rFonts w:ascii="方正仿宋_GBK" w:eastAsia="方正仿宋_GBK"/>
          <w:sz w:val="32"/>
          <w:szCs w:val="32"/>
        </w:rPr>
      </w:pPr>
      <w:r>
        <w:rPr>
          <w:rStyle w:val="17"/>
          <w:rFonts w:hint="eastAsia"/>
          <w:szCs w:val="32"/>
        </w:rPr>
        <w:t>（二）提升“立面”环境品质。</w:t>
      </w:r>
      <w:r>
        <w:rPr>
          <w:rFonts w:hint="eastAsia" w:ascii="方正仿宋_GBK" w:eastAsia="方正仿宋_GBK"/>
          <w:sz w:val="32"/>
          <w:szCs w:val="32"/>
        </w:rPr>
        <w:t>以</w:t>
      </w:r>
      <w:r>
        <w:rPr>
          <w:rFonts w:hint="eastAsia" w:ascii="方正仿宋_GBK" w:hAnsi="黑体" w:eastAsia="方正仿宋_GBK" w:cs="黑体"/>
          <w:sz w:val="32"/>
          <w:szCs w:val="32"/>
        </w:rPr>
        <w:t>“我为城市织挂毯”</w:t>
      </w:r>
      <w:r>
        <w:rPr>
          <w:rFonts w:hint="eastAsia" w:ascii="方正仿宋_GBK" w:eastAsia="方正仿宋_GBK"/>
          <w:sz w:val="32"/>
          <w:szCs w:val="32"/>
        </w:rPr>
        <w:t>为主旨，</w:t>
      </w:r>
      <w:r>
        <w:rPr>
          <w:rFonts w:hint="eastAsia" w:ascii="方正仿宋_GBK" w:eastAsia="方正仿宋_GBK" w:cs="方正仿宋_GBK"/>
          <w:kern w:val="0"/>
          <w:sz w:val="32"/>
          <w:szCs w:val="32"/>
        </w:rPr>
        <w:t>系统开展城市立面美化，展现“站立”城市的独特魅力。</w:t>
      </w:r>
      <w:r>
        <w:rPr>
          <w:rFonts w:hint="eastAsia" w:ascii="方正仿宋_GBK" w:eastAsia="方正仿宋_GBK"/>
          <w:sz w:val="32"/>
          <w:szCs w:val="32"/>
        </w:rPr>
        <w:t>重点包括坡坎崖滩品质提升、绿地补缺提质、夜间风貌营造等，进一步提升城市颜值，让城市更加宜业宜居宜游。</w:t>
      </w:r>
    </w:p>
    <w:p>
      <w:pPr>
        <w:keepNext w:val="0"/>
        <w:keepLines w:val="0"/>
        <w:pageBreakBefore w:val="0"/>
        <w:kinsoku/>
        <w:wordWrap/>
        <w:overflowPunct/>
        <w:topLinePunct w:val="0"/>
        <w:bidi w:val="0"/>
        <w:snapToGrid/>
        <w:spacing w:line="560" w:lineRule="exact"/>
        <w:ind w:firstLine="640"/>
        <w:rPr>
          <w:rFonts w:ascii="方正仿宋_GBK" w:eastAsia="方正仿宋_GBK"/>
          <w:sz w:val="32"/>
          <w:szCs w:val="32"/>
        </w:rPr>
      </w:pPr>
      <w:r>
        <w:rPr>
          <w:rFonts w:hint="eastAsia" w:ascii="方正仿宋_GBK" w:eastAsia="方正仿宋_GBK"/>
          <w:sz w:val="32"/>
          <w:szCs w:val="32"/>
        </w:rPr>
        <w:t>1. 推进坡坎崖滩绿化美化。</w:t>
      </w:r>
      <w:r>
        <w:rPr>
          <w:rFonts w:hint="eastAsia" w:ascii="方正仿宋_GBK" w:eastAsia="方正仿宋_GBK"/>
          <w:bCs/>
          <w:sz w:val="32"/>
          <w:szCs w:val="32"/>
        </w:rPr>
        <w:t>以长江两岸、窗口地区及其他城市核心区为重点，</w:t>
      </w:r>
      <w:r>
        <w:rPr>
          <w:rFonts w:hint="eastAsia" w:ascii="方正仿宋_GBK" w:eastAsia="方正仿宋_GBK"/>
          <w:sz w:val="32"/>
          <w:szCs w:val="32"/>
        </w:rPr>
        <w:t>坚持自然为美，把文化融入环境，把好山好水好风光融入城市，提倡因形就势布局，因地制宜建设，注重适地适树，精选树种、培植花境、保育生态，丰富林相色相季相品相，将坡坎崖滩项目打造成为山水城市特有的“立体挂毯”。</w:t>
      </w:r>
    </w:p>
    <w:p>
      <w:pPr>
        <w:keepNext w:val="0"/>
        <w:keepLines w:val="0"/>
        <w:pageBreakBefore w:val="0"/>
        <w:numPr>
          <w:ilvl w:val="0"/>
          <w:numId w:val="1"/>
        </w:numPr>
        <w:kinsoku/>
        <w:wordWrap/>
        <w:overflowPunct/>
        <w:topLinePunct w:val="0"/>
        <w:bidi w:val="0"/>
        <w:snapToGrid/>
        <w:spacing w:line="560" w:lineRule="exact"/>
        <w:ind w:firstLine="640"/>
        <w:rPr>
          <w:rFonts w:ascii="方正仿宋_GBK" w:hAnsi="方正仿宋_GBK" w:eastAsia="方正仿宋_GBK" w:cs="方正仿宋_GBK"/>
          <w:bCs/>
          <w:sz w:val="32"/>
          <w:szCs w:val="32"/>
        </w:rPr>
      </w:pPr>
      <w:r>
        <w:rPr>
          <w:rFonts w:hint="eastAsia" w:ascii="方正仿宋_GBK" w:eastAsia="方正仿宋_GBK"/>
          <w:sz w:val="32"/>
          <w:szCs w:val="32"/>
        </w:rPr>
        <w:t>统筹绿地补缺提质。以城市未开发的坡地、堡坎、崖壁、滩涂等“秃斑”为重点，加强现有绿化项目的管护，定期开展植物体检、科学修剪、病虫害防治、土壤改良等工作，消除绿化缺株死株、违规种菜等现象，增加城市绿量。</w:t>
      </w:r>
      <w:r>
        <w:rPr>
          <w:rFonts w:hint="eastAsia" w:ascii="方正仿宋_GBK" w:hAnsi="方正仿宋_GBK" w:eastAsia="方正仿宋_GBK" w:cs="方正仿宋_GBK"/>
          <w:bCs/>
          <w:sz w:val="32"/>
          <w:szCs w:val="32"/>
        </w:rPr>
        <w:t>充分利用山地地貌特征，建设有山地特色的崖线公园、山城阳台等，展现山城立体美景。</w:t>
      </w:r>
    </w:p>
    <w:p>
      <w:pPr>
        <w:keepNext w:val="0"/>
        <w:keepLines w:val="0"/>
        <w:pageBreakBefore w:val="0"/>
        <w:numPr>
          <w:ilvl w:val="0"/>
          <w:numId w:val="1"/>
        </w:numPr>
        <w:kinsoku/>
        <w:wordWrap/>
        <w:overflowPunct/>
        <w:topLinePunct w:val="0"/>
        <w:bidi w:val="0"/>
        <w:snapToGrid/>
        <w:spacing w:line="560" w:lineRule="exact"/>
        <w:ind w:firstLine="640"/>
        <w:rPr>
          <w:rFonts w:ascii="方正仿宋_GBK" w:eastAsia="方正仿宋_GBK"/>
          <w:sz w:val="32"/>
          <w:szCs w:val="32"/>
        </w:rPr>
      </w:pPr>
      <w:r>
        <w:rPr>
          <w:rFonts w:hint="eastAsia" w:ascii="方正仿宋_GBK" w:eastAsia="方正仿宋_GBK"/>
          <w:sz w:val="32"/>
          <w:szCs w:val="32"/>
        </w:rPr>
        <w:t>完善夜间照明功能。加强对城市照明设施巡查维护，重点整治社会单位建设未移交路段和市政道路施工区域等照明暗盲区，提升设施完好率。大力提升照明品质，对城市更新片区、老旧小区、人行步道系统功能照明进行查漏补缺，改造一批照明质量不达标的路段，促进城市夜经济发展。</w:t>
      </w:r>
    </w:p>
    <w:p>
      <w:pPr>
        <w:keepNext w:val="0"/>
        <w:keepLines w:val="0"/>
        <w:pageBreakBefore w:val="0"/>
        <w:kinsoku/>
        <w:wordWrap/>
        <w:overflowPunct/>
        <w:topLinePunct w:val="0"/>
        <w:bidi w:val="0"/>
        <w:snapToGrid/>
        <w:spacing w:line="560" w:lineRule="exact"/>
        <w:ind w:firstLine="640"/>
        <w:rPr>
          <w:rFonts w:ascii="方正仿宋_GBK" w:eastAsia="方正仿宋_GBK"/>
          <w:sz w:val="32"/>
          <w:szCs w:val="32"/>
        </w:rPr>
      </w:pPr>
      <w:r>
        <w:rPr>
          <w:rStyle w:val="17"/>
          <w:rFonts w:hint="eastAsia"/>
          <w:szCs w:val="32"/>
        </w:rPr>
        <w:t>（三）全民参与，共同缔造。</w:t>
      </w:r>
      <w:r>
        <w:rPr>
          <w:rFonts w:hint="eastAsia" w:ascii="方正仿宋_GBK" w:eastAsia="方正仿宋_GBK"/>
          <w:sz w:val="32"/>
          <w:szCs w:val="32"/>
        </w:rPr>
        <w:t>以</w:t>
      </w:r>
      <w:r>
        <w:rPr>
          <w:rFonts w:hint="eastAsia" w:ascii="方正仿宋_GBK" w:hAnsi="黑体" w:eastAsia="方正仿宋_GBK" w:cs="黑体"/>
          <w:sz w:val="32"/>
          <w:szCs w:val="32"/>
        </w:rPr>
        <w:t>“我是城市小管家”</w:t>
      </w:r>
      <w:r>
        <w:rPr>
          <w:rFonts w:hint="eastAsia" w:ascii="方正仿宋_GBK" w:eastAsia="方正仿宋_GBK"/>
          <w:sz w:val="32"/>
          <w:szCs w:val="32"/>
        </w:rPr>
        <w:t>为主旨，激发市民参与城市管理活力，系统开展志愿者服务、坡坎崖滩整治认领、优秀案例评选等活动，丰富众治、众管方式，进一步</w:t>
      </w:r>
      <w:r>
        <w:rPr>
          <w:rFonts w:hint="eastAsia" w:ascii="方正仿宋_GBK" w:hAnsi="微软雅黑" w:eastAsia="方正仿宋_GBK" w:cs="宋体"/>
          <w:color w:val="000000"/>
          <w:kern w:val="0"/>
          <w:sz w:val="32"/>
          <w:szCs w:val="32"/>
        </w:rPr>
        <w:t>营造山城美丽家园建设人人参与、人人负责、人人奉献、人人共享氛围，让城市有“温度”、人民更幸福。</w:t>
      </w:r>
    </w:p>
    <w:p>
      <w:pPr>
        <w:keepNext w:val="0"/>
        <w:keepLines w:val="0"/>
        <w:pageBreakBefore w:val="0"/>
        <w:kinsoku/>
        <w:wordWrap/>
        <w:overflowPunct/>
        <w:topLinePunct w:val="0"/>
        <w:bidi w:val="0"/>
        <w:snapToGrid/>
        <w:spacing w:line="560" w:lineRule="exact"/>
        <w:ind w:firstLine="640"/>
        <w:rPr>
          <w:rFonts w:ascii="方正仿宋_GBK" w:eastAsia="方正仿宋_GBK"/>
          <w:sz w:val="32"/>
          <w:szCs w:val="32"/>
        </w:rPr>
      </w:pPr>
      <w:r>
        <w:rPr>
          <w:rFonts w:hint="eastAsia" w:ascii="方正仿宋_GBK" w:eastAsia="方正仿宋_GBK"/>
          <w:sz w:val="32"/>
          <w:szCs w:val="32"/>
        </w:rPr>
        <w:t>1. 丰富志愿服务活动。结合城市管理志愿者队伍建设，开展“全民动手、美化家园”“城市微更新、文明大提升”等系列主题活动。鼓励市民“当一天城市</w:t>
      </w:r>
      <w:r>
        <w:rPr>
          <w:rFonts w:hint="eastAsia" w:ascii="方正仿宋_GBK" w:eastAsia="方正仿宋_GBK"/>
          <w:sz w:val="32"/>
          <w:szCs w:val="32"/>
          <w:lang w:eastAsia="zh-CN"/>
        </w:rPr>
        <w:t>美容师</w:t>
      </w:r>
      <w:r>
        <w:rPr>
          <w:rFonts w:hint="eastAsia" w:ascii="方正仿宋_GBK" w:eastAsia="方正仿宋_GBK"/>
          <w:sz w:val="32"/>
          <w:szCs w:val="32"/>
        </w:rPr>
        <w:t>”，</w:t>
      </w:r>
      <w:r>
        <w:rPr>
          <w:rFonts w:hint="eastAsia" w:ascii="方正仿宋_GBK" w:eastAsia="方正仿宋_GBK"/>
          <w:color w:val="auto"/>
          <w:sz w:val="32"/>
          <w:szCs w:val="32"/>
        </w:rPr>
        <w:t>各单位组织志愿者每周开展一次</w:t>
      </w:r>
      <w:r>
        <w:rPr>
          <w:rFonts w:hint="eastAsia" w:ascii="方正仿宋_GBK" w:hAnsi="Tahoma" w:eastAsia="方正仿宋_GBK" w:cs="Tahoma"/>
          <w:color w:val="auto"/>
          <w:sz w:val="32"/>
          <w:szCs w:val="32"/>
          <w:shd w:val="clear" w:color="auto" w:fill="FFFFFF"/>
        </w:rPr>
        <w:t>主题活动</w:t>
      </w:r>
      <w:r>
        <w:rPr>
          <w:rFonts w:hint="eastAsia" w:ascii="方正仿宋_GBK" w:eastAsia="方正仿宋_GBK"/>
          <w:color w:val="auto"/>
          <w:sz w:val="32"/>
          <w:szCs w:val="32"/>
        </w:rPr>
        <w:t>。</w:t>
      </w:r>
      <w:r>
        <w:rPr>
          <w:rFonts w:hint="eastAsia" w:ascii="方正仿宋_GBK" w:eastAsia="方正仿宋_GBK"/>
          <w:sz w:val="32"/>
          <w:szCs w:val="32"/>
        </w:rPr>
        <w:t>结合网格化管理机制，推动志愿者“进网格”，压实责任，形成城市管理齐抓共管、众治共享的良好局面，让良好文明习惯蔚然成风。</w:t>
      </w:r>
    </w:p>
    <w:p>
      <w:pPr>
        <w:keepNext w:val="0"/>
        <w:keepLines w:val="0"/>
        <w:pageBreakBefore w:val="0"/>
        <w:kinsoku/>
        <w:wordWrap/>
        <w:overflowPunct/>
        <w:topLinePunct w:val="0"/>
        <w:bidi w:val="0"/>
        <w:snapToGrid/>
        <w:spacing w:line="560" w:lineRule="exact"/>
        <w:ind w:firstLine="640"/>
        <w:rPr>
          <w:rFonts w:hint="eastAsia" w:ascii="方正仿宋_GBK" w:eastAsia="方正仿宋_GBK"/>
          <w:sz w:val="32"/>
          <w:szCs w:val="32"/>
        </w:rPr>
      </w:pPr>
      <w:r>
        <w:rPr>
          <w:rFonts w:hint="eastAsia" w:ascii="方正仿宋_GBK" w:eastAsia="方正仿宋_GBK"/>
          <w:sz w:val="32"/>
          <w:szCs w:val="32"/>
          <w:lang w:val="en-US" w:eastAsia="zh-CN"/>
        </w:rPr>
        <w:t>2</w:t>
      </w:r>
      <w:r>
        <w:rPr>
          <w:rFonts w:hint="eastAsia" w:ascii="方正仿宋_GBK" w:eastAsia="方正仿宋_GBK"/>
          <w:sz w:val="32"/>
          <w:szCs w:val="32"/>
        </w:rPr>
        <w:t>. 探索坡坎崖滩建管方式。开展坡坎崖滩建设点位、设计方案网络推选，打造一批坡坎崖滩绿化美化精品工程。推行企事业单位认建认管等“认领制”，有条件的地方可通过“微文创”“微绿植标识”等形式探索坡坎崖滩管理新模式，充分调动各方参与坡坎崖滩管理的积极性。中心城区率先引领，高标准完成一批坡坎崖滩示范项目建设，以一域带动全局。</w:t>
      </w:r>
    </w:p>
    <w:p>
      <w:pPr>
        <w:keepNext w:val="0"/>
        <w:keepLines w:val="0"/>
        <w:pageBreakBefore w:val="0"/>
        <w:numPr>
          <w:ilvl w:val="0"/>
          <w:numId w:val="0"/>
        </w:numPr>
        <w:kinsoku/>
        <w:wordWrap/>
        <w:overflowPunct/>
        <w:topLinePunct w:val="0"/>
        <w:bidi w:val="0"/>
        <w:snapToGrid/>
        <w:spacing w:line="560" w:lineRule="exact"/>
        <w:ind w:firstLine="640" w:firstLineChars="200"/>
        <w:rPr>
          <w:rFonts w:ascii="方正仿宋_GBK" w:eastAsia="方正仿宋_GBK"/>
          <w:sz w:val="32"/>
          <w:szCs w:val="32"/>
        </w:rPr>
      </w:pPr>
      <w:r>
        <w:rPr>
          <w:rFonts w:hint="eastAsia" w:ascii="方正仿宋_GBK" w:eastAsia="方正仿宋_GBK"/>
          <w:sz w:val="32"/>
          <w:szCs w:val="32"/>
          <w:lang w:val="en-US" w:eastAsia="zh-CN"/>
        </w:rPr>
        <w:t>3.</w:t>
      </w:r>
      <w:r>
        <w:rPr>
          <w:rFonts w:hint="eastAsia" w:ascii="方正仿宋_GBK" w:eastAsia="方正仿宋_GBK"/>
          <w:sz w:val="32"/>
          <w:szCs w:val="32"/>
        </w:rPr>
        <w:t>打造“最美”系列品牌。利用“发现重庆之美”系列评选为主题活动宣传造势，通过主流媒体、新媒体、自媒体等加强宣传，注重经验总结复制推广，及时收集优秀案例、提炼有效做法，形成可复制可推广的成功经验，不断推动主题活动向外拓展。</w:t>
      </w:r>
    </w:p>
    <w:p>
      <w:pPr>
        <w:keepNext w:val="0"/>
        <w:keepLines w:val="0"/>
        <w:pageBreakBefore w:val="0"/>
        <w:kinsoku/>
        <w:wordWrap/>
        <w:overflowPunct/>
        <w:topLinePunct w:val="0"/>
        <w:bidi w:val="0"/>
        <w:snapToGrid/>
        <w:spacing w:line="560" w:lineRule="exact"/>
        <w:ind w:left="640"/>
        <w:rPr>
          <w:rFonts w:ascii="方正黑体_GBK" w:hAnsi="微软雅黑" w:eastAsia="方正黑体_GBK" w:cs="宋体"/>
          <w:color w:val="000000"/>
          <w:kern w:val="0"/>
          <w:sz w:val="32"/>
          <w:szCs w:val="32"/>
        </w:rPr>
      </w:pPr>
      <w:r>
        <w:rPr>
          <w:rFonts w:hint="eastAsia" w:ascii="方正黑体_GBK" w:hAnsi="微软雅黑" w:eastAsia="方正黑体_GBK" w:cs="宋体"/>
          <w:color w:val="000000"/>
          <w:kern w:val="0"/>
          <w:sz w:val="32"/>
          <w:szCs w:val="32"/>
        </w:rPr>
        <w:t>三、工作步骤</w:t>
      </w:r>
    </w:p>
    <w:p>
      <w:pPr>
        <w:pStyle w:val="18"/>
        <w:keepNext w:val="0"/>
        <w:keepLines w:val="0"/>
        <w:pageBreakBefore w:val="0"/>
        <w:kinsoku/>
        <w:wordWrap/>
        <w:overflowPunct/>
        <w:topLinePunct w:val="0"/>
        <w:bidi w:val="0"/>
        <w:snapToGrid/>
        <w:spacing w:line="560" w:lineRule="exact"/>
        <w:ind w:firstLine="640"/>
        <w:rPr>
          <w:rStyle w:val="17"/>
          <w:rFonts w:hAnsi="Calibri"/>
          <w:szCs w:val="32"/>
        </w:rPr>
      </w:pPr>
      <w:r>
        <w:rPr>
          <w:rStyle w:val="17"/>
          <w:rFonts w:hint="eastAsia" w:hAnsi="Calibri"/>
          <w:szCs w:val="32"/>
        </w:rPr>
        <w:t>（一）部署启动阶段（2021年12月31日前）</w:t>
      </w:r>
    </w:p>
    <w:p>
      <w:pPr>
        <w:keepNext w:val="0"/>
        <w:keepLines w:val="0"/>
        <w:pageBreakBefore w:val="0"/>
        <w:kinsoku/>
        <w:wordWrap/>
        <w:overflowPunct/>
        <w:topLinePunct w:val="0"/>
        <w:bidi w:val="0"/>
        <w:snapToGrid/>
        <w:spacing w:line="560" w:lineRule="exact"/>
        <w:ind w:firstLine="640"/>
        <w:textAlignment w:val="baseline"/>
        <w:rPr>
          <w:rFonts w:ascii="方正仿宋_GBK" w:eastAsia="方正仿宋_GBK"/>
          <w:sz w:val="32"/>
          <w:szCs w:val="32"/>
          <w:shd w:val="clear" w:color="auto" w:fill="FFFFFF"/>
        </w:rPr>
      </w:pPr>
      <w:r>
        <w:rPr>
          <w:rFonts w:hint="eastAsia" w:ascii="方正仿宋_GBK" w:eastAsia="方正仿宋_GBK"/>
          <w:sz w:val="32"/>
          <w:szCs w:val="32"/>
        </w:rPr>
        <w:t>1. 动员部署。请各单位迅速动员部署，组织专题研究，摸清情况，细化任务分工，落实责任到位，精准施策。</w:t>
      </w:r>
    </w:p>
    <w:p>
      <w:pPr>
        <w:keepNext w:val="0"/>
        <w:keepLines w:val="0"/>
        <w:pageBreakBefore w:val="0"/>
        <w:kinsoku/>
        <w:wordWrap/>
        <w:overflowPunct/>
        <w:topLinePunct w:val="0"/>
        <w:bidi w:val="0"/>
        <w:snapToGrid/>
        <w:spacing w:line="560" w:lineRule="exact"/>
        <w:ind w:firstLine="640"/>
        <w:textAlignment w:val="baseline"/>
        <w:rPr>
          <w:rFonts w:ascii="方正仿宋_GBK" w:hAnsi="Tahoma" w:eastAsia="方正仿宋_GBK" w:cs="Tahoma"/>
          <w:sz w:val="32"/>
          <w:szCs w:val="32"/>
          <w:shd w:val="clear" w:color="auto" w:fill="FFFFFF"/>
        </w:rPr>
      </w:pPr>
      <w:r>
        <w:rPr>
          <w:rFonts w:hint="eastAsia" w:ascii="方正仿宋_GBK" w:eastAsia="方正仿宋_GBK"/>
          <w:sz w:val="32"/>
          <w:szCs w:val="32"/>
          <w:shd w:val="clear" w:color="auto" w:fill="FFFFFF"/>
        </w:rPr>
        <w:t>2. 尽快启动。</w:t>
      </w:r>
      <w:r>
        <w:rPr>
          <w:rFonts w:hint="eastAsia" w:ascii="方正仿宋_GBK" w:eastAsia="方正仿宋_GBK"/>
          <w:sz w:val="32"/>
          <w:szCs w:val="32"/>
        </w:rPr>
        <w:t>按照“边部署边开展”的原则，对群众反映集中、影响较大的环境薄弱区域，要迅速启动整治，尽快消除脏乱现象，确保在年底前整治一批、实现一批，以干净整洁的城市环境迎接“两会两节”。</w:t>
      </w:r>
    </w:p>
    <w:p>
      <w:pPr>
        <w:pStyle w:val="18"/>
        <w:keepNext w:val="0"/>
        <w:keepLines w:val="0"/>
        <w:pageBreakBefore w:val="0"/>
        <w:kinsoku/>
        <w:wordWrap/>
        <w:overflowPunct/>
        <w:topLinePunct w:val="0"/>
        <w:bidi w:val="0"/>
        <w:snapToGrid/>
        <w:spacing w:line="560" w:lineRule="exact"/>
        <w:ind w:firstLine="640"/>
        <w:rPr>
          <w:rStyle w:val="17"/>
          <w:rFonts w:hAnsi="Calibri"/>
          <w:szCs w:val="32"/>
        </w:rPr>
      </w:pPr>
      <w:r>
        <w:rPr>
          <w:rStyle w:val="17"/>
          <w:rFonts w:hint="eastAsia" w:hAnsi="Calibri"/>
          <w:szCs w:val="32"/>
        </w:rPr>
        <w:t>（二）亮点打造阶段（2022年1月1日-2022年11月15日）</w:t>
      </w:r>
    </w:p>
    <w:p>
      <w:pPr>
        <w:keepNext w:val="0"/>
        <w:keepLines w:val="0"/>
        <w:pageBreakBefore w:val="0"/>
        <w:kinsoku/>
        <w:wordWrap/>
        <w:overflowPunct/>
        <w:topLinePunct w:val="0"/>
        <w:bidi w:val="0"/>
        <w:snapToGrid/>
        <w:spacing w:line="560" w:lineRule="exact"/>
        <w:ind w:firstLine="640"/>
        <w:textAlignment w:val="baseline"/>
        <w:rPr>
          <w:rFonts w:ascii="方正仿宋_GBK" w:eastAsia="方正仿宋_GBK"/>
          <w:b w:val="0"/>
          <w:bCs w:val="0"/>
          <w:color w:val="auto"/>
          <w:sz w:val="32"/>
          <w:szCs w:val="32"/>
        </w:rPr>
      </w:pPr>
      <w:r>
        <w:rPr>
          <w:rFonts w:hint="eastAsia" w:ascii="方正仿宋_GBK" w:eastAsia="方正仿宋_GBK"/>
          <w:sz w:val="32"/>
          <w:szCs w:val="32"/>
        </w:rPr>
        <w:t>1. 系统排查。各单位要系统排查辖区问题，梳理形成整治项目清单，明确项目实施主体、建设规模、资金来源、完成时限等要求，</w:t>
      </w:r>
      <w:r>
        <w:rPr>
          <w:rFonts w:hint="eastAsia" w:ascii="方正仿宋_GBK" w:eastAsia="方正仿宋_GBK"/>
          <w:b w:val="0"/>
          <w:bCs w:val="0"/>
          <w:color w:val="auto"/>
          <w:sz w:val="32"/>
          <w:szCs w:val="32"/>
        </w:rPr>
        <w:t>于2022年1月</w:t>
      </w:r>
      <w:r>
        <w:rPr>
          <w:rFonts w:hint="eastAsia" w:ascii="方正仿宋_GBK" w:eastAsia="方正仿宋_GBK"/>
          <w:b w:val="0"/>
          <w:bCs w:val="0"/>
          <w:color w:val="auto"/>
          <w:sz w:val="32"/>
          <w:szCs w:val="32"/>
          <w:lang w:val="en-US" w:eastAsia="zh-CN"/>
        </w:rPr>
        <w:t>13</w:t>
      </w:r>
      <w:r>
        <w:rPr>
          <w:rFonts w:hint="eastAsia" w:ascii="方正仿宋_GBK" w:eastAsia="方正仿宋_GBK"/>
          <w:b w:val="0"/>
          <w:bCs w:val="0"/>
          <w:color w:val="auto"/>
          <w:sz w:val="32"/>
          <w:szCs w:val="32"/>
        </w:rPr>
        <w:t>日前将整治方案和项目清单报区城市提升指挥部城市管理组办公室。</w:t>
      </w:r>
    </w:p>
    <w:p>
      <w:pPr>
        <w:keepNext w:val="0"/>
        <w:keepLines w:val="0"/>
        <w:pageBreakBefore w:val="0"/>
        <w:kinsoku/>
        <w:wordWrap/>
        <w:overflowPunct/>
        <w:topLinePunct w:val="0"/>
        <w:bidi w:val="0"/>
        <w:snapToGrid/>
        <w:spacing w:line="560" w:lineRule="exact"/>
        <w:ind w:firstLine="640"/>
        <w:rPr>
          <w:rFonts w:ascii="方正仿宋_GBK" w:eastAsia="方正仿宋_GBK"/>
          <w:sz w:val="32"/>
          <w:szCs w:val="32"/>
        </w:rPr>
      </w:pPr>
      <w:r>
        <w:rPr>
          <w:rFonts w:hint="eastAsia" w:ascii="方正仿宋_GBK" w:eastAsia="方正仿宋_GBK"/>
          <w:sz w:val="32"/>
          <w:szCs w:val="32"/>
        </w:rPr>
        <w:t>2. 全面整治。各单位按照整治方案，全面开展相关工作，制定“时间表、路线图”，实行挂图作战、打表推进。阶段性呈现整治效果，在2022年春节前打造一批城市环境整治示范项目。</w:t>
      </w:r>
    </w:p>
    <w:p>
      <w:pPr>
        <w:pStyle w:val="18"/>
        <w:keepNext w:val="0"/>
        <w:keepLines w:val="0"/>
        <w:pageBreakBefore w:val="0"/>
        <w:kinsoku/>
        <w:wordWrap/>
        <w:overflowPunct/>
        <w:topLinePunct w:val="0"/>
        <w:bidi w:val="0"/>
        <w:snapToGrid/>
        <w:spacing w:line="560" w:lineRule="exact"/>
        <w:ind w:firstLine="640"/>
        <w:rPr>
          <w:rStyle w:val="17"/>
          <w:rFonts w:hAnsi="Calibri"/>
          <w:szCs w:val="32"/>
        </w:rPr>
      </w:pPr>
      <w:r>
        <w:rPr>
          <w:rStyle w:val="17"/>
          <w:rFonts w:hint="eastAsia" w:hAnsi="Calibri"/>
          <w:szCs w:val="32"/>
        </w:rPr>
        <w:t>（三）巩固提升阶段（2022年11月16日-2023年12月31日）</w:t>
      </w:r>
    </w:p>
    <w:p>
      <w:pPr>
        <w:keepNext w:val="0"/>
        <w:keepLines w:val="0"/>
        <w:pageBreakBefore w:val="0"/>
        <w:kinsoku/>
        <w:wordWrap/>
        <w:overflowPunct/>
        <w:topLinePunct w:val="0"/>
        <w:bidi w:val="0"/>
        <w:snapToGrid/>
        <w:spacing w:line="560" w:lineRule="exact"/>
        <w:ind w:firstLine="640"/>
        <w:textAlignment w:val="baseline"/>
        <w:rPr>
          <w:rFonts w:ascii="方正仿宋_GBK" w:eastAsia="方正仿宋_GBK"/>
          <w:sz w:val="32"/>
          <w:szCs w:val="32"/>
        </w:rPr>
      </w:pPr>
      <w:r>
        <w:rPr>
          <w:rFonts w:hint="eastAsia" w:ascii="方正仿宋_GBK" w:eastAsia="方正仿宋_GBK"/>
          <w:sz w:val="32"/>
          <w:szCs w:val="32"/>
        </w:rPr>
        <w:t>1. 总结经验。总结主题活动成功经验，挖掘整治典型案例。结合“最美”系列评选等活动，广泛开展宣传报道，进一步营造良好整治氛围，助推市容环境不断提升。</w:t>
      </w:r>
    </w:p>
    <w:p>
      <w:pPr>
        <w:keepNext w:val="0"/>
        <w:keepLines w:val="0"/>
        <w:pageBreakBefore w:val="0"/>
        <w:kinsoku/>
        <w:wordWrap/>
        <w:overflowPunct/>
        <w:topLinePunct w:val="0"/>
        <w:bidi w:val="0"/>
        <w:snapToGrid/>
        <w:spacing w:line="560" w:lineRule="exact"/>
        <w:ind w:firstLine="640"/>
        <w:textAlignment w:val="baseline"/>
        <w:rPr>
          <w:rFonts w:ascii="方正仿宋_GBK" w:eastAsia="方正仿宋_GBK"/>
          <w:sz w:val="32"/>
          <w:szCs w:val="32"/>
        </w:rPr>
      </w:pPr>
      <w:r>
        <w:rPr>
          <w:rFonts w:hint="eastAsia" w:ascii="方正仿宋_GBK" w:eastAsia="方正仿宋_GBK"/>
          <w:sz w:val="32"/>
          <w:szCs w:val="32"/>
        </w:rPr>
        <w:t>2. 完善机制。主题活动要结合“马路办公”、“门前三包、五长制”等管理机制，推动健全市容环境管理、坡坎崖滩绿化维护等长效机制，持续巩固整治成果。</w:t>
      </w:r>
    </w:p>
    <w:p>
      <w:pPr>
        <w:keepNext w:val="0"/>
        <w:keepLines w:val="0"/>
        <w:pageBreakBefore w:val="0"/>
        <w:kinsoku/>
        <w:wordWrap/>
        <w:overflowPunct/>
        <w:topLinePunct w:val="0"/>
        <w:bidi w:val="0"/>
        <w:snapToGrid/>
        <w:spacing w:line="560" w:lineRule="exact"/>
        <w:ind w:firstLine="640"/>
        <w:rPr>
          <w:rFonts w:ascii="方正黑体_GBK" w:hAnsi="微软雅黑" w:eastAsia="方正黑体_GBK" w:cs="宋体"/>
          <w:color w:val="000000"/>
          <w:kern w:val="0"/>
          <w:sz w:val="32"/>
          <w:szCs w:val="32"/>
        </w:rPr>
      </w:pPr>
      <w:r>
        <w:rPr>
          <w:rFonts w:hint="eastAsia" w:ascii="方正黑体_GBK" w:hAnsi="微软雅黑" w:eastAsia="方正黑体_GBK" w:cs="宋体"/>
          <w:color w:val="000000"/>
          <w:kern w:val="0"/>
          <w:sz w:val="32"/>
          <w:szCs w:val="32"/>
        </w:rPr>
        <w:t>四、保障措施</w:t>
      </w:r>
    </w:p>
    <w:p>
      <w:pPr>
        <w:keepNext w:val="0"/>
        <w:keepLines w:val="0"/>
        <w:pageBreakBefore w:val="0"/>
        <w:kinsoku/>
        <w:wordWrap/>
        <w:overflowPunct/>
        <w:topLinePunct w:val="0"/>
        <w:bidi w:val="0"/>
        <w:snapToGrid/>
        <w:spacing w:line="560" w:lineRule="exact"/>
        <w:ind w:firstLine="640"/>
        <w:textAlignment w:val="baseline"/>
        <w:rPr>
          <w:rFonts w:ascii="方正仿宋_GBK" w:eastAsia="方正仿宋_GBK"/>
          <w:sz w:val="32"/>
          <w:szCs w:val="32"/>
        </w:rPr>
      </w:pPr>
      <w:r>
        <w:rPr>
          <w:rStyle w:val="17"/>
          <w:rFonts w:hint="eastAsia"/>
          <w:szCs w:val="32"/>
        </w:rPr>
        <w:t>（一）加强组织领导，注重统筹协调。</w:t>
      </w:r>
      <w:r>
        <w:rPr>
          <w:rFonts w:hint="eastAsia" w:ascii="方正仿宋_GBK" w:eastAsia="方正仿宋_GBK"/>
          <w:sz w:val="32"/>
          <w:szCs w:val="32"/>
        </w:rPr>
        <w:t>按照</w:t>
      </w:r>
      <w:r>
        <w:rPr>
          <w:rFonts w:hint="eastAsia" w:ascii="方正仿宋_GBK" w:hAnsi="微软雅黑" w:eastAsia="方正仿宋_GBK" w:cs="宋体"/>
          <w:kern w:val="0"/>
          <w:sz w:val="32"/>
          <w:szCs w:val="32"/>
        </w:rPr>
        <w:t>政府主导、辖区实施、市民参与原则，推动部门横向协作，畅通市区竖向联动，发动群众广泛参与，形成工作合力。各镇乡街道和区级有关部门要主动作为，认真履职，</w:t>
      </w:r>
      <w:r>
        <w:rPr>
          <w:rFonts w:hint="eastAsia" w:ascii="方正仿宋_GBK" w:eastAsia="方正仿宋_GBK"/>
          <w:sz w:val="32"/>
          <w:szCs w:val="32"/>
        </w:rPr>
        <w:t>切实起到辖区和行业内的组织落实、协调督办作用，推进主题活动顺利实施。</w:t>
      </w:r>
    </w:p>
    <w:p>
      <w:pPr>
        <w:pStyle w:val="19"/>
        <w:keepNext w:val="0"/>
        <w:keepLines w:val="0"/>
        <w:pageBreakBefore w:val="0"/>
        <w:kinsoku/>
        <w:wordWrap/>
        <w:overflowPunct/>
        <w:topLinePunct w:val="0"/>
        <w:bidi w:val="0"/>
        <w:snapToGrid/>
        <w:spacing w:line="560" w:lineRule="exact"/>
        <w:ind w:firstLine="480" w:firstLineChars="150"/>
        <w:jc w:val="both"/>
        <w:rPr>
          <w:rFonts w:ascii="方正仿宋_GBK" w:eastAsia="方正仿宋_GBK"/>
          <w:color w:val="auto"/>
          <w:sz w:val="32"/>
          <w:szCs w:val="32"/>
        </w:rPr>
      </w:pPr>
      <w:r>
        <w:rPr>
          <w:rStyle w:val="17"/>
          <w:rFonts w:hint="eastAsia" w:cs="Times New Roman"/>
          <w:color w:val="auto"/>
          <w:szCs w:val="32"/>
        </w:rPr>
        <w:t>（二）开展督导考核，强化结果运用。</w:t>
      </w:r>
      <w:r>
        <w:rPr>
          <w:rFonts w:hint="eastAsia" w:ascii="方正仿宋_GBK" w:hAnsi="微软雅黑" w:eastAsia="方正仿宋_GBK" w:cs="宋体"/>
          <w:sz w:val="32"/>
          <w:szCs w:val="32"/>
        </w:rPr>
        <w:t>各单位要狠抓工作落实，攻坚克难、开拓创新，以抓铁留痕和钉钉子精神，将一张蓝图绘到底，确保主题活动有力有效。区城市提升指挥部城市管理组将成立暗访组，定期对整治工作进行评估，并结合文明城区、文明单位、文明社区等创建工作强化情况通报和结果运用，</w:t>
      </w:r>
      <w:r>
        <w:rPr>
          <w:rFonts w:hint="eastAsia" w:ascii="方正仿宋_GBK" w:hAnsi="微软雅黑" w:eastAsia="方正仿宋_GBK" w:cs="宋体"/>
          <w:color w:val="auto"/>
          <w:sz w:val="32"/>
          <w:szCs w:val="32"/>
        </w:rPr>
        <w:t>对工作推进不力的单位进行视频曝光。</w:t>
      </w:r>
    </w:p>
    <w:p>
      <w:pPr>
        <w:keepNext w:val="0"/>
        <w:keepLines w:val="0"/>
        <w:pageBreakBefore w:val="0"/>
        <w:kinsoku/>
        <w:wordWrap/>
        <w:overflowPunct/>
        <w:topLinePunct w:val="0"/>
        <w:bidi w:val="0"/>
        <w:snapToGrid/>
        <w:spacing w:line="560" w:lineRule="exact"/>
        <w:ind w:firstLine="640"/>
        <w:textAlignment w:val="baseline"/>
        <w:rPr>
          <w:rFonts w:ascii="方正仿宋_GBK" w:hAnsi="微软雅黑" w:eastAsia="方正仿宋_GBK" w:cs="宋体"/>
          <w:color w:val="000000"/>
          <w:kern w:val="0"/>
          <w:sz w:val="32"/>
          <w:szCs w:val="32"/>
        </w:rPr>
      </w:pPr>
      <w:r>
        <w:rPr>
          <w:rStyle w:val="17"/>
          <w:rFonts w:hint="eastAsia"/>
          <w:szCs w:val="32"/>
        </w:rPr>
        <w:t>（三）组织宣传报道，及时报送情况。</w:t>
      </w:r>
      <w:r>
        <w:rPr>
          <w:rFonts w:hint="eastAsia" w:ascii="方正仿宋_GBK" w:hAnsi="微软雅黑" w:eastAsia="方正仿宋_GBK" w:cs="宋体"/>
          <w:color w:val="000000"/>
          <w:kern w:val="0"/>
          <w:sz w:val="32"/>
          <w:szCs w:val="32"/>
        </w:rPr>
        <w:t>各单位要及时统计进展情况、收集优秀案例，定期上报。通过新闻媒体等积极宣传优秀项目，以宣传带动整治，促进形成共治共享</w:t>
      </w:r>
      <w:r>
        <w:rPr>
          <w:rFonts w:hint="eastAsia" w:ascii="方正仿宋_GBK" w:eastAsia="方正仿宋_GBK"/>
          <w:sz w:val="32"/>
          <w:szCs w:val="32"/>
        </w:rPr>
        <w:t>氛围，加速</w:t>
      </w:r>
      <w:r>
        <w:rPr>
          <w:rFonts w:hint="eastAsia" w:ascii="方正仿宋_GBK" w:hAnsi="微软雅黑" w:eastAsia="方正仿宋_GBK" w:cs="宋体"/>
          <w:color w:val="000000"/>
          <w:kern w:val="0"/>
          <w:sz w:val="32"/>
          <w:szCs w:val="32"/>
        </w:rPr>
        <w:t>实现全民动手共同参与。</w:t>
      </w:r>
    </w:p>
    <w:p/>
    <w:p>
      <w:pPr>
        <w:pStyle w:val="2"/>
        <w:ind w:left="0" w:leftChars="0" w:right="210"/>
        <w:sectPr>
          <w:pgSz w:w="11906" w:h="16838"/>
          <w:pgMar w:top="1440" w:right="1800" w:bottom="1440" w:left="1800" w:header="1417" w:footer="1134" w:gutter="0"/>
          <w:cols w:space="0" w:num="1"/>
          <w:rtlGutter w:val="0"/>
          <w:docGrid w:type="lines" w:linePitch="312" w:charSpace="0"/>
        </w:sectPr>
      </w:pPr>
    </w:p>
    <w:tbl>
      <w:tblPr>
        <w:tblStyle w:val="8"/>
        <w:tblW w:w="13634" w:type="dxa"/>
        <w:tblInd w:w="93" w:type="dxa"/>
        <w:tblLayout w:type="fixed"/>
        <w:tblCellMar>
          <w:top w:w="0" w:type="dxa"/>
          <w:left w:w="108" w:type="dxa"/>
          <w:bottom w:w="0" w:type="dxa"/>
          <w:right w:w="108" w:type="dxa"/>
        </w:tblCellMar>
      </w:tblPr>
      <w:tblGrid>
        <w:gridCol w:w="2149"/>
        <w:gridCol w:w="1248"/>
        <w:gridCol w:w="7565"/>
        <w:gridCol w:w="668"/>
        <w:gridCol w:w="668"/>
        <w:gridCol w:w="668"/>
        <w:gridCol w:w="668"/>
      </w:tblGrid>
      <w:tr>
        <w:tblPrEx>
          <w:tblLayout w:type="fixed"/>
          <w:tblCellMar>
            <w:top w:w="0" w:type="dxa"/>
            <w:left w:w="108" w:type="dxa"/>
            <w:bottom w:w="0" w:type="dxa"/>
            <w:right w:w="108" w:type="dxa"/>
          </w:tblCellMar>
        </w:tblPrEx>
        <w:trPr>
          <w:trHeight w:val="402" w:hRule="atLeast"/>
        </w:trPr>
        <w:tc>
          <w:tcPr>
            <w:tcW w:w="13634" w:type="dxa"/>
            <w:gridSpan w:val="7"/>
            <w:tcBorders>
              <w:top w:val="nil"/>
              <w:left w:val="nil"/>
              <w:bottom w:val="nil"/>
              <w:right w:val="nil"/>
            </w:tcBorders>
            <w:shd w:val="clear" w:color="auto" w:fill="auto"/>
            <w:noWrap/>
            <w:vAlign w:val="bottom"/>
          </w:tcPr>
          <w:p>
            <w:pPr>
              <w:widowControl/>
              <w:jc w:val="left"/>
              <w:textAlignment w:val="bottom"/>
              <w:rPr>
                <w:rFonts w:hint="eastAsia" w:ascii="方正黑体_GBK" w:hAnsi="方正黑体_GBK" w:eastAsia="方正黑体_GBK" w:cs="方正黑体_GBK"/>
                <w:color w:val="000000"/>
                <w:sz w:val="28"/>
                <w:szCs w:val="28"/>
                <w:lang w:val="en-US" w:eastAsia="zh-CN"/>
              </w:rPr>
            </w:pPr>
            <w:r>
              <w:rPr>
                <w:rFonts w:hint="eastAsia" w:ascii="方正黑体_GBK" w:hAnsi="方正黑体_GBK" w:eastAsia="方正黑体_GBK" w:cs="方正黑体_GBK"/>
                <w:color w:val="000000"/>
                <w:kern w:val="0"/>
                <w:sz w:val="28"/>
                <w:szCs w:val="28"/>
              </w:rPr>
              <w:t>附件</w:t>
            </w:r>
            <w:r>
              <w:rPr>
                <w:rFonts w:hint="eastAsia" w:ascii="方正黑体_GBK" w:hAnsi="方正黑体_GBK" w:eastAsia="方正黑体_GBK" w:cs="方正黑体_GBK"/>
                <w:color w:val="000000"/>
                <w:kern w:val="0"/>
                <w:sz w:val="28"/>
                <w:szCs w:val="28"/>
                <w:lang w:val="en-US" w:eastAsia="zh-CN"/>
              </w:rPr>
              <w:t>2</w:t>
            </w:r>
          </w:p>
        </w:tc>
      </w:tr>
      <w:tr>
        <w:tblPrEx>
          <w:tblLayout w:type="fixed"/>
          <w:tblCellMar>
            <w:top w:w="0" w:type="dxa"/>
            <w:left w:w="108" w:type="dxa"/>
            <w:bottom w:w="0" w:type="dxa"/>
            <w:right w:w="108" w:type="dxa"/>
          </w:tblCellMar>
        </w:tblPrEx>
        <w:trPr>
          <w:trHeight w:val="522" w:hRule="atLeast"/>
        </w:trPr>
        <w:tc>
          <w:tcPr>
            <w:tcW w:w="13634" w:type="dxa"/>
            <w:gridSpan w:val="7"/>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kern w:val="0"/>
                <w:sz w:val="40"/>
                <w:szCs w:val="40"/>
              </w:rPr>
              <w:t>“全民动手共同缔造山城美丽家园”主题活动月度情况统计表</w:t>
            </w:r>
          </w:p>
        </w:tc>
      </w:tr>
      <w:tr>
        <w:tblPrEx>
          <w:tblLayout w:type="fixed"/>
          <w:tblCellMar>
            <w:top w:w="0" w:type="dxa"/>
            <w:left w:w="108" w:type="dxa"/>
            <w:bottom w:w="0" w:type="dxa"/>
            <w:right w:w="108" w:type="dxa"/>
          </w:tblCellMar>
        </w:tblPrEx>
        <w:trPr>
          <w:trHeight w:val="480" w:hRule="atLeast"/>
        </w:trPr>
        <w:tc>
          <w:tcPr>
            <w:tcW w:w="13634" w:type="dxa"/>
            <w:gridSpan w:val="7"/>
            <w:tcBorders>
              <w:top w:val="nil"/>
              <w:left w:val="nil"/>
              <w:bottom w:val="single" w:color="000000" w:sz="4" w:space="0"/>
              <w:right w:val="nil"/>
            </w:tcBorders>
            <w:shd w:val="clear" w:color="auto" w:fill="auto"/>
            <w:noWrap/>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填报单位（盖章）：       填报时间：              填报人：        联系电话：</w:t>
            </w:r>
          </w:p>
        </w:tc>
      </w:tr>
      <w:tr>
        <w:tblPrEx>
          <w:tblLayout w:type="fixed"/>
          <w:tblCellMar>
            <w:top w:w="0" w:type="dxa"/>
            <w:left w:w="108" w:type="dxa"/>
            <w:bottom w:w="0" w:type="dxa"/>
            <w:right w:w="108" w:type="dxa"/>
          </w:tblCellMar>
        </w:tblPrEx>
        <w:trPr>
          <w:trHeight w:val="90" w:hRule="atLeast"/>
        </w:trPr>
        <w:tc>
          <w:tcPr>
            <w:tcW w:w="214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整治项目</w:t>
            </w:r>
          </w:p>
        </w:tc>
        <w:tc>
          <w:tcPr>
            <w:tcW w:w="124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序号</w:t>
            </w:r>
          </w:p>
        </w:tc>
        <w:tc>
          <w:tcPr>
            <w:tcW w:w="756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整治内容</w:t>
            </w:r>
          </w:p>
        </w:tc>
        <w:tc>
          <w:tcPr>
            <w:tcW w:w="133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当月数量</w:t>
            </w:r>
          </w:p>
        </w:tc>
        <w:tc>
          <w:tcPr>
            <w:tcW w:w="133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累计数量</w:t>
            </w:r>
          </w:p>
        </w:tc>
      </w:tr>
      <w:tr>
        <w:tblPrEx>
          <w:tblLayout w:type="fixed"/>
          <w:tblCellMar>
            <w:top w:w="0" w:type="dxa"/>
            <w:left w:w="108" w:type="dxa"/>
            <w:bottom w:w="0" w:type="dxa"/>
            <w:right w:w="108" w:type="dxa"/>
          </w:tblCellMar>
        </w:tblPrEx>
        <w:trPr>
          <w:trHeight w:val="499" w:hRule="atLeast"/>
        </w:trPr>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（一）提升“平面”环境品质</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w:t>
            </w:r>
          </w:p>
        </w:tc>
        <w:tc>
          <w:tcPr>
            <w:tcW w:w="7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出动环卫工人X人次，整治卫生死角X个。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r>
      <w:tr>
        <w:tblPrEx>
          <w:tblLayout w:type="fixed"/>
          <w:tblCellMar>
            <w:top w:w="0" w:type="dxa"/>
            <w:left w:w="108" w:type="dxa"/>
            <w:bottom w:w="0" w:type="dxa"/>
            <w:right w:w="108" w:type="dxa"/>
          </w:tblCellMar>
        </w:tblPrEx>
        <w:trPr>
          <w:trHeight w:val="499" w:hRule="atLeast"/>
        </w:trPr>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2</w:t>
            </w:r>
          </w:p>
        </w:tc>
        <w:tc>
          <w:tcPr>
            <w:tcW w:w="7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清除暴露垃圾X吨（其中塑料类暴露垃圾X吨）。</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r>
      <w:tr>
        <w:tblPrEx>
          <w:tblLayout w:type="fixed"/>
          <w:tblCellMar>
            <w:top w:w="0" w:type="dxa"/>
            <w:left w:w="108" w:type="dxa"/>
            <w:bottom w:w="0" w:type="dxa"/>
            <w:right w:w="108" w:type="dxa"/>
          </w:tblCellMar>
        </w:tblPrEx>
        <w:trPr>
          <w:trHeight w:val="780" w:hRule="atLeast"/>
        </w:trPr>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3</w:t>
            </w:r>
          </w:p>
        </w:tc>
        <w:tc>
          <w:tcPr>
            <w:tcW w:w="7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排查整治背街小巷、城乡结合部、跨江大桥下、农贸市场、学校周边环境卫生问题X个，坡坎崖滩环境卫生问题X个。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r>
      <w:tr>
        <w:tblPrEx>
          <w:tblLayout w:type="fixed"/>
          <w:tblCellMar>
            <w:top w:w="0" w:type="dxa"/>
            <w:left w:w="108" w:type="dxa"/>
            <w:bottom w:w="0" w:type="dxa"/>
            <w:right w:w="108" w:type="dxa"/>
          </w:tblCellMar>
        </w:tblPrEx>
        <w:trPr>
          <w:trHeight w:val="780" w:hRule="atLeast"/>
        </w:trPr>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4</w:t>
            </w:r>
          </w:p>
        </w:tc>
        <w:tc>
          <w:tcPr>
            <w:tcW w:w="7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排查治理垃圾站点、垃圾填埋场等环卫设施臭气、污水及其他问题X个。</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r>
      <w:tr>
        <w:tblPrEx>
          <w:tblLayout w:type="fixed"/>
          <w:tblCellMar>
            <w:top w:w="0" w:type="dxa"/>
            <w:left w:w="108" w:type="dxa"/>
            <w:bottom w:w="0" w:type="dxa"/>
            <w:right w:w="108" w:type="dxa"/>
          </w:tblCellMar>
        </w:tblPrEx>
        <w:trPr>
          <w:trHeight w:val="499" w:hRule="atLeast"/>
        </w:trPr>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5</w:t>
            </w:r>
          </w:p>
        </w:tc>
        <w:tc>
          <w:tcPr>
            <w:tcW w:w="7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排查整治公厕X个、化粪池X个。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r>
      <w:tr>
        <w:tblPrEx>
          <w:tblLayout w:type="fixed"/>
          <w:tblCellMar>
            <w:top w:w="0" w:type="dxa"/>
            <w:left w:w="108" w:type="dxa"/>
            <w:bottom w:w="0" w:type="dxa"/>
            <w:right w:w="108" w:type="dxa"/>
          </w:tblCellMar>
        </w:tblPrEx>
        <w:trPr>
          <w:trHeight w:val="499" w:hRule="atLeast"/>
        </w:trPr>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6</w:t>
            </w:r>
          </w:p>
        </w:tc>
        <w:tc>
          <w:tcPr>
            <w:tcW w:w="7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清理城市水域垃圾X吨（含消落区垃圾）。</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r>
      <w:tr>
        <w:tblPrEx>
          <w:tblLayout w:type="fixed"/>
          <w:tblCellMar>
            <w:top w:w="0" w:type="dxa"/>
            <w:left w:w="108" w:type="dxa"/>
            <w:bottom w:w="0" w:type="dxa"/>
            <w:right w:w="108" w:type="dxa"/>
          </w:tblCellMar>
        </w:tblPrEx>
        <w:trPr>
          <w:trHeight w:val="499" w:hRule="atLeast"/>
        </w:trPr>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7</w:t>
            </w:r>
          </w:p>
        </w:tc>
        <w:tc>
          <w:tcPr>
            <w:tcW w:w="7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“门前三包、五长制”责任书签订X份，设立“五长”X个。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r>
      <w:tr>
        <w:tblPrEx>
          <w:tblLayout w:type="fixed"/>
          <w:tblCellMar>
            <w:top w:w="0" w:type="dxa"/>
            <w:left w:w="108" w:type="dxa"/>
            <w:bottom w:w="0" w:type="dxa"/>
            <w:right w:w="108" w:type="dxa"/>
          </w:tblCellMar>
        </w:tblPrEx>
        <w:trPr>
          <w:trHeight w:val="499" w:hRule="atLeast"/>
        </w:trPr>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8</w:t>
            </w:r>
          </w:p>
        </w:tc>
        <w:tc>
          <w:tcPr>
            <w:tcW w:w="7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今年已建成“门前三包、五长制”示范道路数量X条。</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r>
      <w:tr>
        <w:tblPrEx>
          <w:tblLayout w:type="fixed"/>
          <w:tblCellMar>
            <w:top w:w="0" w:type="dxa"/>
            <w:left w:w="108" w:type="dxa"/>
            <w:bottom w:w="0" w:type="dxa"/>
            <w:right w:w="108" w:type="dxa"/>
          </w:tblCellMar>
        </w:tblPrEx>
        <w:trPr>
          <w:trHeight w:val="499" w:hRule="atLeast"/>
        </w:trPr>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9</w:t>
            </w:r>
          </w:p>
        </w:tc>
        <w:tc>
          <w:tcPr>
            <w:tcW w:w="7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开展垃圾分类“敲门行动”、桶边督导、监管执法X次。</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r>
      <w:tr>
        <w:tblPrEx>
          <w:tblLayout w:type="fixed"/>
          <w:tblCellMar>
            <w:top w:w="0" w:type="dxa"/>
            <w:left w:w="108" w:type="dxa"/>
            <w:bottom w:w="0" w:type="dxa"/>
            <w:right w:w="108" w:type="dxa"/>
          </w:tblCellMar>
        </w:tblPrEx>
        <w:trPr>
          <w:trHeight w:val="499" w:hRule="atLeast"/>
        </w:trPr>
        <w:tc>
          <w:tcPr>
            <w:tcW w:w="2149"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（二）提升“立面”环境品质</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10</w:t>
            </w:r>
          </w:p>
        </w:tc>
        <w:tc>
          <w:tcPr>
            <w:tcW w:w="7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完成坡坎崖滩绿化美化项目X个（X平方米）。</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方正仿宋_GBK" w:hAnsi="方正仿宋_GBK" w:eastAsia="方正仿宋_GBK" w:cs="方正仿宋_GBK"/>
                <w:color w:val="000000"/>
                <w:sz w:val="28"/>
                <w:szCs w:val="28"/>
              </w:rPr>
            </w:pPr>
          </w:p>
        </w:tc>
      </w:tr>
      <w:tr>
        <w:tblPrEx>
          <w:tblLayout w:type="fixed"/>
          <w:tblCellMar>
            <w:top w:w="0" w:type="dxa"/>
            <w:left w:w="108" w:type="dxa"/>
            <w:bottom w:w="0" w:type="dxa"/>
            <w:right w:w="108" w:type="dxa"/>
          </w:tblCellMar>
        </w:tblPrEx>
        <w:trPr>
          <w:trHeight w:val="499" w:hRule="atLeast"/>
        </w:trPr>
        <w:tc>
          <w:tcPr>
            <w:tcW w:w="21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11</w:t>
            </w:r>
          </w:p>
        </w:tc>
        <w:tc>
          <w:tcPr>
            <w:tcW w:w="7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城市园林绿化补缺提质X平方米。</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r>
      <w:tr>
        <w:tblPrEx>
          <w:tblLayout w:type="fixed"/>
          <w:tblCellMar>
            <w:top w:w="0" w:type="dxa"/>
            <w:left w:w="108" w:type="dxa"/>
            <w:bottom w:w="0" w:type="dxa"/>
            <w:right w:w="108" w:type="dxa"/>
          </w:tblCellMar>
        </w:tblPrEx>
        <w:trPr>
          <w:trHeight w:val="499" w:hRule="atLeast"/>
        </w:trPr>
        <w:tc>
          <w:tcPr>
            <w:tcW w:w="21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12</w:t>
            </w:r>
          </w:p>
        </w:tc>
        <w:tc>
          <w:tcPr>
            <w:tcW w:w="7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街头绿地提质面积X平方米。</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r>
      <w:tr>
        <w:tblPrEx>
          <w:tblLayout w:type="fixed"/>
          <w:tblCellMar>
            <w:top w:w="0" w:type="dxa"/>
            <w:left w:w="108" w:type="dxa"/>
            <w:bottom w:w="0" w:type="dxa"/>
            <w:right w:w="108" w:type="dxa"/>
          </w:tblCellMar>
        </w:tblPrEx>
        <w:trPr>
          <w:trHeight w:val="499" w:hRule="atLeast"/>
        </w:trPr>
        <w:tc>
          <w:tcPr>
            <w:tcW w:w="21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13</w:t>
            </w:r>
          </w:p>
        </w:tc>
        <w:tc>
          <w:tcPr>
            <w:tcW w:w="7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整治照明暗盲区X处。</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r>
      <w:tr>
        <w:tblPrEx>
          <w:tblLayout w:type="fixed"/>
          <w:tblCellMar>
            <w:top w:w="0" w:type="dxa"/>
            <w:left w:w="108" w:type="dxa"/>
            <w:bottom w:w="0" w:type="dxa"/>
            <w:right w:w="108" w:type="dxa"/>
          </w:tblCellMar>
        </w:tblPrEx>
        <w:trPr>
          <w:trHeight w:val="499" w:hRule="atLeast"/>
        </w:trPr>
        <w:tc>
          <w:tcPr>
            <w:tcW w:w="21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14</w:t>
            </w:r>
          </w:p>
        </w:tc>
        <w:tc>
          <w:tcPr>
            <w:tcW w:w="7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新、改建路灯X盏。</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r>
      <w:tr>
        <w:tblPrEx>
          <w:tblLayout w:type="fixed"/>
          <w:tblCellMar>
            <w:top w:w="0" w:type="dxa"/>
            <w:left w:w="108" w:type="dxa"/>
            <w:bottom w:w="0" w:type="dxa"/>
            <w:right w:w="108" w:type="dxa"/>
          </w:tblCellMar>
        </w:tblPrEx>
        <w:trPr>
          <w:trHeight w:val="499" w:hRule="atLeast"/>
        </w:trPr>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（三）全民参与，共同缔造</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15</w:t>
            </w:r>
          </w:p>
        </w:tc>
        <w:tc>
          <w:tcPr>
            <w:tcW w:w="7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开展“全民动手共同缔造山城美丽家园”志愿服务活动X次。</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r>
      <w:tr>
        <w:tblPrEx>
          <w:tblLayout w:type="fixed"/>
          <w:tblCellMar>
            <w:top w:w="0" w:type="dxa"/>
            <w:left w:w="108" w:type="dxa"/>
            <w:bottom w:w="0" w:type="dxa"/>
            <w:right w:w="108" w:type="dxa"/>
          </w:tblCellMar>
        </w:tblPrEx>
        <w:trPr>
          <w:trHeight w:val="499" w:hRule="atLeast"/>
        </w:trPr>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16</w:t>
            </w:r>
          </w:p>
        </w:tc>
        <w:tc>
          <w:tcPr>
            <w:tcW w:w="7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参与“全民动手共同缔造山城美丽家园”志愿服务活动X人。</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r>
      <w:tr>
        <w:tblPrEx>
          <w:tblLayout w:type="fixed"/>
          <w:tblCellMar>
            <w:top w:w="0" w:type="dxa"/>
            <w:left w:w="108" w:type="dxa"/>
            <w:bottom w:w="0" w:type="dxa"/>
            <w:right w:w="108" w:type="dxa"/>
          </w:tblCellMar>
        </w:tblPrEx>
        <w:trPr>
          <w:trHeight w:val="499" w:hRule="atLeast"/>
        </w:trPr>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17</w:t>
            </w:r>
          </w:p>
        </w:tc>
        <w:tc>
          <w:tcPr>
            <w:tcW w:w="7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实施坡坎崖滩认建认管等“认领制”X个。</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r>
      <w:tr>
        <w:tblPrEx>
          <w:tblLayout w:type="fixed"/>
          <w:tblCellMar>
            <w:top w:w="0" w:type="dxa"/>
            <w:left w:w="108" w:type="dxa"/>
            <w:bottom w:w="0" w:type="dxa"/>
            <w:right w:w="108" w:type="dxa"/>
          </w:tblCellMar>
        </w:tblPrEx>
        <w:trPr>
          <w:trHeight w:val="499" w:hRule="atLeast"/>
        </w:trPr>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8"/>
                <w:szCs w:val="28"/>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18</w:t>
            </w:r>
          </w:p>
        </w:tc>
        <w:tc>
          <w:tcPr>
            <w:tcW w:w="7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市级及以上媒体相关报道X次。</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方正仿宋_GBK" w:hAnsi="方正仿宋_GBK" w:eastAsia="方正仿宋_GBK" w:cs="方正仿宋_GBK"/>
                <w:color w:val="000000"/>
                <w:sz w:val="28"/>
                <w:szCs w:val="28"/>
              </w:rPr>
            </w:pPr>
          </w:p>
        </w:tc>
      </w:tr>
      <w:tr>
        <w:tblPrEx>
          <w:tblLayout w:type="fixed"/>
          <w:tblCellMar>
            <w:top w:w="0" w:type="dxa"/>
            <w:left w:w="108" w:type="dxa"/>
            <w:bottom w:w="0" w:type="dxa"/>
            <w:right w:w="108" w:type="dxa"/>
          </w:tblCellMar>
        </w:tblPrEx>
        <w:trPr>
          <w:trHeight w:val="624" w:hRule="atLeast"/>
        </w:trPr>
        <w:tc>
          <w:tcPr>
            <w:tcW w:w="13634" w:type="dxa"/>
            <w:gridSpan w:val="7"/>
            <w:vMerge w:val="restart"/>
            <w:tcBorders>
              <w:top w:val="nil"/>
              <w:left w:val="nil"/>
              <w:bottom w:val="nil"/>
              <w:right w:val="nil"/>
            </w:tcBorders>
            <w:shd w:val="clear" w:color="auto" w:fill="auto"/>
          </w:tcPr>
          <w:p>
            <w:pPr>
              <w:widowControl/>
              <w:jc w:val="left"/>
              <w:textAlignment w:val="top"/>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说明：1.重量及面积统计数据保留至小数点后两位。</w:t>
            </w:r>
            <w:r>
              <w:rPr>
                <w:rFonts w:hint="eastAsia" w:ascii="方正仿宋_GBK" w:hAnsi="方正仿宋_GBK" w:eastAsia="方正仿宋_GBK" w:cs="方正仿宋_GBK"/>
                <w:color w:val="auto"/>
                <w:kern w:val="0"/>
                <w:sz w:val="28"/>
                <w:szCs w:val="28"/>
              </w:rPr>
              <w:t>2.各镇乡街道不填10-12项。</w:t>
            </w:r>
          </w:p>
        </w:tc>
      </w:tr>
      <w:tr>
        <w:tblPrEx>
          <w:tblLayout w:type="fixed"/>
          <w:tblCellMar>
            <w:top w:w="0" w:type="dxa"/>
            <w:left w:w="108" w:type="dxa"/>
            <w:bottom w:w="0" w:type="dxa"/>
            <w:right w:w="108" w:type="dxa"/>
          </w:tblCellMar>
        </w:tblPrEx>
        <w:trPr>
          <w:trHeight w:val="624" w:hRule="atLeast"/>
        </w:trPr>
        <w:tc>
          <w:tcPr>
            <w:tcW w:w="13634" w:type="dxa"/>
            <w:gridSpan w:val="7"/>
            <w:vMerge w:val="continue"/>
            <w:tcBorders>
              <w:top w:val="nil"/>
              <w:left w:val="nil"/>
              <w:bottom w:val="nil"/>
              <w:right w:val="nil"/>
            </w:tcBorders>
            <w:shd w:val="clear" w:color="auto" w:fill="auto"/>
          </w:tcPr>
          <w:p>
            <w:pPr>
              <w:jc w:val="left"/>
              <w:rPr>
                <w:rFonts w:ascii="方正仿宋_GBK" w:hAnsi="方正仿宋_GBK" w:eastAsia="方正仿宋_GBK" w:cs="方正仿宋_GBK"/>
                <w:color w:val="000000"/>
                <w:sz w:val="28"/>
                <w:szCs w:val="28"/>
              </w:rPr>
            </w:pPr>
          </w:p>
        </w:tc>
      </w:tr>
    </w:tbl>
    <w:p/>
    <w:tbl>
      <w:tblPr>
        <w:tblStyle w:val="8"/>
        <w:tblW w:w="13160" w:type="dxa"/>
        <w:tblInd w:w="93" w:type="dxa"/>
        <w:tblLayout w:type="fixed"/>
        <w:tblCellMar>
          <w:top w:w="0" w:type="dxa"/>
          <w:left w:w="108" w:type="dxa"/>
          <w:bottom w:w="0" w:type="dxa"/>
          <w:right w:w="108" w:type="dxa"/>
        </w:tblCellMar>
      </w:tblPr>
      <w:tblGrid>
        <w:gridCol w:w="13160"/>
      </w:tblGrid>
      <w:tr>
        <w:tblPrEx>
          <w:tblLayout w:type="fixed"/>
          <w:tblCellMar>
            <w:top w:w="0" w:type="dxa"/>
            <w:left w:w="108" w:type="dxa"/>
            <w:bottom w:w="0" w:type="dxa"/>
            <w:right w:w="108" w:type="dxa"/>
          </w:tblCellMar>
        </w:tblPrEx>
        <w:trPr>
          <w:trHeight w:val="641" w:hRule="atLeast"/>
        </w:trPr>
        <w:tc>
          <w:tcPr>
            <w:tcW w:w="13160" w:type="dxa"/>
            <w:tcBorders>
              <w:top w:val="nil"/>
              <w:left w:val="nil"/>
              <w:bottom w:val="nil"/>
              <w:right w:val="nil"/>
            </w:tcBorders>
            <w:shd w:val="clear" w:color="auto" w:fill="auto"/>
            <w:noWrap/>
            <w:vAlign w:val="bottom"/>
          </w:tcPr>
          <w:p>
            <w:pPr>
              <w:widowControl/>
              <w:jc w:val="left"/>
              <w:textAlignment w:val="bottom"/>
              <w:rPr>
                <w:rFonts w:hint="eastAsia" w:ascii="方正黑体_GBK" w:hAnsi="方正黑体_GBK" w:eastAsia="方正黑体_GBK" w:cs="方正黑体_GBK"/>
                <w:color w:val="000000"/>
                <w:sz w:val="28"/>
                <w:szCs w:val="28"/>
                <w:lang w:val="en-US" w:eastAsia="zh-CN"/>
              </w:rPr>
            </w:pPr>
            <w:r>
              <w:rPr>
                <w:rFonts w:hint="eastAsia" w:ascii="方正黑体_GBK" w:hAnsi="方正黑体_GBK" w:eastAsia="方正黑体_GBK" w:cs="方正黑体_GBK"/>
                <w:color w:val="000000"/>
                <w:kern w:val="0"/>
                <w:sz w:val="28"/>
                <w:szCs w:val="28"/>
              </w:rPr>
              <w:t>附件</w:t>
            </w:r>
            <w:r>
              <w:rPr>
                <w:rFonts w:hint="eastAsia" w:ascii="方正黑体_GBK" w:hAnsi="方正黑体_GBK" w:eastAsia="方正黑体_GBK" w:cs="方正黑体_GBK"/>
                <w:color w:val="000000"/>
                <w:kern w:val="0"/>
                <w:sz w:val="28"/>
                <w:szCs w:val="28"/>
                <w:lang w:val="en-US" w:eastAsia="zh-CN"/>
              </w:rPr>
              <w:t>3</w:t>
            </w:r>
          </w:p>
        </w:tc>
      </w:tr>
      <w:tr>
        <w:tblPrEx>
          <w:tblLayout w:type="fixed"/>
          <w:tblCellMar>
            <w:top w:w="0" w:type="dxa"/>
            <w:left w:w="108" w:type="dxa"/>
            <w:bottom w:w="0" w:type="dxa"/>
            <w:right w:w="108" w:type="dxa"/>
          </w:tblCellMar>
        </w:tblPrEx>
        <w:trPr>
          <w:trHeight w:val="641" w:hRule="atLeast"/>
        </w:trPr>
        <w:tc>
          <w:tcPr>
            <w:tcW w:w="13160" w:type="dxa"/>
            <w:tcBorders>
              <w:top w:val="nil"/>
              <w:left w:val="nil"/>
              <w:bottom w:val="nil"/>
              <w:right w:val="nil"/>
            </w:tcBorders>
            <w:shd w:val="clear" w:color="auto" w:fill="auto"/>
            <w:noWrap/>
            <w:vAlign w:val="center"/>
          </w:tcPr>
          <w:p>
            <w:pPr>
              <w:widowControl/>
              <w:jc w:val="center"/>
              <w:textAlignment w:val="center"/>
              <w:rPr>
                <w:rFonts w:hint="eastAsia" w:ascii="方正小标宋_GBK" w:hAnsi="方正小标宋_GBK" w:eastAsia="方正小标宋_GBK" w:cs="方正小标宋_GBK"/>
                <w:color w:val="000000"/>
                <w:sz w:val="40"/>
                <w:szCs w:val="40"/>
                <w:lang w:eastAsia="zh-CN"/>
              </w:rPr>
            </w:pPr>
            <w:r>
              <w:rPr>
                <w:rFonts w:hint="eastAsia" w:ascii="方正小标宋_GBK" w:hAnsi="方正小标宋_GBK" w:eastAsia="方正小标宋_GBK" w:cs="方正小标宋_GBK"/>
                <w:color w:val="000000"/>
                <w:kern w:val="0"/>
                <w:sz w:val="40"/>
                <w:szCs w:val="40"/>
              </w:rPr>
              <w:t>“全民动手共同缔造山城美丽家园”</w:t>
            </w:r>
            <w:r>
              <w:rPr>
                <w:rFonts w:hint="eastAsia" w:ascii="方正小标宋_GBK" w:hAnsi="方正小标宋_GBK" w:eastAsia="方正小标宋_GBK" w:cs="方正小标宋_GBK"/>
                <w:color w:val="000000"/>
                <w:kern w:val="0"/>
                <w:sz w:val="40"/>
                <w:szCs w:val="40"/>
                <w:lang w:eastAsia="zh-CN"/>
              </w:rPr>
              <w:t>亮点项目清单</w:t>
            </w:r>
          </w:p>
        </w:tc>
      </w:tr>
      <w:tr>
        <w:tblPrEx>
          <w:tblLayout w:type="fixed"/>
          <w:tblCellMar>
            <w:top w:w="0" w:type="dxa"/>
            <w:left w:w="108" w:type="dxa"/>
            <w:bottom w:w="0" w:type="dxa"/>
            <w:right w:w="108" w:type="dxa"/>
          </w:tblCellMar>
        </w:tblPrEx>
        <w:trPr>
          <w:trHeight w:val="641" w:hRule="atLeast"/>
        </w:trPr>
        <w:tc>
          <w:tcPr>
            <w:tcW w:w="13160" w:type="dxa"/>
            <w:tcBorders>
              <w:top w:val="nil"/>
              <w:left w:val="nil"/>
              <w:bottom w:val="nil"/>
              <w:right w:val="nil"/>
            </w:tcBorders>
            <w:shd w:val="clear" w:color="auto" w:fill="auto"/>
            <w:noWrap/>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填报单位（盖章）：       填报时间：              填报人：        联系电话：</w:t>
            </w:r>
          </w:p>
        </w:tc>
      </w:tr>
    </w:tbl>
    <w:tbl>
      <w:tblPr>
        <w:tblStyle w:val="9"/>
        <w:tblW w:w="13180"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088"/>
        <w:gridCol w:w="6032"/>
        <w:gridCol w:w="1856"/>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203" w:type="dxa"/>
          </w:tcPr>
          <w:p>
            <w:pPr>
              <w:pStyle w:val="2"/>
              <w:widowControl w:val="0"/>
              <w:ind w:right="210"/>
              <w:jc w:val="center"/>
              <w:rPr>
                <w:vertAlign w:val="baseline"/>
              </w:rPr>
            </w:pPr>
            <w:r>
              <w:rPr>
                <w:rFonts w:hint="eastAsia" w:ascii="方正黑体_GBK" w:hAnsi="方正黑体_GBK" w:eastAsia="方正黑体_GBK" w:cs="方正黑体_GBK"/>
                <w:color w:val="000000"/>
                <w:kern w:val="0"/>
                <w:sz w:val="28"/>
                <w:szCs w:val="28"/>
              </w:rPr>
              <w:t>序号</w:t>
            </w:r>
          </w:p>
        </w:tc>
        <w:tc>
          <w:tcPr>
            <w:tcW w:w="2088" w:type="dxa"/>
          </w:tcPr>
          <w:p>
            <w:pPr>
              <w:pStyle w:val="2"/>
              <w:widowControl w:val="0"/>
              <w:ind w:right="210"/>
              <w:jc w:val="center"/>
              <w:rPr>
                <w:rFonts w:hint="eastAsia" w:eastAsia="宋体"/>
                <w:vertAlign w:val="baseline"/>
                <w:lang w:eastAsia="zh-CN"/>
              </w:rPr>
            </w:pPr>
            <w:r>
              <w:rPr>
                <w:rFonts w:hint="eastAsia" w:ascii="方正黑体_GBK" w:hAnsi="方正黑体_GBK" w:eastAsia="方正黑体_GBK" w:cs="方正黑体_GBK"/>
                <w:sz w:val="28"/>
                <w:szCs w:val="28"/>
                <w:vertAlign w:val="baseline"/>
                <w:lang w:eastAsia="zh-CN"/>
              </w:rPr>
              <w:t>实施主体</w:t>
            </w:r>
          </w:p>
        </w:tc>
        <w:tc>
          <w:tcPr>
            <w:tcW w:w="6032" w:type="dxa"/>
          </w:tcPr>
          <w:p>
            <w:pPr>
              <w:pStyle w:val="2"/>
              <w:widowControl w:val="0"/>
              <w:ind w:right="210"/>
              <w:jc w:val="center"/>
              <w:rPr>
                <w:vertAlign w:val="baseline"/>
              </w:rPr>
            </w:pPr>
            <w:r>
              <w:rPr>
                <w:rFonts w:hint="eastAsia" w:ascii="方正黑体_GBK" w:hAnsi="方正黑体_GBK" w:eastAsia="方正黑体_GBK" w:cs="方正黑体_GBK"/>
                <w:sz w:val="28"/>
                <w:szCs w:val="28"/>
                <w:vertAlign w:val="baseline"/>
                <w:lang w:eastAsia="zh-CN"/>
              </w:rPr>
              <w:t>建设规模</w:t>
            </w:r>
          </w:p>
        </w:tc>
        <w:tc>
          <w:tcPr>
            <w:tcW w:w="1856" w:type="dxa"/>
          </w:tcPr>
          <w:p>
            <w:pPr>
              <w:pStyle w:val="2"/>
              <w:widowControl w:val="0"/>
              <w:ind w:right="210"/>
              <w:jc w:val="center"/>
              <w:rPr>
                <w:vertAlign w:val="baseline"/>
              </w:rPr>
            </w:pPr>
            <w:r>
              <w:rPr>
                <w:rFonts w:hint="eastAsia" w:ascii="方正黑体_GBK" w:hAnsi="方正黑体_GBK" w:eastAsia="方正黑体_GBK" w:cs="方正黑体_GBK"/>
                <w:sz w:val="28"/>
                <w:szCs w:val="28"/>
                <w:vertAlign w:val="baseline"/>
                <w:lang w:eastAsia="zh-CN"/>
              </w:rPr>
              <w:t>资金来源</w:t>
            </w:r>
          </w:p>
        </w:tc>
        <w:tc>
          <w:tcPr>
            <w:tcW w:w="2001" w:type="dxa"/>
          </w:tcPr>
          <w:p>
            <w:pPr>
              <w:pStyle w:val="2"/>
              <w:widowControl w:val="0"/>
              <w:ind w:right="210"/>
              <w:jc w:val="center"/>
              <w:rPr>
                <w:vertAlign w:val="baseline"/>
              </w:rPr>
            </w:pPr>
            <w:r>
              <w:rPr>
                <w:rFonts w:hint="eastAsia" w:ascii="方正黑体_GBK" w:hAnsi="方正黑体_GBK" w:eastAsia="方正黑体_GBK" w:cs="方正黑体_GBK"/>
                <w:sz w:val="28"/>
                <w:szCs w:val="28"/>
                <w:vertAlign w:val="baseline"/>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1203" w:type="dxa"/>
            <w:vAlign w:val="center"/>
          </w:tcPr>
          <w:p>
            <w:pPr>
              <w:pStyle w:val="2"/>
              <w:widowControl w:val="0"/>
              <w:ind w:right="210"/>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2088" w:type="dxa"/>
            <w:vAlign w:val="center"/>
          </w:tcPr>
          <w:p>
            <w:pPr>
              <w:pStyle w:val="2"/>
              <w:widowControl w:val="0"/>
              <w:ind w:right="210"/>
              <w:jc w:val="center"/>
              <w:rPr>
                <w:vertAlign w:val="baseline"/>
              </w:rPr>
            </w:pPr>
          </w:p>
        </w:tc>
        <w:tc>
          <w:tcPr>
            <w:tcW w:w="6032" w:type="dxa"/>
            <w:vAlign w:val="center"/>
          </w:tcPr>
          <w:p>
            <w:pPr>
              <w:pStyle w:val="2"/>
              <w:widowControl w:val="0"/>
              <w:ind w:right="210"/>
              <w:jc w:val="center"/>
              <w:rPr>
                <w:vertAlign w:val="baseline"/>
              </w:rPr>
            </w:pPr>
          </w:p>
        </w:tc>
        <w:tc>
          <w:tcPr>
            <w:tcW w:w="1856" w:type="dxa"/>
            <w:vAlign w:val="center"/>
          </w:tcPr>
          <w:p>
            <w:pPr>
              <w:pStyle w:val="2"/>
              <w:widowControl w:val="0"/>
              <w:ind w:right="210"/>
              <w:jc w:val="center"/>
              <w:rPr>
                <w:vertAlign w:val="baseline"/>
              </w:rPr>
            </w:pPr>
          </w:p>
        </w:tc>
        <w:tc>
          <w:tcPr>
            <w:tcW w:w="2001" w:type="dxa"/>
            <w:vAlign w:val="center"/>
          </w:tcPr>
          <w:p>
            <w:pPr>
              <w:pStyle w:val="2"/>
              <w:widowControl w:val="0"/>
              <w:ind w:right="21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1203" w:type="dxa"/>
            <w:vAlign w:val="center"/>
          </w:tcPr>
          <w:p>
            <w:pPr>
              <w:pStyle w:val="2"/>
              <w:widowControl w:val="0"/>
              <w:ind w:right="210"/>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w:t>
            </w:r>
          </w:p>
        </w:tc>
        <w:tc>
          <w:tcPr>
            <w:tcW w:w="2088" w:type="dxa"/>
            <w:vAlign w:val="center"/>
          </w:tcPr>
          <w:p>
            <w:pPr>
              <w:pStyle w:val="2"/>
              <w:widowControl w:val="0"/>
              <w:ind w:right="210"/>
              <w:jc w:val="center"/>
              <w:rPr>
                <w:vertAlign w:val="baseline"/>
              </w:rPr>
            </w:pPr>
          </w:p>
        </w:tc>
        <w:tc>
          <w:tcPr>
            <w:tcW w:w="6032" w:type="dxa"/>
            <w:vAlign w:val="center"/>
          </w:tcPr>
          <w:p>
            <w:pPr>
              <w:pStyle w:val="2"/>
              <w:widowControl w:val="0"/>
              <w:ind w:right="210"/>
              <w:jc w:val="center"/>
              <w:rPr>
                <w:vertAlign w:val="baseline"/>
              </w:rPr>
            </w:pPr>
          </w:p>
        </w:tc>
        <w:tc>
          <w:tcPr>
            <w:tcW w:w="1856" w:type="dxa"/>
            <w:vAlign w:val="center"/>
          </w:tcPr>
          <w:p>
            <w:pPr>
              <w:pStyle w:val="2"/>
              <w:widowControl w:val="0"/>
              <w:ind w:right="210"/>
              <w:jc w:val="center"/>
              <w:rPr>
                <w:vertAlign w:val="baseline"/>
              </w:rPr>
            </w:pPr>
          </w:p>
        </w:tc>
        <w:tc>
          <w:tcPr>
            <w:tcW w:w="2001" w:type="dxa"/>
            <w:vAlign w:val="center"/>
          </w:tcPr>
          <w:p>
            <w:pPr>
              <w:pStyle w:val="2"/>
              <w:widowControl w:val="0"/>
              <w:ind w:right="21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1203" w:type="dxa"/>
            <w:vAlign w:val="center"/>
          </w:tcPr>
          <w:p>
            <w:pPr>
              <w:pStyle w:val="2"/>
              <w:widowControl w:val="0"/>
              <w:ind w:right="210"/>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w:t>
            </w:r>
          </w:p>
        </w:tc>
        <w:tc>
          <w:tcPr>
            <w:tcW w:w="2088" w:type="dxa"/>
            <w:vAlign w:val="center"/>
          </w:tcPr>
          <w:p>
            <w:pPr>
              <w:pStyle w:val="2"/>
              <w:widowControl w:val="0"/>
              <w:ind w:right="210"/>
              <w:jc w:val="center"/>
              <w:rPr>
                <w:vertAlign w:val="baseline"/>
              </w:rPr>
            </w:pPr>
          </w:p>
        </w:tc>
        <w:tc>
          <w:tcPr>
            <w:tcW w:w="6032" w:type="dxa"/>
            <w:vAlign w:val="center"/>
          </w:tcPr>
          <w:p>
            <w:pPr>
              <w:pStyle w:val="2"/>
              <w:widowControl w:val="0"/>
              <w:ind w:right="210"/>
              <w:jc w:val="center"/>
              <w:rPr>
                <w:vertAlign w:val="baseline"/>
              </w:rPr>
            </w:pPr>
          </w:p>
        </w:tc>
        <w:tc>
          <w:tcPr>
            <w:tcW w:w="1856" w:type="dxa"/>
            <w:vAlign w:val="center"/>
          </w:tcPr>
          <w:p>
            <w:pPr>
              <w:pStyle w:val="2"/>
              <w:widowControl w:val="0"/>
              <w:ind w:right="210"/>
              <w:jc w:val="center"/>
              <w:rPr>
                <w:vertAlign w:val="baseline"/>
              </w:rPr>
            </w:pPr>
          </w:p>
        </w:tc>
        <w:tc>
          <w:tcPr>
            <w:tcW w:w="2001" w:type="dxa"/>
            <w:vAlign w:val="center"/>
          </w:tcPr>
          <w:p>
            <w:pPr>
              <w:pStyle w:val="2"/>
              <w:widowControl w:val="0"/>
              <w:ind w:right="21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203" w:type="dxa"/>
            <w:vAlign w:val="center"/>
          </w:tcPr>
          <w:p>
            <w:pPr>
              <w:pStyle w:val="2"/>
              <w:widowControl w:val="0"/>
              <w:ind w:right="210"/>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w:t>
            </w:r>
          </w:p>
        </w:tc>
        <w:tc>
          <w:tcPr>
            <w:tcW w:w="2088" w:type="dxa"/>
            <w:vAlign w:val="center"/>
          </w:tcPr>
          <w:p>
            <w:pPr>
              <w:pStyle w:val="2"/>
              <w:widowControl w:val="0"/>
              <w:ind w:right="210"/>
              <w:jc w:val="center"/>
              <w:rPr>
                <w:vertAlign w:val="baseline"/>
              </w:rPr>
            </w:pPr>
          </w:p>
        </w:tc>
        <w:tc>
          <w:tcPr>
            <w:tcW w:w="6032" w:type="dxa"/>
            <w:vAlign w:val="center"/>
          </w:tcPr>
          <w:p>
            <w:pPr>
              <w:pStyle w:val="2"/>
              <w:widowControl w:val="0"/>
              <w:ind w:right="210"/>
              <w:jc w:val="center"/>
              <w:rPr>
                <w:vertAlign w:val="baseline"/>
              </w:rPr>
            </w:pPr>
          </w:p>
        </w:tc>
        <w:tc>
          <w:tcPr>
            <w:tcW w:w="1856" w:type="dxa"/>
            <w:vAlign w:val="center"/>
          </w:tcPr>
          <w:p>
            <w:pPr>
              <w:pStyle w:val="2"/>
              <w:widowControl w:val="0"/>
              <w:ind w:right="210"/>
              <w:jc w:val="center"/>
              <w:rPr>
                <w:vertAlign w:val="baseline"/>
              </w:rPr>
            </w:pPr>
          </w:p>
        </w:tc>
        <w:tc>
          <w:tcPr>
            <w:tcW w:w="2001" w:type="dxa"/>
            <w:vAlign w:val="center"/>
          </w:tcPr>
          <w:p>
            <w:pPr>
              <w:pStyle w:val="2"/>
              <w:widowControl w:val="0"/>
              <w:ind w:right="21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1203" w:type="dxa"/>
            <w:vAlign w:val="center"/>
          </w:tcPr>
          <w:p>
            <w:pPr>
              <w:pStyle w:val="2"/>
              <w:widowControl w:val="0"/>
              <w:ind w:right="210"/>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5</w:t>
            </w:r>
          </w:p>
        </w:tc>
        <w:tc>
          <w:tcPr>
            <w:tcW w:w="2088" w:type="dxa"/>
            <w:vAlign w:val="center"/>
          </w:tcPr>
          <w:p>
            <w:pPr>
              <w:pStyle w:val="2"/>
              <w:widowControl w:val="0"/>
              <w:ind w:right="210"/>
              <w:jc w:val="center"/>
              <w:rPr>
                <w:vertAlign w:val="baseline"/>
              </w:rPr>
            </w:pPr>
          </w:p>
        </w:tc>
        <w:tc>
          <w:tcPr>
            <w:tcW w:w="6032" w:type="dxa"/>
            <w:vAlign w:val="center"/>
          </w:tcPr>
          <w:p>
            <w:pPr>
              <w:pStyle w:val="2"/>
              <w:widowControl w:val="0"/>
              <w:ind w:right="210"/>
              <w:jc w:val="center"/>
              <w:rPr>
                <w:vertAlign w:val="baseline"/>
              </w:rPr>
            </w:pPr>
          </w:p>
        </w:tc>
        <w:tc>
          <w:tcPr>
            <w:tcW w:w="1856" w:type="dxa"/>
            <w:vAlign w:val="center"/>
          </w:tcPr>
          <w:p>
            <w:pPr>
              <w:pStyle w:val="2"/>
              <w:widowControl w:val="0"/>
              <w:ind w:right="210"/>
              <w:jc w:val="center"/>
              <w:rPr>
                <w:vertAlign w:val="baseline"/>
              </w:rPr>
            </w:pPr>
          </w:p>
        </w:tc>
        <w:tc>
          <w:tcPr>
            <w:tcW w:w="2001" w:type="dxa"/>
            <w:vAlign w:val="center"/>
          </w:tcPr>
          <w:p>
            <w:pPr>
              <w:pStyle w:val="2"/>
              <w:widowControl w:val="0"/>
              <w:ind w:right="210"/>
              <w:jc w:val="center"/>
              <w:rPr>
                <w:vertAlign w:val="baseline"/>
              </w:rPr>
            </w:pPr>
          </w:p>
        </w:tc>
      </w:tr>
    </w:tbl>
    <w:tbl>
      <w:tblPr>
        <w:tblStyle w:val="8"/>
        <w:tblW w:w="13634" w:type="dxa"/>
        <w:tblInd w:w="93" w:type="dxa"/>
        <w:tblLayout w:type="fixed"/>
        <w:tblCellMar>
          <w:top w:w="0" w:type="dxa"/>
          <w:left w:w="108" w:type="dxa"/>
          <w:bottom w:w="0" w:type="dxa"/>
          <w:right w:w="108" w:type="dxa"/>
        </w:tblCellMar>
      </w:tblPr>
      <w:tblGrid>
        <w:gridCol w:w="13634"/>
      </w:tblGrid>
      <w:tr>
        <w:tblPrEx>
          <w:tblLayout w:type="fixed"/>
          <w:tblCellMar>
            <w:top w:w="0" w:type="dxa"/>
            <w:left w:w="108" w:type="dxa"/>
            <w:bottom w:w="0" w:type="dxa"/>
            <w:right w:w="108" w:type="dxa"/>
          </w:tblCellMar>
        </w:tblPrEx>
        <w:trPr>
          <w:trHeight w:val="624" w:hRule="atLeast"/>
        </w:trPr>
        <w:tc>
          <w:tcPr>
            <w:tcW w:w="13634" w:type="dxa"/>
            <w:tcBorders>
              <w:top w:val="nil"/>
              <w:left w:val="nil"/>
              <w:bottom w:val="nil"/>
              <w:right w:val="nil"/>
            </w:tcBorders>
            <w:shd w:val="clear" w:color="auto" w:fill="auto"/>
          </w:tcPr>
          <w:p>
            <w:pPr>
              <w:widowControl/>
              <w:jc w:val="left"/>
              <w:textAlignment w:val="top"/>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说明：</w:t>
            </w:r>
            <w:r>
              <w:rPr>
                <w:rFonts w:hint="eastAsia" w:ascii="方正仿宋_GBK" w:hAnsi="方正仿宋_GBK" w:eastAsia="方正仿宋_GBK" w:cs="方正仿宋_GBK"/>
                <w:color w:val="000000"/>
                <w:sz w:val="28"/>
                <w:szCs w:val="28"/>
                <w:lang w:val="en-US" w:eastAsia="zh-CN"/>
              </w:rPr>
              <w:t>1.项目数量不仅限于上表。</w:t>
            </w:r>
            <w:r>
              <w:rPr>
                <w:rFonts w:hint="eastAsia" w:ascii="方正仿宋_GBK" w:hAnsi="方正仿宋_GBK" w:eastAsia="方正仿宋_GBK" w:cs="方正仿宋_GBK"/>
                <w:color w:val="auto"/>
                <w:sz w:val="28"/>
                <w:szCs w:val="28"/>
                <w:lang w:val="en-US" w:eastAsia="zh-CN"/>
              </w:rPr>
              <w:t>2.各镇乡街道也需填写。</w:t>
            </w:r>
          </w:p>
        </w:tc>
      </w:tr>
    </w:tbl>
    <w:p>
      <w:pPr>
        <w:spacing w:line="560" w:lineRule="exact"/>
        <w:jc w:val="left"/>
        <w:rPr>
          <w:rFonts w:ascii="方正仿宋_GBK" w:hAnsi="方正仿宋_GBK" w:eastAsia="方正仿宋_GBK" w:cs="方正仿宋_GBK"/>
          <w:sz w:val="32"/>
          <w:szCs w:val="32"/>
        </w:rPr>
      </w:pPr>
    </w:p>
    <w:sectPr>
      <w:pgSz w:w="16838" w:h="11906" w:orient="landscape"/>
      <w:pgMar w:top="1587" w:right="2098" w:bottom="1474" w:left="1985"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AA334"/>
    <w:multiLevelType w:val="singleLevel"/>
    <w:tmpl w:val="94AAA33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evenAndOddHeaders w:val="1"/>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D6476"/>
    <w:rsid w:val="0000718D"/>
    <w:rsid w:val="00023907"/>
    <w:rsid w:val="00110BAC"/>
    <w:rsid w:val="00117A46"/>
    <w:rsid w:val="00307B48"/>
    <w:rsid w:val="00362FA8"/>
    <w:rsid w:val="003D564B"/>
    <w:rsid w:val="004170CD"/>
    <w:rsid w:val="00482386"/>
    <w:rsid w:val="00494535"/>
    <w:rsid w:val="00524213"/>
    <w:rsid w:val="00525A0A"/>
    <w:rsid w:val="00556189"/>
    <w:rsid w:val="00652860"/>
    <w:rsid w:val="00666D1B"/>
    <w:rsid w:val="006F0D2F"/>
    <w:rsid w:val="007070D4"/>
    <w:rsid w:val="00755DFE"/>
    <w:rsid w:val="007700FE"/>
    <w:rsid w:val="00776E4C"/>
    <w:rsid w:val="00786D63"/>
    <w:rsid w:val="008470E7"/>
    <w:rsid w:val="009E4092"/>
    <w:rsid w:val="00A71928"/>
    <w:rsid w:val="00BF621B"/>
    <w:rsid w:val="00C27735"/>
    <w:rsid w:val="00E138BD"/>
    <w:rsid w:val="00F355B8"/>
    <w:rsid w:val="069D6476"/>
    <w:rsid w:val="07107D48"/>
    <w:rsid w:val="094A2733"/>
    <w:rsid w:val="10EA47D9"/>
    <w:rsid w:val="12656040"/>
    <w:rsid w:val="18B0302B"/>
    <w:rsid w:val="29E70A7B"/>
    <w:rsid w:val="31285E68"/>
    <w:rsid w:val="32584D94"/>
    <w:rsid w:val="3289214E"/>
    <w:rsid w:val="3C671519"/>
    <w:rsid w:val="3D570E76"/>
    <w:rsid w:val="3DF30D4B"/>
    <w:rsid w:val="3EB31EE2"/>
    <w:rsid w:val="466B21E3"/>
    <w:rsid w:val="46897547"/>
    <w:rsid w:val="4F140E5A"/>
    <w:rsid w:val="559E62DD"/>
    <w:rsid w:val="56AB615B"/>
    <w:rsid w:val="56B06468"/>
    <w:rsid w:val="5900576F"/>
    <w:rsid w:val="5DA40E01"/>
    <w:rsid w:val="66E3019E"/>
    <w:rsid w:val="696A1352"/>
    <w:rsid w:val="6AE00620"/>
    <w:rsid w:val="6CAC462A"/>
    <w:rsid w:val="6E7102A4"/>
    <w:rsid w:val="6EC94529"/>
    <w:rsid w:val="779E7397"/>
    <w:rsid w:val="78AF22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qFormat/>
    <w:uiPriority w:val="0"/>
    <w:pPr>
      <w:ind w:left="100" w:leftChars="100" w:right="100" w:rightChars="100"/>
      <w:jc w:val="both"/>
    </w:pPr>
    <w:rPr>
      <w:rFonts w:ascii="Calibri" w:hAnsi="Calibri" w:eastAsia="宋体" w:cs="Times New Roman"/>
      <w:sz w:val="21"/>
      <w:szCs w:val="21"/>
      <w:lang w:val="en-US" w:eastAsia="zh-CN" w:bidi="ar-SA"/>
    </w:rPr>
  </w:style>
  <w:style w:type="paragraph" w:styleId="3">
    <w:name w:val="Body Text Indent"/>
    <w:basedOn w:val="1"/>
    <w:link w:val="16"/>
    <w:qFormat/>
    <w:uiPriority w:val="0"/>
    <w:pPr>
      <w:ind w:firstLine="640" w:firstLineChars="200"/>
    </w:pPr>
    <w:rPr>
      <w:rFonts w:hint="eastAsia" w:ascii="仿宋_GB2312" w:hAnsi="Times New Roman" w:eastAsia="仿宋_GB2312"/>
      <w:sz w:val="32"/>
      <w:szCs w:val="20"/>
    </w:rPr>
  </w:style>
  <w:style w:type="paragraph" w:styleId="4">
    <w:name w:val="Date"/>
    <w:basedOn w:val="1"/>
    <w:next w:val="1"/>
    <w:link w:val="15"/>
    <w:qFormat/>
    <w:uiPriority w:val="0"/>
    <w:pPr>
      <w:ind w:left="100" w:leftChars="25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Calibri"/>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页眉 Char"/>
    <w:basedOn w:val="10"/>
    <w:link w:val="6"/>
    <w:qFormat/>
    <w:uiPriority w:val="0"/>
    <w:rPr>
      <w:rFonts w:ascii="Calibri" w:hAnsi="Calibri" w:eastAsia="宋体" w:cs="Times New Roman"/>
      <w:kern w:val="2"/>
      <w:sz w:val="18"/>
      <w:szCs w:val="18"/>
    </w:rPr>
  </w:style>
  <w:style w:type="character" w:customStyle="1" w:styleId="13">
    <w:name w:val="页脚 Char"/>
    <w:basedOn w:val="10"/>
    <w:link w:val="5"/>
    <w:qFormat/>
    <w:uiPriority w:val="99"/>
    <w:rPr>
      <w:rFonts w:ascii="Calibri" w:hAnsi="Calibri" w:eastAsia="宋体" w:cs="Times New Roman"/>
      <w:kern w:val="2"/>
      <w:sz w:val="18"/>
      <w:szCs w:val="18"/>
    </w:rPr>
  </w:style>
  <w:style w:type="paragraph" w:customStyle="1" w:styleId="14">
    <w:name w:val="p0"/>
    <w:basedOn w:val="1"/>
    <w:qFormat/>
    <w:uiPriority w:val="0"/>
    <w:pPr>
      <w:widowControl/>
    </w:pPr>
    <w:rPr>
      <w:rFonts w:ascii="Times New Roman" w:hAnsi="Times New Roman"/>
      <w:kern w:val="0"/>
      <w:szCs w:val="21"/>
    </w:rPr>
  </w:style>
  <w:style w:type="character" w:customStyle="1" w:styleId="15">
    <w:name w:val="日期 Char"/>
    <w:basedOn w:val="10"/>
    <w:link w:val="4"/>
    <w:qFormat/>
    <w:uiPriority w:val="0"/>
    <w:rPr>
      <w:rFonts w:ascii="Calibri" w:hAnsi="Calibri"/>
      <w:kern w:val="2"/>
      <w:sz w:val="21"/>
      <w:szCs w:val="24"/>
    </w:rPr>
  </w:style>
  <w:style w:type="character" w:customStyle="1" w:styleId="16">
    <w:name w:val="正文文本缩进 Char"/>
    <w:basedOn w:val="10"/>
    <w:link w:val="3"/>
    <w:qFormat/>
    <w:uiPriority w:val="0"/>
    <w:rPr>
      <w:rFonts w:ascii="仿宋_GB2312" w:eastAsia="仿宋_GB2312"/>
      <w:kern w:val="2"/>
      <w:sz w:val="32"/>
    </w:rPr>
  </w:style>
  <w:style w:type="character" w:customStyle="1" w:styleId="17">
    <w:name w:val="二级标题 Char"/>
    <w:link w:val="18"/>
    <w:qFormat/>
    <w:uiPriority w:val="0"/>
    <w:rPr>
      <w:rFonts w:ascii="方正楷体_GBK" w:eastAsia="方正楷体_GBK"/>
      <w:kern w:val="2"/>
      <w:sz w:val="32"/>
      <w:szCs w:val="22"/>
      <w:lang w:val="en-US" w:eastAsia="zh-CN" w:bidi="ar-SA"/>
    </w:rPr>
  </w:style>
  <w:style w:type="paragraph" w:customStyle="1" w:styleId="18">
    <w:name w:val="二级标题"/>
    <w:next w:val="1"/>
    <w:link w:val="17"/>
    <w:qFormat/>
    <w:uiPriority w:val="0"/>
    <w:pPr>
      <w:spacing w:line="600" w:lineRule="exact"/>
      <w:ind w:firstLine="200" w:firstLineChars="200"/>
      <w:jc w:val="both"/>
    </w:pPr>
    <w:rPr>
      <w:rFonts w:ascii="方正楷体_GBK" w:hAnsi="Times New Roman" w:eastAsia="方正楷体_GBK" w:cs="Times New Roman"/>
      <w:kern w:val="2"/>
      <w:sz w:val="32"/>
      <w:szCs w:val="22"/>
      <w:lang w:val="en-US" w:eastAsia="zh-CN" w:bidi="ar-SA"/>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0">
    <w:name w:val="一级标题"/>
    <w:next w:val="1"/>
    <w:qFormat/>
    <w:uiPriority w:val="0"/>
    <w:pPr>
      <w:spacing w:line="600" w:lineRule="exact"/>
      <w:ind w:firstLine="200" w:firstLineChars="200"/>
      <w:jc w:val="both"/>
    </w:pPr>
    <w:rPr>
      <w:rFonts w:ascii="方正黑体_GBK" w:hAnsi="Times New Roman" w:eastAsia="方正黑体_GBK"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区城管局</Company>
  <Pages>3</Pages>
  <Words>267</Words>
  <Characters>1522</Characters>
  <Lines>12</Lines>
  <Paragraphs>3</Paragraphs>
  <TotalTime>0</TotalTime>
  <ScaleCrop>false</ScaleCrop>
  <LinksUpToDate>false</LinksUpToDate>
  <CharactersWithSpaces>1786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2022-01-05T03:37:00Z</dcterms:created>
  <dc:creator>王家国[19923520790]</dc:creator>
  <cp:lastModifiedBy>Administrator</cp:lastModifiedBy>
  <cp:lastPrinted>2022-01-10T03:18:00Z</cp:lastPrinted>
  <dcterms:modified xsi:type="dcterms:W3CDTF">2025-04-18T09:04:38Z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