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540" w:lineRule="exact"/>
        <w:jc w:val="center"/>
        <w:rPr>
          <w:rFonts w:ascii="方正小标宋_GBK" w:eastAsia="方正小标宋_GBK"/>
          <w:color w:val="000000"/>
          <w:spacing w:val="-10"/>
          <w:sz w:val="44"/>
          <w:szCs w:val="44"/>
        </w:rPr>
      </w:pPr>
      <w:r>
        <w:rPr>
          <w:rFonts w:hint="eastAsia" w:ascii="方正小标宋_GBK" w:eastAsia="方正小标宋_GBK"/>
          <w:color w:val="000000"/>
          <w:spacing w:val="-10"/>
          <w:sz w:val="44"/>
          <w:szCs w:val="44"/>
        </w:rPr>
        <w:t>重庆市万州区城市提升指挥部城市管理组办公室</w:t>
      </w:r>
    </w:p>
    <w:p>
      <w:pPr>
        <w:spacing w:line="540" w:lineRule="exact"/>
        <w:jc w:val="center"/>
        <w:rPr>
          <w:rFonts w:ascii="方正小标宋_GBK" w:hAnsi="方正小标宋_GBK" w:eastAsia="方正小标宋_GBK" w:cs="方正小标宋_GBK"/>
          <w:sz w:val="44"/>
          <w:szCs w:val="44"/>
        </w:rPr>
      </w:pPr>
      <w:r>
        <w:rPr>
          <w:rFonts w:hint="eastAsia" w:ascii="方正小标宋_GBK" w:eastAsia="方正小标宋_GBK"/>
          <w:sz w:val="44"/>
          <w:szCs w:val="44"/>
        </w:rPr>
        <w:t>关于</w:t>
      </w:r>
      <w:r>
        <w:rPr>
          <w:rFonts w:hint="eastAsia" w:ascii="方正小标宋_GBK" w:eastAsia="方正小标宋_GBK"/>
          <w:spacing w:val="-10"/>
          <w:kern w:val="0"/>
          <w:sz w:val="44"/>
          <w:szCs w:val="44"/>
        </w:rPr>
        <w:t>印发《</w:t>
      </w:r>
      <w:r>
        <w:rPr>
          <w:rFonts w:hint="eastAsia" w:ascii="方正小标宋_GBK" w:hAnsi="方正小标宋_GBK" w:eastAsia="方正小标宋_GBK" w:cs="方正小标宋_GBK"/>
          <w:sz w:val="44"/>
          <w:szCs w:val="44"/>
        </w:rPr>
        <w:t>重庆市万州城区户外公共区域</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食品摊贩规范经营疏导区设置方案</w:t>
      </w:r>
    </w:p>
    <w:p>
      <w:pPr>
        <w:spacing w:line="540" w:lineRule="exact"/>
        <w:jc w:val="center"/>
        <w:rPr>
          <w:rFonts w:hint="eastAsia" w:ascii="方正小标宋_GBK" w:eastAsia="方正小标宋_GBK"/>
          <w:spacing w:val="-10"/>
          <w:kern w:val="0"/>
          <w:sz w:val="44"/>
          <w:szCs w:val="44"/>
        </w:rPr>
      </w:pPr>
      <w:r>
        <w:rPr>
          <w:rFonts w:hint="eastAsia" w:ascii="方正小标宋_GBK" w:hAnsi="方正小标宋_GBK" w:eastAsia="方正小标宋_GBK" w:cs="方正小标宋_GBK"/>
          <w:sz w:val="44"/>
          <w:szCs w:val="44"/>
        </w:rPr>
        <w:t>（2020-2022年）</w:t>
      </w:r>
      <w:r>
        <w:rPr>
          <w:rFonts w:hint="eastAsia" w:ascii="方正小标宋_GBK" w:eastAsia="方正小标宋_GBK"/>
          <w:spacing w:val="-10"/>
          <w:kern w:val="0"/>
          <w:sz w:val="44"/>
          <w:szCs w:val="44"/>
        </w:rPr>
        <w:t>》的通知</w:t>
      </w:r>
    </w:p>
    <w:p>
      <w:pPr>
        <w:pStyle w:val="2"/>
      </w:pPr>
    </w:p>
    <w:p>
      <w:pPr>
        <w:spacing w:line="560" w:lineRule="exact"/>
        <w:jc w:val="center"/>
        <w:rPr>
          <w:rFonts w:ascii="方正仿宋_GBK" w:eastAsia="方正仿宋_GBK"/>
          <w:sz w:val="32"/>
        </w:rPr>
      </w:pPr>
      <w:r>
        <w:rPr>
          <w:rFonts w:hint="eastAsia" w:ascii="方正仿宋_GBK" w:eastAsia="方正仿宋_GBK"/>
          <w:color w:val="000000"/>
          <w:sz w:val="32"/>
          <w:szCs w:val="32"/>
        </w:rPr>
        <w:t>万州城管组办发〔2020〕44号</w:t>
      </w:r>
    </w:p>
    <w:p>
      <w:pPr>
        <w:pStyle w:val="2"/>
        <w:spacing w:line="560" w:lineRule="exact"/>
        <w:ind w:left="210" w:right="210"/>
      </w:pPr>
    </w:p>
    <w:p>
      <w:pPr>
        <w:spacing w:line="560" w:lineRule="exact"/>
        <w:rPr>
          <w:rFonts w:ascii="方正仿宋_GBK" w:eastAsia="方正仿宋_GBK"/>
          <w:sz w:val="32"/>
          <w:szCs w:val="32"/>
        </w:rPr>
      </w:pPr>
      <w:r>
        <w:rPr>
          <w:rFonts w:hint="eastAsia" w:ascii="方正仿宋_GBK" w:eastAsia="方正仿宋_GBK"/>
          <w:sz w:val="32"/>
          <w:szCs w:val="32"/>
        </w:rPr>
        <w:t>高峰镇、各街道办事处：</w:t>
      </w:r>
    </w:p>
    <w:p>
      <w:pPr>
        <w:spacing w:line="560" w:lineRule="exact"/>
        <w:ind w:firstLine="645"/>
        <w:rPr>
          <w:rFonts w:ascii="方正仿宋_GBK" w:eastAsia="方正仿宋_GBK"/>
          <w:sz w:val="32"/>
          <w:szCs w:val="32"/>
        </w:rPr>
      </w:pPr>
      <w:r>
        <w:rPr>
          <w:rFonts w:hint="eastAsia" w:ascii="方正仿宋_GBK" w:eastAsia="方正仿宋_GBK"/>
          <w:sz w:val="32"/>
          <w:szCs w:val="32"/>
        </w:rPr>
        <w:t>《重庆市万州城区户外公共区域食品摊贩规范经营疏导区设置方案（2020-2022年）》已经区城市提升指挥部城市管理组领导同志同意，现印发给你们，请抓好贯彻落实。</w:t>
      </w:r>
    </w:p>
    <w:p>
      <w:pPr>
        <w:pStyle w:val="2"/>
        <w:ind w:left="0" w:leftChars="0" w:right="210"/>
      </w:pPr>
    </w:p>
    <w:p>
      <w:pPr>
        <w:pStyle w:val="3"/>
        <w:spacing w:line="560" w:lineRule="exact"/>
        <w:ind w:firstLine="3520" w:firstLineChars="11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重庆市万州区城市管理局（代章）</w:t>
      </w:r>
    </w:p>
    <w:p>
      <w:pPr>
        <w:pStyle w:val="3"/>
        <w:spacing w:line="560" w:lineRule="exact"/>
        <w:ind w:firstLine="4160" w:firstLineChars="13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2020年7月13日</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（此件公开发布）</w:t>
      </w:r>
      <w:bookmarkStart w:id="0" w:name="_GoBack"/>
      <w:bookmarkEnd w:id="0"/>
    </w:p>
    <w:p>
      <w:pPr>
        <w:pStyle w:val="3"/>
        <w:spacing w:line="560" w:lineRule="exact"/>
        <w:ind w:firstLine="4160" w:firstLineChars="1300"/>
        <w:rPr>
          <w:rFonts w:hint="eastAsia" w:ascii="方正仿宋_GBK" w:hAnsi="Times New Roman" w:eastAsia="方正仿宋_GBK" w:cs="Times New Roman"/>
          <w:sz w:val="32"/>
          <w:szCs w:val="32"/>
          <w:lang w:val="en-US" w:eastAsia="zh-CN"/>
        </w:rPr>
      </w:pPr>
    </w:p>
    <w:p>
      <w:pPr>
        <w:pStyle w:val="3"/>
        <w:spacing w:line="560" w:lineRule="exact"/>
        <w:ind w:firstLine="4160" w:firstLineChars="1300"/>
        <w:rPr>
          <w:rFonts w:hint="default" w:ascii="方正仿宋_GBK" w:hAnsi="Times New Roman" w:eastAsia="方正仿宋_GBK" w:cs="Times New Roman"/>
          <w:sz w:val="32"/>
          <w:szCs w:val="32"/>
          <w:lang w:val="en-US" w:eastAsia="zh-CN"/>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重庆市万州城区户外公共区域</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食品摊贩规范经营疏导区设置方案</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（2020-2022年）</w:t>
      </w:r>
    </w:p>
    <w:p>
      <w:pPr>
        <w:spacing w:line="560" w:lineRule="exact"/>
        <w:ind w:firstLine="640" w:firstLineChars="200"/>
        <w:jc w:val="left"/>
        <w:rPr>
          <w:rFonts w:ascii="方正仿宋_GBK" w:hAnsi="方正仿宋_GBK" w:eastAsia="方正仿宋_GBK" w:cs="方正仿宋_GBK"/>
          <w:sz w:val="32"/>
          <w:szCs w:val="32"/>
        </w:rPr>
      </w:pP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食品摊贩生产经营行为，改善市容环境卫生秩序，方便群众生活，解决困难群众经营需求，促进夜间经济发展，保障食品安全和公众健康，结合《重庆市万州城区食品摊区设置规划》（2017-2020年）及城区街道现状和未来3年的发展趋势，在不影响安全、交通、市容、环保前提下，特制定重庆市万州城区户外公共区域食品摊贩规范经营疏导区设置方案。</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一、设置原则</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设置合理，规范管理”的原则，结合万州城区各街道现状和特色，以实事求是、科学设计、减量提档、便民服务、合理布局、积极引导、规范有序、解决问题为指导，科学设置城区食品摊贩规范经营疏导区。</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二、规划依据</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（一）《重庆市市政设施管理条例》</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（二）《重庆市市容环境卫生管理条例》</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（三）《重庆市食品生产加工小作坊和食品摊贩管理条例》</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（四）《重庆市人民政府关于发展夜市经济的意见》（渝府发﹝2014﹞27号）</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（五）重庆市人民政府办公厅《关于进一步做好食品生产加工小作坊和食品摊贩管理工作的通知》（工作通知〔2017〕228号）</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（六）《〈万州城区户外招牌设置导则〉和〈重庆市万州区食品摊区设置规划〉审议会议纪要》（万州府纪〔2017〕72号）</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（七）《重庆市万州城区食品摊区设置规划（2017-2020年）》</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（八）其他有关法律法规、技术标准和规范。</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三、设置期限</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本方案期限为三年，2020年—2022年。</w:t>
      </w:r>
    </w:p>
    <w:p>
      <w:pPr>
        <w:spacing w:line="560" w:lineRule="exact"/>
        <w:ind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四、组织管理</w:t>
      </w:r>
    </w:p>
    <w:p>
      <w:pPr>
        <w:widowControl/>
        <w:shd w:val="clear" w:color="auto" w:fill="FFFFFF"/>
        <w:autoSpaceDN w:val="0"/>
        <w:spacing w:line="560" w:lineRule="exact"/>
        <w:ind w:firstLine="640"/>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区城市管理局负责规划、</w:t>
      </w:r>
      <w:r>
        <w:rPr>
          <w:rFonts w:hint="eastAsia" w:ascii="方正仿宋_GBK" w:eastAsia="方正仿宋_GBK"/>
          <w:color w:val="000000"/>
          <w:kern w:val="0"/>
          <w:sz w:val="32"/>
          <w:szCs w:val="32"/>
        </w:rPr>
        <w:t>调整、指导、监督</w:t>
      </w:r>
      <w:r>
        <w:rPr>
          <w:rFonts w:hint="eastAsia" w:ascii="方正仿宋_GBK" w:hAnsi="方正仿宋_GBK" w:eastAsia="方正仿宋_GBK" w:cs="方正仿宋_GBK"/>
          <w:sz w:val="32"/>
          <w:szCs w:val="32"/>
        </w:rPr>
        <w:t>食品摊贩规范经营疏导区范围、</w:t>
      </w:r>
      <w:r>
        <w:rPr>
          <w:rFonts w:hint="eastAsia" w:ascii="方正仿宋_GBK" w:eastAsia="方正仿宋_GBK"/>
          <w:color w:val="000000"/>
          <w:kern w:val="0"/>
          <w:sz w:val="32"/>
          <w:szCs w:val="32"/>
        </w:rPr>
        <w:t>划线、定点定位等工作；</w:t>
      </w:r>
      <w:r>
        <w:rPr>
          <w:rFonts w:hint="eastAsia" w:ascii="方正仿宋_GBK" w:hAnsi="方正仿宋_GBK" w:eastAsia="方正仿宋_GBK" w:cs="方正仿宋_GBK"/>
          <w:sz w:val="32"/>
          <w:szCs w:val="32"/>
        </w:rPr>
        <w:t>各街道办事处（镇政府）负责食品摊贩规范经营疏导区的具体管理工作，同时安排辖区城管大队具体工作；辖区城管大队负责食品摊贩规范经营疏导区内容貌秩序和执法工作。</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五、设置范围</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城市建成区作为本次食品摊贩规范经营疏导区的设置范围，主要涉及11个街道办事处和经开区石梁还房（高峰镇城市建成区），共设置食品摊贩规范疏导区147处，其中保留原规划82处，新增65处；同时设置31个困难群众临时占道摊点。</w:t>
      </w:r>
    </w:p>
    <w:p>
      <w:pPr>
        <w:adjustRightInd w:val="0"/>
        <w:snapToGrid w:val="0"/>
        <w:spacing w:line="56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六、经营时段</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早市在每天8:30前收摊；夜市在11月1日至次年3月31日，17:30-22:00；4月1日至10月31日，18：00-22:30。</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七、管理要求</w:t>
      </w:r>
    </w:p>
    <w:p>
      <w:pPr>
        <w:pStyle w:val="9"/>
        <w:widowControl/>
        <w:spacing w:before="0" w:beforeAutospacing="0" w:after="0" w:afterAutospacing="0"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（一）严格管理标准</w:t>
      </w:r>
    </w:p>
    <w:p>
      <w:pPr>
        <w:widowControl/>
        <w:shd w:val="clear" w:color="auto" w:fill="FFFFFF"/>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eastAsia="方正仿宋_GBK"/>
          <w:color w:val="000000"/>
          <w:kern w:val="0"/>
          <w:sz w:val="32"/>
          <w:szCs w:val="32"/>
        </w:rPr>
        <w:t>严格落实“三限、三有、三控”（限时间、限地点、限规模经营，有经营许可、有垃圾收容器、有防渗漏地垫，控噪音、控油烟、控隐患）管理标准。</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1.食品摊贩规范经营疏导区实行划线经营。所有进入疏导区域经营的食品摊贩要在划定的经营区域、确定的经营时段内从事允许经营业态项目的经营活动，不得线外经营，不得超时段经营。  </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2.食品摊贩规范经营疏导区内经营的摊贩要在经营区域内设置垃圾收集容器和防渗漏地垫，垃圾、污水入箱入桶，保持经营区域地面干净整洁，自觉维护环境卫生。</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3.不准使用广播喇叭等高音响器材</w:t>
      </w:r>
      <w:r>
        <w:rPr>
          <w:rFonts w:hint="eastAsia" w:ascii="方正仿宋_GBK" w:hAnsi="方正仿宋_GBK" w:eastAsia="方正仿宋_GBK" w:cs="方正仿宋_GBK"/>
          <w:sz w:val="32"/>
          <w:szCs w:val="32"/>
          <w:shd w:val="clear" w:color="auto" w:fill="FFFFFF"/>
        </w:rPr>
        <w:t>影响周围居民的正常生活。</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4.不准在未采取控制油烟、废气、污水等措施的情况下进行经营或</w:t>
      </w:r>
      <w:r>
        <w:rPr>
          <w:rFonts w:hint="eastAsia" w:ascii="方正仿宋_GBK" w:hAnsi="方正仿宋_GBK" w:eastAsia="方正仿宋_GBK" w:cs="方正仿宋_GBK"/>
          <w:sz w:val="32"/>
          <w:szCs w:val="32"/>
          <w:shd w:val="clear" w:color="auto" w:fill="FFFFFF"/>
        </w:rPr>
        <w:t>售卖易造成场地污染的商品</w:t>
      </w:r>
      <w:r>
        <w:rPr>
          <w:rFonts w:hint="eastAsia" w:ascii="方正仿宋_GBK" w:hAnsi="方正仿宋_GBK" w:eastAsia="方正仿宋_GBK" w:cs="方正仿宋_GBK"/>
          <w:sz w:val="32"/>
          <w:szCs w:val="32"/>
        </w:rPr>
        <w:t>。</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5.不准在经营范围搭建任何固定设施，做到每日经营结束后撤除全部经营物品、设施，并清洁经营区域。</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6.不准占用盲道、消防通道、公共绿地和妨碍公共安全，自觉维护周边交通、市容秩序。</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（二）实行备案制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向所在辖区街道办事处（镇政府）提出经营申请，申请人所申请区域在食品摊贩疏导区域内的，由街道办事处（镇政府）在征求疏导区域周边相邻关系权利人意见后，可安排申请人在疏导区域内进行经营活动。街道办事处（镇政府）应做好建档管理工作，并及时将管理台账报区城市管理局汇总后统一报区市场监管局进行食品安全备案管理。在食品摊贩疏导区内经营的食品摊贩应当自开展经营活动之日起十日内向所在地市场监督管理部门申请备案，并在摊位明显位置张挂食品摊贩备案信息公示卡和从业人员健康证明。城市管理部门和街道办事处（镇政府）对无法取得或不依法申请食品经营备案的摊贩依法取缔疏导区经营资格。</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（三）制定准入制度</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原则上应优先安置辖区内低保户、下岗待业、重病残疾、失业人员等困难群体，也可适当安置在辖区有固定居所或长期居住的无业外来困难人口。</w:t>
      </w:r>
    </w:p>
    <w:p>
      <w:pPr>
        <w:pStyle w:val="9"/>
        <w:widowControl/>
        <w:spacing w:before="0" w:beforeAutospacing="0" w:after="0" w:afterAutospacing="0"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（四）规范执法行为，强化服务意识</w:t>
      </w:r>
    </w:p>
    <w:p>
      <w:pPr>
        <w:pStyle w:val="9"/>
        <w:widowControl/>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城市管理部门与各街道办事处（镇政府）</w:t>
      </w:r>
      <w:r>
        <w:rPr>
          <w:rFonts w:hint="eastAsia" w:ascii="方正仿宋_GBK" w:hAnsi="方正仿宋_GBK" w:eastAsia="方正仿宋_GBK" w:cs="方正仿宋_GBK"/>
          <w:color w:val="000000"/>
          <w:sz w:val="32"/>
          <w:szCs w:val="32"/>
        </w:rPr>
        <w:t>建立</w:t>
      </w:r>
      <w:r>
        <w:rPr>
          <w:rFonts w:hint="eastAsia" w:ascii="方正仿宋_GBK" w:hAnsi="方正仿宋_GBK" w:eastAsia="方正仿宋_GBK" w:cs="方正仿宋_GBK"/>
          <w:sz w:val="32"/>
          <w:szCs w:val="32"/>
        </w:rPr>
        <w:t>食品摊贩占道</w:t>
      </w:r>
      <w:r>
        <w:rPr>
          <w:rFonts w:hint="eastAsia" w:ascii="方正仿宋_GBK" w:hAnsi="方正仿宋_GBK" w:eastAsia="方正仿宋_GBK" w:cs="方正仿宋_GBK"/>
          <w:color w:val="000000"/>
          <w:sz w:val="32"/>
          <w:szCs w:val="32"/>
        </w:rPr>
        <w:t>经营管理机构，增强管理力度。针对疏导区存在的各类突出问题，街道城管大队应加强与工商、环保、食药监等部门联动，配合做好群众反映强烈的油烟和噪声、工商手续、食品安全等方面的工作。同时对不按照疏导区管理相关规定，环境污染严重、严重影响市容市貌、严重影响通行、群众反响强烈等摊点，</w:t>
      </w:r>
      <w:r>
        <w:rPr>
          <w:rFonts w:hint="eastAsia" w:ascii="方正仿宋_GBK" w:hAnsi="方正仿宋_GBK" w:eastAsia="方正仿宋_GBK" w:cs="方正仿宋_GBK"/>
          <w:sz w:val="32"/>
          <w:szCs w:val="32"/>
          <w:shd w:val="clear" w:color="auto" w:fill="FFFFFF"/>
        </w:rPr>
        <w:t>可以采取“370”管理柔性执法机制先整改，整改不到位的依法取缔。</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八、其他事项</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（一）食品摊贩规范经营疏导区域及时段可根据实际情况适时进行动态调整或逐步开放。</w:t>
      </w:r>
    </w:p>
    <w:p>
      <w:pPr>
        <w:spacing w:line="560" w:lineRule="exact"/>
        <w:ind w:firstLine="640" w:firstLineChars="200"/>
        <w:rPr>
          <w:rFonts w:ascii="方正仿宋_GBK" w:eastAsia="方正仿宋_GBK"/>
          <w:color w:val="000000"/>
          <w:kern w:val="0"/>
          <w:sz w:val="32"/>
          <w:szCs w:val="32"/>
        </w:rPr>
      </w:pPr>
      <w:r>
        <w:rPr>
          <w:rFonts w:hint="eastAsia" w:ascii="方正仿宋_GBK" w:hAnsi="方正仿宋_GBK" w:eastAsia="方正仿宋_GBK" w:cs="方正仿宋_GBK"/>
          <w:sz w:val="32"/>
          <w:szCs w:val="32"/>
        </w:rPr>
        <w:t>（二）</w:t>
      </w:r>
      <w:r>
        <w:rPr>
          <w:rFonts w:hint="eastAsia" w:ascii="方正仿宋_GBK" w:eastAsia="方正仿宋_GBK"/>
          <w:color w:val="000000"/>
          <w:kern w:val="0"/>
          <w:sz w:val="32"/>
          <w:szCs w:val="32"/>
        </w:rPr>
        <w:t>引导占道经营者建立自治组织，形成管理者与被管理者的良性互动，并有计划地引导各类占道经营者逐步进门店或市场内经营。</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（三）如遇国家法律法规调整后与本通知规定相关内容相冲突的，按照国家相关法律法规规定执行。</w:t>
      </w:r>
    </w:p>
    <w:p>
      <w:pPr>
        <w:pStyle w:val="9"/>
        <w:widowControl/>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（四）若政府在已实施的疏导区域内进行工程建设、变更疏导区域等政府行为时，在疏导区域内经营的摊贩需无条件配合。</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本方案自发布之日起实施，同时原《重庆市万州城区食品摊区设置规划（2017-2020年）》作废。</w:t>
      </w:r>
    </w:p>
    <w:p>
      <w:pPr>
        <w:adjustRightInd w:val="0"/>
        <w:snapToGrid w:val="0"/>
        <w:spacing w:line="56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九、食品摊贩疏导区及困难群众临时占道摊点设置区域如下：</w:t>
      </w:r>
    </w:p>
    <w:p>
      <w:pPr>
        <w:spacing w:line="560" w:lineRule="exact"/>
        <w:ind w:firstLine="640" w:firstLineChars="200"/>
        <w:jc w:val="left"/>
      </w:pPr>
      <w:r>
        <w:rPr>
          <w:rFonts w:hint="eastAsia" w:ascii="方正楷体_GBK" w:hAnsi="方正楷体_GBK" w:eastAsia="方正楷体_GBK" w:cs="方正楷体_GBK"/>
          <w:sz w:val="32"/>
          <w:szCs w:val="32"/>
        </w:rPr>
        <w:t>（一）食品摊贩疏导区</w:t>
      </w:r>
    </w:p>
    <w:tbl>
      <w:tblPr>
        <w:tblStyle w:val="10"/>
        <w:tblW w:w="9098" w:type="dxa"/>
        <w:jc w:val="center"/>
        <w:tblInd w:w="0" w:type="dxa"/>
        <w:tblLayout w:type="fixed"/>
        <w:tblCellMar>
          <w:top w:w="0" w:type="dxa"/>
          <w:left w:w="0" w:type="dxa"/>
          <w:bottom w:w="0" w:type="dxa"/>
          <w:right w:w="0" w:type="dxa"/>
        </w:tblCellMar>
      </w:tblPr>
      <w:tblGrid>
        <w:gridCol w:w="383"/>
        <w:gridCol w:w="894"/>
        <w:gridCol w:w="650"/>
        <w:gridCol w:w="784"/>
        <w:gridCol w:w="1333"/>
        <w:gridCol w:w="1383"/>
        <w:gridCol w:w="3671"/>
      </w:tblGrid>
      <w:tr>
        <w:tblPrEx>
          <w:tblLayout w:type="fixed"/>
          <w:tblCellMar>
            <w:top w:w="0" w:type="dxa"/>
            <w:left w:w="0" w:type="dxa"/>
            <w:bottom w:w="0" w:type="dxa"/>
            <w:right w:w="0" w:type="dxa"/>
          </w:tblCellMar>
        </w:tblPrEx>
        <w:trPr>
          <w:trHeight w:val="400" w:hRule="atLeast"/>
          <w:tblHeader/>
          <w:jc w:val="center"/>
        </w:trPr>
        <w:tc>
          <w:tcPr>
            <w:tcW w:w="3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序号</w:t>
            </w:r>
          </w:p>
        </w:tc>
        <w:tc>
          <w:tcPr>
            <w:tcW w:w="8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所属街道</w:t>
            </w:r>
          </w:p>
        </w:tc>
        <w:tc>
          <w:tcPr>
            <w:tcW w:w="6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经营时段</w:t>
            </w:r>
          </w:p>
        </w:tc>
        <w:tc>
          <w:tcPr>
            <w:tcW w:w="7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面积</w:t>
            </w:r>
            <w:r>
              <w:rPr>
                <w:rStyle w:val="15"/>
                <w:rFonts w:hint="default"/>
                <w:sz w:val="24"/>
                <w:szCs w:val="24"/>
              </w:rPr>
              <w:t>（平方米）</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选点位置</w:t>
            </w:r>
          </w:p>
        </w:tc>
        <w:tc>
          <w:tcPr>
            <w:tcW w:w="36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布点原则</w:t>
            </w:r>
          </w:p>
        </w:tc>
      </w:tr>
      <w:tr>
        <w:tblPrEx>
          <w:tblLayout w:type="fixed"/>
          <w:tblCellMar>
            <w:top w:w="0" w:type="dxa"/>
            <w:left w:w="0" w:type="dxa"/>
            <w:bottom w:w="0" w:type="dxa"/>
            <w:right w:w="0" w:type="dxa"/>
          </w:tblCellMar>
        </w:tblPrEx>
        <w:trPr>
          <w:trHeight w:val="379" w:hRule="atLeast"/>
          <w:tblHeader/>
          <w:jc w:val="center"/>
        </w:trPr>
        <w:tc>
          <w:tcPr>
            <w:tcW w:w="3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szCs w:val="24"/>
              </w:rPr>
            </w:pPr>
          </w:p>
        </w:tc>
        <w:tc>
          <w:tcPr>
            <w:tcW w:w="8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szCs w:val="24"/>
              </w:rPr>
            </w:pPr>
          </w:p>
        </w:tc>
        <w:tc>
          <w:tcPr>
            <w:tcW w:w="7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szCs w:val="24"/>
              </w:rPr>
            </w:pP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起点</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终点</w:t>
            </w:r>
          </w:p>
        </w:tc>
        <w:tc>
          <w:tcPr>
            <w:tcW w:w="36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color w:val="000000"/>
                <w:sz w:val="24"/>
                <w:szCs w:val="24"/>
              </w:rPr>
            </w:pP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太白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240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北滨大道二段963号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kern w:val="0"/>
                <w:sz w:val="20"/>
              </w:rPr>
              <w:t>北滨大道二段1009号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以路缘石向建筑物立面方向3米起，至离建筑立面区域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太白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1161</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北滨大道二段501号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北滨大道二段469</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以建筑立面向外偏移6米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太白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150</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驿鑫大厦前方人行道</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以建筑立面向外偏移6米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太白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124</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重庆百货商场前方</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沿白岩路路缘石向建筑立面偏移3.9米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太白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367</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北滨路二段798号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北滨路二段782号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以建筑立面向外偏移6.0米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太白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516</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北滨路二段780号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北滨路二段766号附4号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以建筑立面向外偏移5.7米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太白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1207</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北滨路二段766号附1号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北滨路二段742号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以建筑立面向外偏移6米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高笋塘</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550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静园路69号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静园路87号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以建筑立面起向路缘石方向扩展5米范围内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高笋塘</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350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静园路91号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静园路111号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以建筑立面起向路缘石方向扩展5米范围内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高笋塘</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400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静园路879号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静园路871号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以建筑立面起向路缘石方向扩展7米范围内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高笋塘</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300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静园路383号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静园路395号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以建筑立面起向路缘石方向扩展7米范围内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高笋塘</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50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静园路749号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静园路747号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以建筑立面起向路缘石方向扩展4.5米范围内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高笋塘</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60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静园路937号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静园路933号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以路缘石向建筑立面方向3米起至建筑立面区域内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高笋塘</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100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静园路947号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静园路951号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以路缘石向建筑立面方向2米起至建筑立面区域内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高笋塘</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240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静园路487号</w:t>
            </w:r>
          </w:p>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（118烤鱼）</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静园路479号</w:t>
            </w:r>
          </w:p>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（美蛙鲜鱼府）</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以建筑立面起向路缘石方向扩展8米范围内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高笋塘</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74</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静园路137号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静园路133号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以路缘石向建筑立面方向2米起至建筑立面区域内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高笋塘</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100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静园路129号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静园路115号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以建筑立面起向路缘石方向扩展3米范围内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高笋塘</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150</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万达金街2-1-24正面</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以建筑立面起向外扩展7米范围内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高笋塘</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1000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万达金街2-1-24侧面</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万达金街3号通道</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建筑立面至人行道花池内沿范围，以门店经营场所对应区域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20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高笋塘</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35</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新城路二巷19号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以建筑立面起向外扩展5米范围内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21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高笋塘</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50</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新城路二巷上行与福斯特环道交叉路口左侧平台栏杆范围内</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以建筑立面起向外扩展3米范围内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116</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石峰路1118号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石峰路1098号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沿盲道内侧布置</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石峰路1092号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石峰路1074号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沿盲道内侧布置</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192</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万顺路30号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万顺路60号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以取建筑立面到盲道内侧距离为原则，划定夜市摊点经营范围</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504</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万顺路2号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万顺路20号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以取建筑立面到盲道内侧距离为原则，划定夜市摊点经营范围</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153</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科园路136号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科园路160号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以取建筑立面到盲道内侧距离为原则，划定夜市摊点经营范围</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150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科园路112号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科园路128号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以取建筑立面到盲道内侧距离为原则，划定夜市摊点经营范围</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142</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万顺路101号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万顺路119号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以取建筑立面到盲道内侧距离为原则，划定夜市摊点经营范围</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228</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万顺路45号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万顺路67号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以取建筑立面到盲道内侧距离为原则，划定夜市摊点经营范围</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176</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万顺路1号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万顺路15号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以取建筑立面到盲道内侧距离为原则，划定夜市摊点经营范围</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598</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科园路196号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科园路268号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以取建筑立面到盲道内侧距离为原则，划定夜市摊点经营范围</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508</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科园路167号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科园路187号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以取建筑立面到盲道内侧距离为原则，划定夜市摊点经营范围</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216</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科园路111号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科园路133号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以取建筑立面到盲道内侧距离为原则，划定夜市摊点经营范围</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155</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科园路89号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科园路101号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以取建筑立面到盲道内侧距离为原则，划定夜市摊点经营范围</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35</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王牌路398号（中天广场）</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王牌路中天广场入口</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以路缘石向建筑立面方向2米处起，至建筑立面止</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36</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90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友谊路79号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万顺路186号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以路缘石向建筑立面方向3米处起，至建筑立面止</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37</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310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石峰路759号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石峰路727号右侧</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以路缘石向建筑立面方向3米处起，至建筑立面止</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298</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龙都大道82号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龙都大道106号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以取建筑立面向外偏移5米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348</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龙都大道112号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龙都大道130号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以取建筑立面向外偏移5米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198</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龙都大道13号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龙都大道23号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以建筑立面向外偏移6米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303</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龙都大道25号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龙都大道45号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以建筑立面向外偏移5.0米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202</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龙都大道65号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龙都大道85号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以建筑立面向外偏移5.0米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422</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龙都大道89号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龙都大道125号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以建筑立面向外偏移5.0米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490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龙都大道135号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龙都大道187号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以建筑立面向外偏移5.0米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69</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龙都大道245号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龙都大道197号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以建筑立面向外偏移5.0米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46</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龙腾路1号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龙都大道129号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以人行道花坛处起，向建筑立面3米止</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47</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厦门大道612号（三峡职业学院后门200米处）</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气象站门口人行道</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以人行道内侧护栏起，向路缘石方向2米止</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48</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100</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三峡职业学院实训楼围墙外侧</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围墙外侧扩展2米范围内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333</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五交化移民迁建住宅楼2栋沿街面</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以路缘石向内偏移1.5米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300</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五交化移民迁建住宅楼1栋沿街面</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以路缘石向内偏移1.5米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693</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龙安路157号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龙宝大街522号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以路缘石向内偏移2.5米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24</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FF0000"/>
                <w:sz w:val="20"/>
              </w:rPr>
            </w:pPr>
            <w:r>
              <w:rPr>
                <w:rFonts w:hint="eastAsia" w:ascii="方正仿宋_GBK" w:hAnsi="方正仿宋_GBK" w:eastAsia="方正仿宋_GBK" w:cs="方正仿宋_GBK"/>
                <w:color w:val="000000"/>
                <w:kern w:val="0"/>
                <w:sz w:val="20"/>
              </w:rPr>
              <w:t>龙祥路与龙宝大街交叉过街桥东侧</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156</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龙宝大街270号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龙宝大街242号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98</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龙宝大街238号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龙宝大街222号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204</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龙宝大街220号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龙宝大街188号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107</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龙宝大街182号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龙宝大街165号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以建筑立面向外偏移3.0米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135</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龙宝大街160号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龙宝大街142号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以建筑立面向外偏移3.8米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98</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龙宝大街138号一品香食府</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龙宝大街128号尚艺造型</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以建筑立面向外偏移3.8米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171</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龙宝大街98号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龙马大街80号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以建筑立面向外偏移5.0米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223</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三源摩托维修东侧约20米处起至铁路桥下</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以挡土墙向路缘石方向扩展2.5米区域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152</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沙龙路三段3902号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福田伽途汽车</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kern w:val="0"/>
                <w:sz w:val="20"/>
              </w:rPr>
              <w:t>62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297</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沙龙路三段3886号附1号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加工棉絮</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131</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北京福田伽途</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沙龙路三段3886附1号福田商务汽车4S店</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291</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沙龙路三段2387号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沙龙路三段2377号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以建筑立面向外偏移6米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485</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沙龙路三段2351号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沙龙路2325号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以建筑立面向外偏移6米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236</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沙龙路三段3882号附39号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沙龙路三段3882号附31号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以建筑立面向外偏移6米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520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沙龙路三段3882号附29号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沙龙路三段3882号附1号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以建筑立面向外偏移6米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68</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沙龙路三段3882号附29号旁边</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巷道口</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人行梯口两侧起，至两侧建筑立面区域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69</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八大碗楼下</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阳光超市</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以路缘石向建筑立面方向4米处起，至建筑立面方向8米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70</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210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龙安路23号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龙安路108号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以路缘石向建筑立面方向3米处起，至建筑立面方向8米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71</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88</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永佳路284号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永佳路302号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以路缘石向建筑立面方向2米处起，至建筑立面方向4米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72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110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周家坝新世纪入口</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中国农业银行</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以绿化带向建筑立面方向偏移1.5米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73</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名亨路57号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名亨路177号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以路缘石向建筑物立面方向2米处起，至建筑立面区域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74</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天城东路第一人民医院</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天城东路418号（沙河小学后门）</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以路缘石向建筑物立面方向2米处起，至建筑立面区域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FF0000"/>
                <w:sz w:val="20"/>
              </w:rPr>
            </w:pPr>
            <w:r>
              <w:rPr>
                <w:rFonts w:hint="eastAsia" w:ascii="方正仿宋_GBK" w:hAnsi="方正仿宋_GBK" w:eastAsia="方正仿宋_GBK" w:cs="方正仿宋_GBK"/>
                <w:color w:val="000000"/>
                <w:kern w:val="0"/>
                <w:sz w:val="20"/>
              </w:rPr>
              <w:t>75</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FF0000"/>
                <w:sz w:val="20"/>
              </w:rPr>
            </w:pPr>
            <w:r>
              <w:rPr>
                <w:rFonts w:hint="eastAsia" w:ascii="方正仿宋_GBK" w:hAnsi="方正仿宋_GBK" w:eastAsia="方正仿宋_GBK" w:cs="方正仿宋_GBK"/>
                <w:color w:val="000000"/>
                <w:kern w:val="0"/>
                <w:sz w:val="20"/>
              </w:rPr>
              <w:t>周家坝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FF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FF0000"/>
                <w:sz w:val="20"/>
              </w:rPr>
            </w:pPr>
            <w:r>
              <w:rPr>
                <w:rFonts w:hint="eastAsia" w:ascii="方正仿宋_GBK" w:hAnsi="方正仿宋_GBK" w:eastAsia="方正仿宋_GBK" w:cs="方正仿宋_GBK"/>
                <w:color w:val="000000"/>
                <w:kern w:val="0"/>
                <w:sz w:val="20"/>
              </w:rPr>
              <w:t>16</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FF0000"/>
                <w:sz w:val="20"/>
              </w:rPr>
            </w:pPr>
            <w:r>
              <w:rPr>
                <w:rFonts w:hint="eastAsia" w:ascii="方正仿宋_GBK" w:hAnsi="方正仿宋_GBK" w:eastAsia="方正仿宋_GBK" w:cs="方正仿宋_GBK"/>
                <w:color w:val="000000"/>
                <w:kern w:val="0"/>
                <w:sz w:val="20"/>
              </w:rPr>
              <w:t>天龙路55号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FF0000"/>
                <w:sz w:val="20"/>
              </w:rPr>
            </w:pPr>
            <w:r>
              <w:rPr>
                <w:rFonts w:hint="eastAsia" w:ascii="方正仿宋_GBK" w:hAnsi="方正仿宋_GBK" w:eastAsia="方正仿宋_GBK" w:cs="方正仿宋_GBK"/>
                <w:color w:val="000000"/>
                <w:kern w:val="0"/>
                <w:sz w:val="20"/>
              </w:rPr>
              <w:t>天龙路65号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FF0000"/>
                <w:sz w:val="20"/>
              </w:rPr>
            </w:pPr>
            <w:r>
              <w:rPr>
                <w:rFonts w:hint="eastAsia" w:ascii="方正仿宋_GBK" w:hAnsi="方正仿宋_GBK" w:eastAsia="方正仿宋_GBK" w:cs="方正仿宋_GBK"/>
                <w:color w:val="000000"/>
                <w:kern w:val="0"/>
                <w:sz w:val="20"/>
              </w:rPr>
              <w:t>以人行道护栏处起，至护栏向立面方向2米区域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76</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80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天城东路13号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天城东路79号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以路缘石向建筑物立面方向2米处起，至建筑立面区域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77</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天龙路14号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堡坎</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以路缘石向建筑物立面方向2米处起，至建筑立面区域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78</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110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天龙路46号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天龙路76号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以路缘石向建筑物立面方向2米处起，至建筑立面区域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79</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沙河</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700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申明大道232号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申明北路38号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路缘石起向建筑物立面方向2米范围内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80</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沙河</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沙河大桥北桥头</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雅高车站外</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以路缘石向人行道护栏方向3米处起，至人行道护栏区域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81</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sz w:val="20"/>
              </w:rPr>
            </w:pPr>
            <w:r>
              <w:rPr>
                <w:rFonts w:hint="eastAsia" w:ascii="方正仿宋_GBK" w:hAnsi="方正仿宋_GBK" w:eastAsia="方正仿宋_GBK" w:cs="方正仿宋_GBK"/>
                <w:kern w:val="0"/>
                <w:sz w:val="20"/>
              </w:rPr>
              <w:t>沙河</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sz w:val="20"/>
              </w:rPr>
            </w:pPr>
            <w:r>
              <w:rPr>
                <w:rFonts w:hint="eastAsia" w:ascii="方正仿宋_GBK" w:hAnsi="方正仿宋_GBK" w:eastAsia="方正仿宋_GBK" w:cs="方正仿宋_GBK"/>
                <w:kern w:val="0"/>
                <w:sz w:val="20"/>
              </w:rPr>
              <w:t>早、夜市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sz w:val="20"/>
              </w:rPr>
            </w:pPr>
            <w:r>
              <w:rPr>
                <w:rFonts w:hint="eastAsia" w:ascii="方正仿宋_GBK" w:hAnsi="方正仿宋_GBK" w:eastAsia="方正仿宋_GBK" w:cs="方正仿宋_GBK"/>
                <w:kern w:val="0"/>
                <w:sz w:val="20"/>
              </w:rPr>
              <w:t>400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sz w:val="20"/>
              </w:rPr>
            </w:pPr>
            <w:r>
              <w:rPr>
                <w:rFonts w:hint="eastAsia" w:ascii="方正仿宋_GBK" w:hAnsi="方正仿宋_GBK" w:eastAsia="方正仿宋_GBK" w:cs="方正仿宋_GBK"/>
                <w:kern w:val="0"/>
                <w:sz w:val="20"/>
              </w:rPr>
              <w:t>天子湖拦河坝头</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sz w:val="20"/>
              </w:rPr>
            </w:pPr>
            <w:r>
              <w:rPr>
                <w:rFonts w:hint="eastAsia" w:ascii="方正仿宋_GBK" w:hAnsi="方正仿宋_GBK" w:eastAsia="方正仿宋_GBK" w:cs="方正仿宋_GBK"/>
                <w:kern w:val="0"/>
                <w:sz w:val="20"/>
              </w:rPr>
              <w:t>凤仙支路岔路口</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sz w:val="20"/>
              </w:rPr>
            </w:pPr>
            <w:r>
              <w:rPr>
                <w:rFonts w:hint="eastAsia" w:ascii="方正仿宋_GBK" w:hAnsi="方正仿宋_GBK" w:eastAsia="方正仿宋_GBK" w:cs="方正仿宋_GBK"/>
                <w:kern w:val="0"/>
                <w:sz w:val="20"/>
              </w:rPr>
              <w:t>以路缘石起向建筑立面方向2米范围内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82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北滨大道三段28号清江上城5幢负二层</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北滨三段28号5幢1层10号门面</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以建筑立面向外偏移5.5米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83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北滨大道三段58号一层商业房（万州烤鱼博览馆）</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北滨路三段96号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以建筑立面向外偏移5.5米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84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北滨三段96号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北滨大道96号5单元4号门面</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以建筑立面向外偏移8.6米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85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140</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北滨三段102号1幢第一层1号门面（赛亚滨江花园小区住宅前方左侧）</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以建筑立面向外偏移6米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86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140</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北滨三段102号1幢第一层1号门面（赛亚滨江花园小区住宅前方右侧）</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以建筑立面向外偏移6米</w:t>
            </w:r>
          </w:p>
        </w:tc>
      </w:tr>
      <w:tr>
        <w:tblPrEx>
          <w:tblLayout w:type="fixed"/>
          <w:tblCellMar>
            <w:top w:w="0" w:type="dxa"/>
            <w:left w:w="0" w:type="dxa"/>
            <w:bottom w:w="0" w:type="dxa"/>
            <w:right w:w="0" w:type="dxa"/>
          </w:tblCellMar>
        </w:tblPrEx>
        <w:trPr>
          <w:trHeight w:val="288"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87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300</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万州区丰收小区3、4号楼门面前</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以建筑立面向外偏移，与临时停车场路缘石相距2米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88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280</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万州区丰收小区19号楼门面前</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以门面向外偏移至黄角树树池止</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89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1015</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北滨大道三段148号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北滨三段158号附1号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以建筑立面向外偏移6米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90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1200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北滨大道三段169号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北滨三段176号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以建筑立面向外偏移5米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91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210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北滨大道三段276号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北滨三段279号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以建筑立面向外偏移6米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92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90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面向尤德福广场右边巷道</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面向尤德福广场右边巷道100米</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尤德福广场右边巷道梯步起，向建筑物立面方向扩展2米止</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93</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北山大道745号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北山大道757号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建筑立面起向车行道方向扩展3米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94</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北山大道616号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北山大道616号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建筑立面起向车行道方向扩展3米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95</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110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北山大道770号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北山大道822号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建筑立面起向车行道方向扩展3米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96</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360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北山大道939号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北山大道1087号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建筑立面起向车行道方向扩展3米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97</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80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北山大道864号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北山大道934号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建筑立面起向车行道方向扩展3米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98</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360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枇杷坪广场</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北山大道1080号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建筑立面起向车行道方向扩展3米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99</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240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北山大道1088号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北山大道1134号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建筑立面起向车行道方向扩展3米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100</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190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北山大道1145号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北山大道1245附10号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建筑立面起向车行道方向扩展3米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 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29</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安顺路20号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安顺路24号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店面前至盲道之间，车行道路沿向内3.2米起，宽1.5米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宁波路327号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宁波路329号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以路缘石向建筑立面2米处起，向建筑立面扩展2米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宁波路499号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宁波路503号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以路缘石向建筑立面2米处起，向建筑立面扩展2米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115</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安顺路101号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安顺路115号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店面前至盲道之间，车行道路沿向内3.5米起，摊位宽1.5米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15</w:t>
            </w:r>
          </w:p>
        </w:tc>
        <w:tc>
          <w:tcPr>
            <w:tcW w:w="27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面向上海大道70号右侧巷内</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建筑立面向人行道堡坎方向1米起，扩展1.5米区域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上海大道102号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上海大道106号五人民医院大门口</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店面前至盲道之间，车行道路沿向内3.5米起，摊位宽1.5米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107</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700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百安大道273号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百安大道925号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以路缘石向建筑物立面方向5米起设置，至建筑立面区域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108</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800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百安大道350号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百安大道1006号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以路缘石向建筑物立面方向5米起设置，至建筑立面区域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109</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安顺路552号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安顺路556号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以路缘石向建筑物立面方向5米起设置</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110</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安顺路719号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安顺路749号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以路缘石向建筑物立面方向4米起设置</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111</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天星路466号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天星路808号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以路沿石向建筑物立面方向4米起设置，至建筑立面区域。</w:t>
            </w:r>
          </w:p>
        </w:tc>
      </w:tr>
      <w:tr>
        <w:tblPrEx>
          <w:tblLayout w:type="fixed"/>
          <w:tblCellMar>
            <w:top w:w="0" w:type="dxa"/>
            <w:left w:w="0" w:type="dxa"/>
            <w:bottom w:w="0" w:type="dxa"/>
            <w:right w:w="0" w:type="dxa"/>
          </w:tblCellMar>
        </w:tblPrEx>
        <w:trPr>
          <w:trHeight w:val="687"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112</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天星路477号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天星路283号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以路缘石向建筑物立面方向4米起设置，至建筑立面区域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113</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kern w:val="0"/>
                <w:sz w:val="20"/>
              </w:rPr>
              <w:t>800</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三峡学院二号门对面人行道</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路缘石向栏杆方向3米起扩展3米范围，以栏杆起向车行道扩展3米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114</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100</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竞地阳光大门口</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以路缘石起向大门扩展10米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115</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75</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安庆路465号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安庆路493号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以路缘石起向建筑立面方向扩展4米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116</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70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安庆路418号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安庆路462号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以路缘石起向建筑立面方向扩展3米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117</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70</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安宁路666号（书香华庭）</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以路沿石向建筑物立面方向5米起设置，至建筑立面区域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118</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300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天台路229号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天台路631号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以路缘石向建筑立面方向3米起设置</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119</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百安坝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300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天台路196号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天台路598号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sz w:val="20"/>
              </w:rPr>
              <w:t>以路缘石向建筑立面方向3米起设置</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120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五桥</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485</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长龙家园梯道边缘</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长星一路90号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控制在该广场地砖铺设范围内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121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五桥</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473</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长星一路82号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长龙家园梯道边缘</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控制在该广场地砖铺设范围内</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122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五桥</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255</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长星一路84号面馆店面</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长星一路84号旺星居私房菜店面</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建筑外立面至盲道之间，以建筑外面向外4.5米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123</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五桥</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长星一路30号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长星一路36号（普惠超市外）</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以路沿石向建筑立面方向2米处起，向建筑立面方向延伸2米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124</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五桥</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上海大道716号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上海大道724号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以路沿石向建筑立面方向3米处起，向建筑立面方向延伸2米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125</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五桥</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上海大道999号附7号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上海大道999号附25号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以路沿石向建筑立面方向2米处起，至建筑立面方向3米</w:t>
            </w:r>
          </w:p>
        </w:tc>
      </w:tr>
      <w:tr>
        <w:tblPrEx>
          <w:tblLayout w:type="fixed"/>
          <w:tblCellMar>
            <w:top w:w="0" w:type="dxa"/>
            <w:left w:w="0" w:type="dxa"/>
            <w:bottom w:w="0" w:type="dxa"/>
            <w:right w:w="0" w:type="dxa"/>
          </w:tblCellMar>
        </w:tblPrEx>
        <w:trPr>
          <w:trHeight w:val="35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126</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五桥</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上海大道961号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上海大道989号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以路缘石向建筑立面方向3米处起，至建筑立面止</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127</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五桥</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长星一路2号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长星一路6号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以路沿石向建筑立面方向2米处起，至建筑立面方向3米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128</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五桥</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百安大道1351号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百安大道1373号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以路沿石向建筑立面方向3米处起，至建筑立面区域</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129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657</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江南大道170号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江南大道222号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以建筑立面向外偏移6米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130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720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江南大道224号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江南大道284号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以建筑立面向外偏移6米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131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206</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江南大道45号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江南大道57号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以建筑立面向外偏移6米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132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454</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江南大道59号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江南大道97号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以建筑立面向外偏移6.3米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133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256</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江南大道99号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江南大道121号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以建筑立面向外偏移5.8米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134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377</w:t>
            </w:r>
          </w:p>
        </w:tc>
        <w:tc>
          <w:tcPr>
            <w:tcW w:w="27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南山农贸市场门前</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以农贸市场入口向外偏移17米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135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172</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江南大道123号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江南大道137号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136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236</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江南大道139号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江南大道161号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137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348</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玉澜路4号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真味坊香乐居</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以建筑立面向外偏移8米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138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942</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玉龙路846号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玉龙路820号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以建筑立面向外偏移7.0米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139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422</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老鱼头烤鱼坊</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玉韵路13号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以建筑立面向外偏移7.0米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140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277</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玉澜路48号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玉澜路44号</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以建筑立面向外偏移8米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141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2370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哈儿串串</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江边人家自助火锅</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以建筑立面向外偏移8米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142</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玉龙路608号301栋1-67（工商银行）</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玉龙路长江之星6-1-1-2（晓小面）</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路缘石往建筑物方向6米起设置摊点，摊点占道5米</w:t>
            </w:r>
          </w:p>
        </w:tc>
      </w:tr>
      <w:tr>
        <w:tblPrEx>
          <w:tblLayout w:type="fixed"/>
          <w:tblCellMar>
            <w:top w:w="0" w:type="dxa"/>
            <w:left w:w="0" w:type="dxa"/>
            <w:bottom w:w="0" w:type="dxa"/>
            <w:right w:w="0" w:type="dxa"/>
          </w:tblCellMar>
        </w:tblPrEx>
        <w:trPr>
          <w:trHeight w:val="383"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143</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腾飞路594号2-负1-5（小郡肝）</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玉龙路608号301栋1-67（工商银行）</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路缘石往建筑物方向5米起设置摊点，摊点占道3米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144</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玉龙路608号二期8幢1-5（守柴炉烤鸭）</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玉龙路620号1-吊1-7（李掌柜）</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路缘石往建筑物方向6米起设置摊点，摊点占道5米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145</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玉龙路197号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诸葛烤鱼</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路缘石往建筑物方向5米起设置摊点，摊点占道3米</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146</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早市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玉龙路197号旁</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腾飞路195号门前（老盐坊棚棚面）</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以花池边缘为起点，向路缘石方向扩展2米范围</w:t>
            </w:r>
          </w:p>
        </w:tc>
      </w:tr>
      <w:tr>
        <w:tblPrEx>
          <w:tblLayout w:type="fixed"/>
          <w:tblCellMar>
            <w:top w:w="0" w:type="dxa"/>
            <w:left w:w="0" w:type="dxa"/>
            <w:bottom w:w="0" w:type="dxa"/>
            <w:right w:w="0" w:type="dxa"/>
          </w:tblCellMar>
        </w:tblPrEx>
        <w:trPr>
          <w:trHeight w:val="700" w:hRule="atLeast"/>
          <w:jc w:val="center"/>
        </w:trPr>
        <w:tc>
          <w:tcPr>
            <w:tcW w:w="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147</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高峰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夜市</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800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高峰中路88号</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鸣居西路</w:t>
            </w:r>
          </w:p>
        </w:tc>
        <w:tc>
          <w:tcPr>
            <w:tcW w:w="3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以围墙向路沿石方向3米起</w:t>
            </w:r>
          </w:p>
        </w:tc>
      </w:tr>
    </w:tbl>
    <w:p>
      <w:pPr>
        <w:spacing w:line="560" w:lineRule="exact"/>
        <w:jc w:val="center"/>
        <w:rPr>
          <w:rFonts w:ascii="方正楷体_GBK" w:hAnsi="方正楷体_GBK" w:eastAsia="方正楷体_GBK" w:cs="方正楷体_GBK"/>
          <w:sz w:val="32"/>
          <w:szCs w:val="32"/>
        </w:rPr>
      </w:pPr>
    </w:p>
    <w:p>
      <w:pPr>
        <w:spacing w:line="560" w:lineRule="exact"/>
        <w:ind w:firstLine="640" w:firstLineChars="200"/>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（二）困难群众临时占道经营摊点设置区域</w:t>
      </w:r>
    </w:p>
    <w:tbl>
      <w:tblPr>
        <w:tblStyle w:val="10"/>
        <w:tblW w:w="9085" w:type="dxa"/>
        <w:jc w:val="center"/>
        <w:tblInd w:w="0" w:type="dxa"/>
        <w:tblLayout w:type="fixed"/>
        <w:tblCellMar>
          <w:top w:w="0" w:type="dxa"/>
          <w:left w:w="0" w:type="dxa"/>
          <w:bottom w:w="0" w:type="dxa"/>
          <w:right w:w="0" w:type="dxa"/>
        </w:tblCellMar>
      </w:tblPr>
      <w:tblGrid>
        <w:gridCol w:w="621"/>
        <w:gridCol w:w="1200"/>
        <w:gridCol w:w="2849"/>
        <w:gridCol w:w="3203"/>
        <w:gridCol w:w="1212"/>
      </w:tblGrid>
      <w:tr>
        <w:tblPrEx>
          <w:tblLayout w:type="fixed"/>
          <w:tblCellMar>
            <w:top w:w="0" w:type="dxa"/>
            <w:left w:w="0" w:type="dxa"/>
            <w:bottom w:w="0" w:type="dxa"/>
            <w:right w:w="0" w:type="dxa"/>
          </w:tblCellMar>
        </w:tblPrEx>
        <w:trPr>
          <w:trHeight w:val="23" w:hRule="atLeast"/>
          <w:tblHeader/>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序号</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所属街道</w:t>
            </w:r>
          </w:p>
        </w:tc>
        <w:tc>
          <w:tcPr>
            <w:tcW w:w="2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选点位置</w:t>
            </w:r>
          </w:p>
        </w:tc>
        <w:tc>
          <w:tcPr>
            <w:tcW w:w="32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设置范围</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占道面积</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太白</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白岩路泰兴电脑城旁</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面向泰兴电脑城前梯步顶靠右侧围墙设置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太白</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复兴路49号旁巷道内</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复兴路49号旁巷道距人行道5米处靠左侧前设置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3</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高笋塘</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新城路望江大梯道靠墙口子</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新城路望江大梯口由建筑外立面向后退5米靠墙设置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4</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高笋塘</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阳光医院巷道口右侧</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面向阳光医院巷道口右侧靠栏杆设置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5</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高笋塘</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西山加油站静园巷路口</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西山加油站静园巷路口人行道外侧靠围墙设置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595"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6</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高笋塘</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太白路258号前路坎</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太白路258号前路坎上电信箱旁</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7</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高笋塘</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移民广场体育馆艾美KTV前左侧靠墙处</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移民广场体育馆艾美KTV前左侧靠墙处</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8</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高笋塘</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王牌路29号白天鹅路口右侧</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王牌路29号旁面向白天鹅路口右侧平台上设置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9</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高笋塘</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太白路152号巷口</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太白路152号巷口台阶平台上靠右侧砖石栏杆处设置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高笋塘</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新城路194号（邮政旁巷道内5米）</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新城路194号（邮政）旁巷道内距人行道5米处靠左侧墙面设置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11</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高笋塘</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和平巷内距人行道5米（电报路131号附1号旁）</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电报路131号附1号旁（和平巷内）距电报路人行道5米靠面向和平巷左侧墙面设置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12</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高笋塘</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西山车站后门对面巷道左侧</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西山车站后门对面巷道左侧，面向龙抬头酒店右侧花坛外侧与人行道之间</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13</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王牌路红花市场大门口支路</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王牌路红花市场大门口支路距王牌路人行道约15米处左侧靠墙设置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14</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牌楼</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清堰坡180-1号旁</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清堰坡180-1号旁巷道口靠右侧梯步墙面设置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15</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陈家坝</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人头石小区10栋人行通道口</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人头石小区10栋人行通道口，面向通道左侧距人行道5米处靠墙设置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16</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周家坝街道天城大道883号门面旁</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周家坝街道天城大道883号面向大门右侧墙根拐角处设置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17</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名亨路215号旁巷内距立面5米</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名亨路215号旁巷内距建筑立面5米处，面向巷道右侧靠墙设置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18</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周家坝街道黑龙江路19号门面旁</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周家坝街道黑龙江路19号门面旁梯步顶平台靠墙处设置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19</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周家坝路56号旁（徐生记楼下）</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周家坝路56号旁徐生记楼下，面向徐生记门口右侧处设置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沙河</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申明大道圣湖上城小区入口旁</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车道入口左侧靠门店墙体设置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21</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龙安路菜市场入口旁</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龙安路菜市场入口旁面向入口右侧梯步处设置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22</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龙安路广场对面巷道内</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龙安路180号旁巷道，面向巷道左侧栏杆处设置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23</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永佳路180号旁（移民小区入口巷道）</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永佳路180号旁移民小区入口巷道，面向巷道左侧距人行道5米靠墙设置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24</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双河口</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永佳路312号旁（技工学校旁）巷道内</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永佳路312号旁巷道内，面向巷道左侧距人行道5米靠墙处设置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五桥</w:t>
            </w:r>
          </w:p>
        </w:tc>
        <w:tc>
          <w:tcPr>
            <w:tcW w:w="2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上海大道716号旁巷道内</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上海大道716号旁巷道内，面向巷道右侧距建筑立面5米靠墙设置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26</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五桥</w:t>
            </w:r>
          </w:p>
        </w:tc>
        <w:tc>
          <w:tcPr>
            <w:tcW w:w="2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万川大道236号旁巷道内</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万川大道236号旁巷道内，面向巷道左侧距建筑立面5米处靠墙设置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五桥</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万川大道100号旁靠梯步处</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万川大道100号旁靠梯步拐角处设置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龙都</w:t>
            </w:r>
          </w:p>
        </w:tc>
        <w:tc>
          <w:tcPr>
            <w:tcW w:w="2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特警支队门口</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特警支队门口左侧靠花坛外缘设置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29</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北山大道1101号旁距人行道5米</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北山大道1101号旁距人行道5米处靠墙设置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30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钟鼓楼</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北山大道1059号旁</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北山大道1059号旁距建筑立面5米处靠墙设置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rPr>
              <w:t>2平方米</w:t>
            </w:r>
          </w:p>
        </w:tc>
      </w:tr>
      <w:tr>
        <w:tblPrEx>
          <w:tblLayout w:type="fixed"/>
          <w:tblCellMar>
            <w:top w:w="0" w:type="dxa"/>
            <w:left w:w="0" w:type="dxa"/>
            <w:bottom w:w="0" w:type="dxa"/>
            <w:right w:w="0"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31</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百安坝</w:t>
            </w:r>
          </w:p>
        </w:tc>
        <w:tc>
          <w:tcPr>
            <w:tcW w:w="2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百安坝恒通夜市牌坊下</w:t>
            </w:r>
          </w:p>
        </w:tc>
        <w:tc>
          <w:tcPr>
            <w:tcW w:w="3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面向恒通夜市牌坊左侧立柱靠墙面沿平台设置</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0"/>
              </w:rPr>
            </w:pPr>
            <w:r>
              <w:rPr>
                <w:rFonts w:hint="eastAsia" w:ascii="方正仿宋_GBK" w:hAnsi="方正仿宋_GBK" w:eastAsia="方正仿宋_GBK" w:cs="方正仿宋_GBK"/>
                <w:color w:val="000000"/>
                <w:kern w:val="0"/>
                <w:sz w:val="20"/>
              </w:rPr>
              <w:t>2平方米</w:t>
            </w:r>
          </w:p>
        </w:tc>
      </w:tr>
    </w:tbl>
    <w:p/>
    <w:p>
      <w:pPr>
        <w:spacing w:line="540" w:lineRule="exact"/>
        <w:jc w:val="center"/>
        <w:rPr>
          <w:rFonts w:ascii="方正小标宋_GBK" w:eastAsia="方正小标宋_GBK"/>
          <w:sz w:val="44"/>
          <w:szCs w:val="44"/>
        </w:rPr>
      </w:pPr>
    </w:p>
    <w:p>
      <w:pPr>
        <w:spacing w:line="540" w:lineRule="exact"/>
        <w:jc w:val="center"/>
        <w:rPr>
          <w:rFonts w:ascii="方正小标宋_GBK" w:eastAsia="方正小标宋_GBK"/>
          <w:sz w:val="44"/>
          <w:szCs w:val="44"/>
        </w:rPr>
      </w:pPr>
    </w:p>
    <w:p>
      <w:pPr>
        <w:pStyle w:val="3"/>
        <w:spacing w:line="560" w:lineRule="exact"/>
        <w:ind w:firstLine="1440" w:firstLineChars="450"/>
        <w:rPr>
          <w:rFonts w:ascii="方正仿宋_GBK" w:hAnsi="Times New Roman" w:eastAsia="方正仿宋_GBK" w:cs="Times New Roman"/>
          <w:sz w:val="32"/>
          <w:szCs w:val="32"/>
        </w:rPr>
      </w:pPr>
    </w:p>
    <w:p>
      <w:pPr>
        <w:pStyle w:val="3"/>
        <w:spacing w:line="560" w:lineRule="exact"/>
        <w:ind w:firstLine="1440" w:firstLineChars="450"/>
        <w:rPr>
          <w:rFonts w:ascii="方正仿宋_GBK" w:hAnsi="Times New Roman" w:eastAsia="方正仿宋_GBK" w:cs="Times New Roman"/>
          <w:sz w:val="32"/>
          <w:szCs w:val="32"/>
        </w:rPr>
      </w:pPr>
    </w:p>
    <w:p>
      <w:pPr>
        <w:pStyle w:val="2"/>
        <w:ind w:left="210" w:right="210"/>
      </w:pPr>
    </w:p>
    <w:p>
      <w:pPr>
        <w:pStyle w:val="2"/>
        <w:ind w:left="210" w:right="210"/>
      </w:pPr>
    </w:p>
    <w:p>
      <w:pPr>
        <w:pStyle w:val="2"/>
        <w:ind w:left="210" w:right="210"/>
      </w:pPr>
    </w:p>
    <w:p>
      <w:pPr>
        <w:pStyle w:val="2"/>
        <w:ind w:left="210" w:right="210"/>
      </w:pPr>
    </w:p>
    <w:p>
      <w:pPr>
        <w:pStyle w:val="2"/>
        <w:ind w:left="210" w:right="210"/>
      </w:pPr>
    </w:p>
    <w:p>
      <w:pPr>
        <w:pStyle w:val="2"/>
        <w:ind w:left="210" w:right="210"/>
      </w:pPr>
    </w:p>
    <w:p>
      <w:pPr>
        <w:pStyle w:val="2"/>
        <w:ind w:left="210" w:right="210"/>
      </w:pPr>
    </w:p>
    <w:p>
      <w:pPr>
        <w:pStyle w:val="2"/>
        <w:ind w:left="210" w:right="210"/>
      </w:pPr>
    </w:p>
    <w:p>
      <w:pPr>
        <w:pStyle w:val="2"/>
        <w:ind w:left="210" w:right="210"/>
      </w:pPr>
    </w:p>
    <w:p>
      <w:pPr>
        <w:pStyle w:val="2"/>
        <w:ind w:left="210" w:right="210"/>
      </w:pPr>
    </w:p>
    <w:p>
      <w:pPr>
        <w:pStyle w:val="2"/>
        <w:ind w:left="210" w:right="210"/>
      </w:pPr>
    </w:p>
    <w:p>
      <w:pPr>
        <w:pStyle w:val="2"/>
        <w:ind w:left="210" w:right="210"/>
      </w:pPr>
    </w:p>
    <w:sectPr>
      <w:headerReference r:id="rId3" w:type="default"/>
      <w:footerReference r:id="rId5" w:type="default"/>
      <w:headerReference r:id="rId4" w:type="even"/>
      <w:footerReference r:id="rId6" w:type="even"/>
      <w:pgSz w:w="11906" w:h="16838"/>
      <w:pgMar w:top="2098" w:right="1474" w:bottom="1985" w:left="1588" w:header="851" w:footer="1418" w:gutter="0"/>
      <w:pgNumType w:fmt="numberInDash"/>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方正仿宋_GBK" w:eastAsia="方正仿宋_GBK"/>
        <w:sz w:val="24"/>
        <w:szCs w:val="24"/>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ascii="方正仿宋_GBK" w:eastAsia="方正仿宋_GBK"/>
        <w:sz w:val="28"/>
        <w:szCs w:val="28"/>
      </w:rPr>
    </w:pPr>
    <w:r>
      <w:rPr>
        <w:rFonts w:hint="eastAsia" w:ascii="方正仿宋_GBK" w:eastAsia="方正仿宋_GBK"/>
        <w:kern w:val="0"/>
        <w:sz w:val="28"/>
        <w:szCs w:val="28"/>
      </w:rPr>
      <w:fldChar w:fldCharType="begin"/>
    </w:r>
    <w:r>
      <w:rPr>
        <w:rFonts w:hint="eastAsia" w:ascii="方正仿宋_GBK" w:eastAsia="方正仿宋_GBK"/>
        <w:kern w:val="0"/>
        <w:sz w:val="28"/>
        <w:szCs w:val="28"/>
      </w:rPr>
      <w:instrText xml:space="preserve"> PAGE </w:instrText>
    </w:r>
    <w:r>
      <w:rPr>
        <w:rFonts w:hint="eastAsia" w:ascii="方正仿宋_GBK" w:eastAsia="方正仿宋_GBK"/>
        <w:kern w:val="0"/>
        <w:sz w:val="28"/>
        <w:szCs w:val="28"/>
      </w:rPr>
      <w:fldChar w:fldCharType="separate"/>
    </w:r>
    <w:r>
      <w:rPr>
        <w:rFonts w:ascii="方正仿宋_GBK" w:eastAsia="方正仿宋_GBK"/>
        <w:kern w:val="0"/>
        <w:sz w:val="28"/>
        <w:szCs w:val="28"/>
      </w:rPr>
      <w:t>- 2 -</w:t>
    </w:r>
    <w:r>
      <w:rPr>
        <w:rFonts w:hint="eastAsia" w:ascii="方正仿宋_GBK" w:eastAsia="方正仿宋_GBK"/>
        <w:kern w:val="0"/>
        <w:sz w:val="28"/>
        <w:szCs w:val="28"/>
      </w:rPr>
      <w:fldChar w:fldCharType="end"/>
    </w:r>
    <w:r>
      <w:rPr>
        <w:rFonts w:hint="eastAsia" w:ascii="方正仿宋_GBK" w:eastAsia="方正仿宋_GBK"/>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357C"/>
    <w:rsid w:val="00022BA4"/>
    <w:rsid w:val="00062B08"/>
    <w:rsid w:val="00145FF1"/>
    <w:rsid w:val="001D6EB8"/>
    <w:rsid w:val="002F4321"/>
    <w:rsid w:val="00333E2E"/>
    <w:rsid w:val="003568BA"/>
    <w:rsid w:val="003B75E0"/>
    <w:rsid w:val="004330DC"/>
    <w:rsid w:val="004732D1"/>
    <w:rsid w:val="004965D5"/>
    <w:rsid w:val="0051208F"/>
    <w:rsid w:val="005335D0"/>
    <w:rsid w:val="006403ED"/>
    <w:rsid w:val="006404C3"/>
    <w:rsid w:val="00644ECF"/>
    <w:rsid w:val="006860A5"/>
    <w:rsid w:val="006C3761"/>
    <w:rsid w:val="006E1212"/>
    <w:rsid w:val="0073276D"/>
    <w:rsid w:val="00812455"/>
    <w:rsid w:val="0088357C"/>
    <w:rsid w:val="008840E7"/>
    <w:rsid w:val="008D1779"/>
    <w:rsid w:val="00926928"/>
    <w:rsid w:val="00962858"/>
    <w:rsid w:val="00A60FB5"/>
    <w:rsid w:val="00BA1D10"/>
    <w:rsid w:val="00BF6233"/>
    <w:rsid w:val="00C2723B"/>
    <w:rsid w:val="00C57DE9"/>
    <w:rsid w:val="00D77E5F"/>
    <w:rsid w:val="00DA7E22"/>
    <w:rsid w:val="00DE3A7F"/>
    <w:rsid w:val="00E234D4"/>
    <w:rsid w:val="00E3691F"/>
    <w:rsid w:val="00E72CA2"/>
    <w:rsid w:val="00EA0C23"/>
    <w:rsid w:val="00EA14FD"/>
    <w:rsid w:val="00EE62A8"/>
    <w:rsid w:val="00FE0DED"/>
    <w:rsid w:val="00FE20EB"/>
    <w:rsid w:val="2D4E0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7"/>
    <w:qFormat/>
    <w:uiPriority w:val="0"/>
    <w:pPr>
      <w:ind w:left="100" w:leftChars="100" w:right="100" w:rightChars="100"/>
    </w:pPr>
  </w:style>
  <w:style w:type="paragraph" w:styleId="3">
    <w:name w:val="Plain Text"/>
    <w:basedOn w:val="1"/>
    <w:link w:val="25"/>
    <w:qFormat/>
    <w:uiPriority w:val="99"/>
    <w:rPr>
      <w:rFonts w:ascii="宋体" w:hAnsi="Courier New" w:cs="Courier New"/>
      <w:szCs w:val="21"/>
    </w:rPr>
  </w:style>
  <w:style w:type="paragraph" w:styleId="4">
    <w:name w:val="Date"/>
    <w:basedOn w:val="1"/>
    <w:next w:val="1"/>
    <w:link w:val="24"/>
    <w:uiPriority w:val="0"/>
    <w:pPr>
      <w:ind w:left="100" w:leftChars="2500"/>
    </w:pPr>
  </w:style>
  <w:style w:type="paragraph" w:styleId="5">
    <w:name w:val="Body Text Indent 2"/>
    <w:basedOn w:val="1"/>
    <w:link w:val="23"/>
    <w:uiPriority w:val="0"/>
    <w:pPr>
      <w:spacing w:line="590" w:lineRule="exact"/>
      <w:ind w:firstLine="420" w:firstLineChars="200"/>
    </w:pPr>
    <w:rPr>
      <w:rFonts w:ascii="方正仿宋_GBK" w:eastAsia="方正仿宋_GBK" w:hAnsiTheme="minorHAnsi" w:cstheme="minorBidi"/>
      <w:sz w:val="32"/>
      <w:szCs w:val="24"/>
    </w:rPr>
  </w:style>
  <w:style w:type="paragraph" w:styleId="6">
    <w:name w:val="Balloon Text"/>
    <w:basedOn w:val="1"/>
    <w:link w:val="20"/>
    <w:uiPriority w:val="0"/>
    <w:rPr>
      <w:sz w:val="18"/>
      <w:szCs w:val="18"/>
    </w:rPr>
  </w:style>
  <w:style w:type="paragraph" w:styleId="7">
    <w:name w:val="footer"/>
    <w:basedOn w:val="1"/>
    <w:link w:val="19"/>
    <w:uiPriority w:val="99"/>
    <w:pPr>
      <w:tabs>
        <w:tab w:val="center" w:pos="4153"/>
        <w:tab w:val="right" w:pos="8306"/>
      </w:tabs>
      <w:snapToGrid w:val="0"/>
      <w:jc w:val="left"/>
    </w:pPr>
    <w:rPr>
      <w:sz w:val="18"/>
    </w:rPr>
  </w:style>
  <w:style w:type="paragraph" w:styleId="8">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uiPriority w:val="0"/>
  </w:style>
  <w:style w:type="character" w:styleId="14">
    <w:name w:val="Hyperlink"/>
    <w:uiPriority w:val="0"/>
    <w:rPr>
      <w:color w:val="0000FF"/>
      <w:u w:val="single"/>
    </w:rPr>
  </w:style>
  <w:style w:type="character" w:customStyle="1" w:styleId="15">
    <w:name w:val="font81"/>
    <w:basedOn w:val="12"/>
    <w:qFormat/>
    <w:uiPriority w:val="0"/>
    <w:rPr>
      <w:rFonts w:hint="eastAsia" w:ascii="方正黑体_GBK" w:hAnsi="方正黑体_GBK" w:eastAsia="方正黑体_GBK" w:cs="方正黑体_GBK"/>
      <w:color w:val="000000"/>
      <w:sz w:val="20"/>
      <w:szCs w:val="20"/>
      <w:u w:val="none"/>
    </w:rPr>
  </w:style>
  <w:style w:type="character" w:customStyle="1" w:styleId="16">
    <w:name w:val="纯文本 Char"/>
    <w:link w:val="3"/>
    <w:qFormat/>
    <w:uiPriority w:val="99"/>
    <w:rPr>
      <w:rFonts w:ascii="宋体" w:hAnsi="Courier New" w:eastAsia="宋体" w:cs="Courier New"/>
      <w:szCs w:val="21"/>
    </w:rPr>
  </w:style>
  <w:style w:type="character" w:customStyle="1" w:styleId="17">
    <w:name w:val="正文文本缩进 2 Char"/>
    <w:link w:val="5"/>
    <w:locked/>
    <w:uiPriority w:val="0"/>
    <w:rPr>
      <w:rFonts w:ascii="方正仿宋_GBK" w:eastAsia="方正仿宋_GBK"/>
      <w:sz w:val="32"/>
      <w:szCs w:val="24"/>
    </w:rPr>
  </w:style>
  <w:style w:type="character" w:customStyle="1" w:styleId="18">
    <w:name w:val="页眉 Char"/>
    <w:basedOn w:val="12"/>
    <w:link w:val="8"/>
    <w:uiPriority w:val="0"/>
    <w:rPr>
      <w:rFonts w:ascii="Times New Roman" w:hAnsi="Times New Roman" w:eastAsia="宋体" w:cs="Times New Roman"/>
      <w:sz w:val="18"/>
      <w:szCs w:val="18"/>
    </w:rPr>
  </w:style>
  <w:style w:type="character" w:customStyle="1" w:styleId="19">
    <w:name w:val="页脚 Char"/>
    <w:basedOn w:val="12"/>
    <w:link w:val="7"/>
    <w:uiPriority w:val="99"/>
    <w:rPr>
      <w:rFonts w:ascii="Times New Roman" w:hAnsi="Times New Roman" w:eastAsia="宋体" w:cs="Times New Roman"/>
      <w:sz w:val="18"/>
      <w:szCs w:val="20"/>
    </w:rPr>
  </w:style>
  <w:style w:type="character" w:customStyle="1" w:styleId="20">
    <w:name w:val="批注框文本 Char"/>
    <w:basedOn w:val="12"/>
    <w:link w:val="6"/>
    <w:uiPriority w:val="0"/>
    <w:rPr>
      <w:rFonts w:ascii="Times New Roman" w:hAnsi="Times New Roman" w:eastAsia="宋体" w:cs="Times New Roman"/>
      <w:sz w:val="18"/>
      <w:szCs w:val="18"/>
    </w:rPr>
  </w:style>
  <w:style w:type="paragraph" w:customStyle="1" w:styleId="21">
    <w:name w:val="p0"/>
    <w:basedOn w:val="1"/>
    <w:uiPriority w:val="0"/>
    <w:pPr>
      <w:widowControl/>
    </w:pPr>
    <w:rPr>
      <w:kern w:val="0"/>
      <w:szCs w:val="21"/>
    </w:rPr>
  </w:style>
  <w:style w:type="paragraph" w:customStyle="1" w:styleId="22">
    <w:name w:val="p15"/>
    <w:basedOn w:val="1"/>
    <w:uiPriority w:val="0"/>
    <w:pPr>
      <w:widowControl/>
    </w:pPr>
    <w:rPr>
      <w:rFonts w:ascii="宋体" w:hAnsi="宋体" w:cs="宋体"/>
      <w:kern w:val="0"/>
      <w:szCs w:val="21"/>
    </w:rPr>
  </w:style>
  <w:style w:type="character" w:customStyle="1" w:styleId="23">
    <w:name w:val="正文文本缩进 2 Char1"/>
    <w:basedOn w:val="12"/>
    <w:link w:val="5"/>
    <w:semiHidden/>
    <w:uiPriority w:val="99"/>
    <w:rPr>
      <w:rFonts w:ascii="Times New Roman" w:hAnsi="Times New Roman" w:eastAsia="宋体" w:cs="Times New Roman"/>
      <w:szCs w:val="20"/>
    </w:rPr>
  </w:style>
  <w:style w:type="character" w:customStyle="1" w:styleId="24">
    <w:name w:val="日期 Char"/>
    <w:basedOn w:val="12"/>
    <w:link w:val="4"/>
    <w:uiPriority w:val="0"/>
    <w:rPr>
      <w:rFonts w:ascii="Times New Roman" w:hAnsi="Times New Roman" w:eastAsia="宋体" w:cs="Times New Roman"/>
      <w:szCs w:val="20"/>
    </w:rPr>
  </w:style>
  <w:style w:type="character" w:customStyle="1" w:styleId="25">
    <w:name w:val="纯文本 Char1"/>
    <w:basedOn w:val="12"/>
    <w:link w:val="3"/>
    <w:semiHidden/>
    <w:uiPriority w:val="99"/>
    <w:rPr>
      <w:rFonts w:ascii="宋体" w:hAnsi="Courier New" w:eastAsia="宋体" w:cs="Courier New"/>
      <w:szCs w:val="21"/>
    </w:rPr>
  </w:style>
  <w:style w:type="paragraph" w:customStyle="1" w:styleId="26">
    <w:name w:val="Char"/>
    <w:basedOn w:val="1"/>
    <w:uiPriority w:val="0"/>
    <w:pPr>
      <w:widowControl/>
      <w:jc w:val="left"/>
    </w:pPr>
  </w:style>
  <w:style w:type="character" w:customStyle="1" w:styleId="27">
    <w:name w:val="正文文本 Char"/>
    <w:basedOn w:val="12"/>
    <w:link w:val="2"/>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1772</Words>
  <Characters>10101</Characters>
  <Lines>84</Lines>
  <Paragraphs>23</Paragraphs>
  <TotalTime>0</TotalTime>
  <ScaleCrop>false</ScaleCrop>
  <LinksUpToDate>false</LinksUpToDate>
  <CharactersWithSpaces>11850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2020-07-13T08:23:00Z</dcterms:created>
  <dc:creator>向玲莉[13512328271]</dc:creator>
  <cp:lastModifiedBy>Administrator</cp:lastModifiedBy>
  <dcterms:modified xsi:type="dcterms:W3CDTF">2025-04-18T09:08:50Z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