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大标宋简体"/>
          <w:color w:val="FF0000"/>
          <w:spacing w:val="-6"/>
          <w:sz w:val="20"/>
          <w:szCs w:val="1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50pt;z-index:251658240;mso-width-relative:page;mso-height-relative:page;" filled="f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SVZvTXAAAACwEAAA8AAAAAAAAAAQAgAAAAOAAAAGRycy9kb3ducmV2LnhtbFBL&#10;AQIUABQAAAAIAIdO4kA9At3C4QEAAKgDAAAOAAAAAAAAAAEAIAAAADwBAABkcnMvZTJvRG9jLnht&#10;bFBLBQYAAAAABgAGAFkBAACPBQAAAAA=&#10;">
                <v:path arrowok="t"/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关于印发《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万州区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制造业高质量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发展专家库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组建工作方案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各镇乡（民族乡）人民政府，各街道办事处，区政府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万州区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制造业高质量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发展专家库组建工作方案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已经区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第六届人民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政府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16次常务会议审议通过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                     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                        2022年8月29日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万州区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制造业高质量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发展专家库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组建工作方案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完整、准确、全面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贯彻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新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发展理念，加快推进我区工业经济高质量发展，经研究，决定组建万州区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制造业高质量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发展专家库，制定本工作方案。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坚持以习近平新时代中国特色社会主义思想为指导，全面贯彻党的十九大和十九届历次全会精神，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积极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抢抓西部大开发、成渝双城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地区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经济圈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建设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等重大发展机遇，深入实施“工业强区”，聚集五大重点产业，进一步强化我区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制造业高质量发展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人才和智力支撑。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二、入选条件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（一）政治立场坚定，拥护党和国家的各项方针政策；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（二）理论研究和实践经验丰富，熟悉所属领域法律法规、技术规范和标准，在相关行业领域具有一定的影响力和知名度；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（三）社会公信力高、工作责任心强，能够实事求是、公正客观地提出咨询论证意见建议；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（四）熟悉万州区、重庆市以及全国重点产业发展现状和趋势，具有较强的社会活动能力、广泛的产业信息渠道。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（五）身体状况良好，能够保证履行专家顾问职责所必需的精力和时间，原则上年龄不超过65周岁；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（六）关心支持万州经济社会发展，热心决策咨询论证工作。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方正黑体_GBK"/>
          <w:sz w:val="32"/>
          <w:szCs w:val="32"/>
          <w:highlight w:val="none"/>
        </w:rPr>
        <w:t>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（一）根据我区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发展需求和实际，对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发展的规划、布局、政策等提出咨询意见和建议；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（二）指导企业持续发展，为企业创新研发、技术改造、安全生产和节能环保等提供咨询服务；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（三）深入研究全区工业发展现状，分析全国乃至全球重点产业领域发展现状及前景，为我区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发展梳理产业链条，明确发展方向、发展重点和目标企业；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（四）充分利用平台优势和人脉资源，宣传万州发展成就和投资环境，协助开展工业招商，推动区域产业协作，组织开展培训交流活动；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（五）对我区工业发展项目进行评估审查，并出具专家评审意见。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方正黑体_GBK"/>
          <w:sz w:val="32"/>
          <w:szCs w:val="32"/>
          <w:highlight w:val="none"/>
        </w:rPr>
        <w:t>、组建方式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（一）专家库规模为30人，由产业发展、投资两大类组成，其中，产业发展下设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先进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材料、食品加工、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装备制造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医药化工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新型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能源等六个专项。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（二）专家库实行集中聘任制和动态管理，每任聘期3年，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聘期满后，可予以续聘。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（三）专家库由区经济信息委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推荐，报区政府审定后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选聘、调整。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方正黑体_GBK"/>
          <w:sz w:val="32"/>
          <w:szCs w:val="32"/>
          <w:highlight w:val="none"/>
        </w:rPr>
        <w:t>、其它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（一）专家库成员应邀参加项目论证、现场咨询、授课培训、商务谈判等，可按有关规定获取报酬，相关经费在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我区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工业和信息化发展专项资金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中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（二）专家库成员为万州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制造业高质量发展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作出突出贡献的，按规定享受相应奖励。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件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制造业高质量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发展专家库成员名单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方正小标宋_GBK" w:eastAsia="方正小标宋_GBK"/>
          <w:sz w:val="44"/>
          <w:szCs w:val="44"/>
          <w:highlight w:val="none"/>
          <w:lang w:eastAsia="zh-CN"/>
        </w:rPr>
        <w:t>制造业高质量</w:t>
      </w:r>
      <w:r>
        <w:rPr>
          <w:rFonts w:ascii="Times New Roman" w:hAnsi="方正小标宋_GBK" w:eastAsia="方正小标宋_GBK"/>
          <w:sz w:val="44"/>
          <w:szCs w:val="44"/>
          <w:highlight w:val="none"/>
        </w:rPr>
        <w:t>发展专家库成员名单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方正楷体_GBK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2"/>
          <w:szCs w:val="32"/>
          <w:highlight w:val="none"/>
          <w:lang w:val="en-US" w:eastAsia="zh-CN"/>
        </w:rPr>
        <w:t>（2022</w:t>
      </w:r>
      <w:r>
        <w:rPr>
          <w:rFonts w:hint="eastAsia" w:ascii="汉仪方隶简" w:hAnsi="汉仪方隶简" w:eastAsia="汉仪方隶简" w:cs="汉仪方隶简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方正楷体_GBK" w:eastAsia="方正楷体_GBK" w:cs="Times New Roman"/>
          <w:sz w:val="32"/>
          <w:szCs w:val="32"/>
          <w:highlight w:val="none"/>
          <w:lang w:val="en-US" w:eastAsia="zh-CN"/>
        </w:rPr>
        <w:t>2025）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sz w:val="32"/>
          <w:szCs w:val="32"/>
          <w:highlight w:val="none"/>
        </w:rPr>
        <w:t>（共计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名，排名不分先后）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方正黑体_GBK" w:eastAsia="方正黑体_GBK"/>
          <w:sz w:val="32"/>
          <w:szCs w:val="32"/>
          <w:highlight w:val="none"/>
        </w:rPr>
        <w:t>一、产业发展类（</w:t>
      </w:r>
      <w:r>
        <w:rPr>
          <w:rFonts w:ascii="Times New Roman" w:hAnsi="Times New Roman" w:eastAsia="方正黑体_GBK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方正黑体_GBK" w:eastAsia="方正黑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b w:val="0"/>
          <w:bCs w:val="0"/>
          <w:sz w:val="32"/>
          <w:szCs w:val="32"/>
          <w:highlight w:val="none"/>
        </w:rPr>
        <w:t>（一）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先进材料产业集群（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5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刘正东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中国工程院院士、中国工程院副总工程师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程大勇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博士、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中科金龙金属材料开发有限公司总经理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38" w:leftChars="304" w:hanging="1600" w:hangingChars="500"/>
        <w:jc w:val="left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>胡云松  高级工程师、四川宏云建材有限公司副总经理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38" w:leftChars="304" w:hanging="1600" w:hangingChars="500"/>
        <w:jc w:val="left"/>
        <w:textAlignment w:val="auto"/>
        <w:rPr>
          <w:rFonts w:hint="default" w:ascii="Times New Roman" w:hAnsi="方正仿宋_GBK" w:eastAsia="方正仿宋_GBK"/>
          <w:spacing w:val="-20"/>
          <w:sz w:val="32"/>
          <w:szCs w:val="32"/>
          <w:highlight w:val="none"/>
          <w:lang w:val="en-US" w:eastAsia="zh-CN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李成林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pacing w:val="0"/>
          <w:sz w:val="32"/>
          <w:szCs w:val="32"/>
          <w:highlight w:val="none"/>
        </w:rPr>
        <w:t>重庆铝产业开发投资集团有限公司顾问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夏正伟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材料工业处副处长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sz w:val="32"/>
          <w:szCs w:val="32"/>
          <w:highlight w:val="none"/>
        </w:rPr>
        <w:t>（二）食品加工产业集群（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5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张京玉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教授、中国食品工业协会副秘书长兼主任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刘春雪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安佑生物科技集团股份有限公司研究院院长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朱秋实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highlight w:val="none"/>
        </w:rPr>
        <w:t>赛迪工业和信息化研究院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highlight w:val="none"/>
          <w:lang w:eastAsia="zh-CN"/>
        </w:rPr>
        <w:t>有限公司常务副总经理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王  旭  赛迪工业和信息化研究院消费品工业研究所主任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聂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艳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消费品工业处处长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sz w:val="32"/>
          <w:szCs w:val="32"/>
          <w:highlight w:val="none"/>
        </w:rPr>
        <w:t>（三）装备制造产业集群（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唐爱军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教授、中国电子装备技术开发协会副秘书长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  <w:highlight w:val="none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顾文军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芯谋市场信息咨询（上海）有限公司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首席分析师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李永革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/>
          <w:spacing w:val="-20"/>
          <w:sz w:val="32"/>
          <w:szCs w:val="32"/>
          <w:highlight w:val="none"/>
          <w:lang w:eastAsia="zh-CN"/>
        </w:rPr>
        <w:t>高级工程师、</w:t>
      </w:r>
      <w:r>
        <w:rPr>
          <w:rFonts w:ascii="Times New Roman" w:hAnsi="方正仿宋_GBK" w:eastAsia="方正仿宋_GBK"/>
          <w:spacing w:val="-20"/>
          <w:sz w:val="32"/>
          <w:szCs w:val="32"/>
          <w:highlight w:val="none"/>
        </w:rPr>
        <w:t>金龙精密铜管集团股份有限公司监事会主席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张圣天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pacing w:val="-17"/>
          <w:sz w:val="32"/>
          <w:szCs w:val="32"/>
          <w:highlight w:val="none"/>
        </w:rPr>
        <w:t>重庆赛迪工业和信息化研究院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汽车装备研究室主任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  <w:highlight w:val="none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王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含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汽车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处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sz w:val="32"/>
          <w:szCs w:val="32"/>
          <w:highlight w:val="none"/>
        </w:rPr>
        <w:t>（四）医药化工产业集群（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5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孙世刚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中国科学院院士、厦门大学教授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段成义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pacing w:val="-17"/>
          <w:sz w:val="32"/>
          <w:szCs w:val="32"/>
          <w:highlight w:val="none"/>
          <w:lang w:val="en-US" w:eastAsia="zh-CN"/>
        </w:rPr>
        <w:t>高级工程师、重庆市映天辉氯碱化工有限公司技术总监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何小强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高级工程师、重庆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华歌生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物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eastAsia="zh-CN"/>
        </w:rPr>
        <w:t>化学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有限公司技术总监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pacing w:val="-17"/>
          <w:sz w:val="32"/>
          <w:szCs w:val="32"/>
          <w:highlight w:val="none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宁玉强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方正仿宋_GBK" w:eastAsia="方正仿宋_GBK"/>
          <w:spacing w:val="0"/>
          <w:sz w:val="32"/>
          <w:szCs w:val="32"/>
          <w:highlight w:val="none"/>
          <w:lang w:eastAsia="zh-CN"/>
        </w:rPr>
        <w:t>研究员、</w:t>
      </w:r>
      <w:r>
        <w:rPr>
          <w:rFonts w:hint="eastAsia" w:ascii="Times New Roman" w:hAnsi="方正仿宋_GBK" w:eastAsia="方正仿宋_GBK"/>
          <w:spacing w:val="0"/>
          <w:sz w:val="32"/>
          <w:szCs w:val="32"/>
          <w:highlight w:val="none"/>
        </w:rPr>
        <w:t>赛迪医药健康产业研究中心总经理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陈万明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化工工业处副处长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方正楷体_GBK" w:eastAsia="方正楷体_GBK"/>
          <w:sz w:val="32"/>
          <w:szCs w:val="32"/>
          <w:highlight w:val="none"/>
        </w:rPr>
        <w:t>（五）新型能源产业集群（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方正楷体_GBK" w:eastAsia="方正楷体_GBK"/>
          <w:sz w:val="32"/>
          <w:szCs w:val="32"/>
          <w:highlight w:val="none"/>
        </w:rPr>
        <w:t>人）</w:t>
      </w:r>
      <w:r>
        <w:rPr>
          <w:rFonts w:ascii="Times New Roman" w:hAnsi="Times New Roman" w:eastAsia="方正楷体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白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泉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教授、国家发展和改革委员会能源研究所主任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18" w:leftChars="304" w:hanging="1280" w:hangingChars="400"/>
        <w:textAlignment w:val="auto"/>
        <w:rPr>
          <w:rFonts w:ascii="Times New Roman" w:hAnsi="方正仿宋_GBK" w:eastAsia="方正仿宋_GBK"/>
          <w:spacing w:val="0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杨世兴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</w:rPr>
        <w:t>高级工程师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方正仿宋_GBK" w:eastAsia="方正仿宋_GBK"/>
          <w:spacing w:val="0"/>
          <w:sz w:val="32"/>
          <w:szCs w:val="32"/>
          <w:highlight w:val="none"/>
        </w:rPr>
        <w:t>重庆三峡水利（电力）集团股份有限公司副总经理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6" w:firstLineChars="200"/>
        <w:textAlignment w:val="auto"/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</w:rPr>
        <w:t>李</w:t>
      </w: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</w:rPr>
        <w:t>骞</w:t>
      </w: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  <w:t xml:space="preserve">  博士、重庆气矿总工程师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唐有根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</w:rPr>
        <w:t>中南大学教授、化学电源与材料研究所所长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18" w:leftChars="304" w:hanging="1280" w:hangingChars="400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宋世雄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节能与综合利用处副处长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方正黑体_GBK" w:eastAsia="方正黑体_GBK"/>
          <w:sz w:val="32"/>
          <w:szCs w:val="32"/>
          <w:highlight w:val="none"/>
        </w:rPr>
        <w:t>二、投资类（</w:t>
      </w:r>
      <w:r>
        <w:rPr>
          <w:rFonts w:hint="eastAsia" w:ascii="Times New Roman" w:hAnsi="方正黑体_GBK" w:eastAsia="方正黑体_GBK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方正黑体_GBK" w:eastAsia="方正黑体_GBK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智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慧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教授、中国工业节能与清洁生产协会副秘书长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付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川  教授、重庆三峡学院副校长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方正仿宋_GBK"/>
          <w:spacing w:val="-17"/>
          <w:sz w:val="32"/>
          <w:szCs w:val="32"/>
          <w:highlight w:val="none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曹书毫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pacing w:val="-17"/>
          <w:sz w:val="32"/>
          <w:szCs w:val="32"/>
          <w:highlight w:val="none"/>
        </w:rPr>
        <w:t>重庆赛迪工业和信息化研究院产业经济研究中心主任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陆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军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  <w:t>高级工程师、重庆久久安全咨询服务有限公司总经理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方正仿宋_GBK" w:eastAsia="方正仿宋_GBK"/>
          <w:spacing w:val="-11"/>
          <w:sz w:val="32"/>
          <w:szCs w:val="32"/>
          <w:highlight w:val="none"/>
          <w:lang w:val="en-US" w:eastAsia="zh-CN"/>
        </w:rPr>
      </w:pPr>
      <w:r>
        <w:rPr>
          <w:rFonts w:ascii="Times New Roman" w:hAnsi="方正仿宋_GBK" w:eastAsia="方正仿宋_GBK"/>
          <w:sz w:val="32"/>
          <w:szCs w:val="32"/>
          <w:highlight w:val="none"/>
        </w:rPr>
        <w:t>钟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熙</w:t>
      </w:r>
      <w:r>
        <w:rPr>
          <w:rFonts w:ascii="Times New Roman" w:hAnsi="Times New Roman" w:eastAsia="方正仿宋_GBK"/>
          <w:sz w:val="32"/>
          <w:szCs w:val="32"/>
          <w:highlight w:val="none"/>
        </w:rPr>
        <w:t xml:space="preserve">  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重庆市经济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和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信息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化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委</w:t>
      </w:r>
      <w:r>
        <w:rPr>
          <w:rFonts w:hint="eastAsia" w:ascii="Times New Roman" w:hAnsi="方正仿宋_GBK" w:eastAsia="方正仿宋_GBK"/>
          <w:sz w:val="32"/>
          <w:szCs w:val="32"/>
          <w:highlight w:val="none"/>
          <w:lang w:eastAsia="zh-CN"/>
        </w:rPr>
        <w:t>员会</w:t>
      </w:r>
      <w:r>
        <w:rPr>
          <w:rFonts w:ascii="Times New Roman" w:hAnsi="方正仿宋_GBK" w:eastAsia="方正仿宋_GBK"/>
          <w:sz w:val="32"/>
          <w:szCs w:val="32"/>
          <w:highlight w:val="none"/>
        </w:rPr>
        <w:t>规划投资处处长</w:t>
      </w:r>
    </w:p>
    <w:p>
      <w:pPr>
        <w:spacing w:line="590" w:lineRule="exact"/>
        <w:ind w:firstLine="645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pStyle w:val="2"/>
        <w:rPr>
          <w:rFonts w:hint="eastAsia" w:ascii="方正仿宋_GBK" w:eastAsia="方正仿宋_GBK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</w:rPr>
      </w:pPr>
    </w:p>
    <w:p>
      <w:pPr>
        <w:spacing w:line="590" w:lineRule="exact"/>
        <w:ind w:firstLine="280" w:firstLineChars="100"/>
        <w:rPr>
          <w:rFonts w:hint="eastAsia" w:ascii="方正仿宋_GBK" w:eastAsia="方正仿宋_GBK"/>
          <w:sz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</w:rPr>
        <w:t>区委</w:t>
      </w:r>
      <w:r>
        <w:rPr>
          <w:rFonts w:hint="eastAsia" w:ascii="方正仿宋_GBK" w:eastAsia="方正仿宋_GBK"/>
          <w:sz w:val="28"/>
          <w:lang w:eastAsia="zh-CN"/>
        </w:rPr>
        <w:t>办公室</w:t>
      </w:r>
      <w:r>
        <w:rPr>
          <w:rFonts w:hint="eastAsia" w:ascii="方正仿宋_GBK" w:eastAsia="方正仿宋_GBK"/>
          <w:sz w:val="28"/>
        </w:rPr>
        <w:t>，区人大</w:t>
      </w:r>
      <w:r>
        <w:rPr>
          <w:rFonts w:hint="eastAsia" w:ascii="方正仿宋_GBK" w:eastAsia="方正仿宋_GBK"/>
          <w:sz w:val="28"/>
          <w:lang w:eastAsia="zh-CN"/>
        </w:rPr>
        <w:t>常委会</w:t>
      </w:r>
      <w:r>
        <w:rPr>
          <w:rFonts w:hint="eastAsia" w:ascii="方正仿宋_GBK" w:eastAsia="方正仿宋_GBK"/>
          <w:sz w:val="28"/>
        </w:rPr>
        <w:t>办公室，区政协办公室，万州经开区</w:t>
      </w:r>
    </w:p>
    <w:p>
      <w:pPr>
        <w:spacing w:line="590" w:lineRule="exact"/>
        <w:ind w:firstLine="1120" w:firstLineChars="4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</w:rPr>
        <w:t>办公室，区法院，区检察院，区人武部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75671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476B5DE4"/>
    <w:rsid w:val="4E86528F"/>
    <w:rsid w:val="5CFA52B2"/>
    <w:rsid w:val="69BD22ED"/>
    <w:rsid w:val="7FBF980F"/>
    <w:rsid w:val="DFF75671"/>
    <w:rsid w:val="EBEF0FC9"/>
    <w:rsid w:val="FDDF4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万州府办发2022.wpt</Template>
  <Pages>2</Pages>
  <Words>166</Words>
  <Characters>175</Characters>
  <Lines>1</Lines>
  <Paragraphs>1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2022-09-01T02:11:00Z</dcterms:created>
  <dc:creator>user</dc:creator>
  <cp:lastModifiedBy>user</cp:lastModifiedBy>
  <cp:lastPrinted>2022-09-01T02:13:00Z</cp:lastPrinted>
  <dcterms:modified xsi:type="dcterms:W3CDTF">2022-09-01T10:10:04Z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