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" w:leftChars="-16" w:hanging="37" w:hangingChars="20"/>
        <w:jc w:val="center"/>
        <w:rPr>
          <w:rFonts w:hint="eastAsia" w:ascii="方正仿宋_GBK" w:hAnsi="宋体" w:eastAsia="方正仿宋_GBK" w:cs="宋体"/>
          <w:kern w:val="0"/>
          <w:sz w:val="28"/>
          <w:szCs w:val="28"/>
        </w:rPr>
      </w:pPr>
      <w:r>
        <w:rPr>
          <w:rFonts w:eastAsia="方正大标宋简体"/>
          <w:color w:val="FF0000"/>
          <w:spacing w:val="-6"/>
          <w:sz w:val="20"/>
          <w:szCs w:val="10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891540</wp:posOffset>
                </wp:positionV>
                <wp:extent cx="57150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70.2pt;height:0pt;width:450pt;z-index:251658240;mso-width-relative:page;mso-height-relative:page;" filled="f" stroked="t" coordsize="21600,21600" o:gfxdata="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SVZvTXAAAACwEAAA8AAAAAAAAAAQAgAAAAOAAAAGRycy9kb3ducmV2LnhtbFBL&#10;AQIUABQAAAAIAIdO4kA9At3C4QEAAKgDAAAOAAAAAAAAAAEAIAAAADwBAABkcnMvZTJvRG9jLnht&#10;bFBLBQYAAAAABgAGAFkBAACPBQAAAAA=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大标宋简体"/>
          <w:color w:val="FF0000"/>
          <w:spacing w:val="-10"/>
          <w:w w:val="52"/>
          <w:sz w:val="104"/>
          <w:szCs w:val="104"/>
        </w:rPr>
        <w:t>重庆市万州区人民政府办公室电子公文</w:t>
      </w: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万州府办发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"/>
        </w:rPr>
        <w:t>52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40" w:lineRule="exact"/>
        <w:jc w:val="center"/>
        <w:textAlignment w:val="baseline"/>
        <w:rPr>
          <w:rFonts w:ascii="方正仿宋_GBK" w:eastAsia="方正仿宋_GBK"/>
          <w:sz w:val="32"/>
          <w:szCs w:val="20"/>
        </w:rPr>
      </w:pPr>
      <w:r>
        <w:rPr>
          <w:rFonts w:ascii="方正仿宋_GBK" w:eastAsia="方正仿宋_GBK"/>
          <w:sz w:val="32"/>
          <w:szCs w:val="20"/>
        </w:rPr>
        <w:t xml:space="preserve">  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line="54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auto"/>
          <w:spacing w:val="9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9"/>
          <w:sz w:val="44"/>
          <w:szCs w:val="44"/>
          <w:lang w:val="en-US" w:eastAsia="zh-CN"/>
        </w:rPr>
        <w:t>重庆市万州区人民政府办公室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9"/>
          <w:sz w:val="44"/>
          <w:szCs w:val="44"/>
          <w:lang w:val="en-US" w:eastAsia="zh-CN"/>
        </w:rPr>
        <w:t>关于印发《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万州区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迎峰度夏电力电煤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9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保障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工作实施方案</w:t>
      </w:r>
      <w:r>
        <w:rPr>
          <w:rFonts w:hint="default" w:ascii="Times New Roman" w:hAnsi="Times New Roman" w:eastAsia="方正小标宋_GBK" w:cs="Times New Roman"/>
          <w:color w:val="auto"/>
          <w:spacing w:val="9"/>
          <w:sz w:val="44"/>
          <w:szCs w:val="44"/>
          <w:lang w:val="en-US" w:eastAsia="zh-CN"/>
        </w:rPr>
        <w:t>》的通知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小标宋_GBK" w:cs="Times New Roman"/>
          <w:color w:val="auto"/>
          <w:spacing w:val="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  <w:t>各镇乡（民族乡）人民政府，各街道办事处，区政府有关部门，有关单位：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6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  <w:t>经区政府同意，现将《万州区2022年迎峰度夏电力电煤保障工作实施方案》印发给你们，请认真贯彻执行。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  <w:t xml:space="preserve">                         重庆市万州区人民政府办公室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pacing w:val="9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  <w:t xml:space="preserve">                              2022年6月</w:t>
      </w:r>
      <w:r>
        <w:rPr>
          <w:rFonts w:hint="eastAsia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"/>
        </w:rPr>
        <w:t>14</w:t>
      </w:r>
      <w:r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  <w:t>日</w:t>
      </w:r>
    </w:p>
    <w:p>
      <w:pPr>
        <w:pStyle w:val="4"/>
        <w:ind w:firstLine="676" w:firstLineChars="200"/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9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万州区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迎峰度夏电力电煤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保障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工作实施方案</w:t>
      </w:r>
    </w:p>
    <w:p>
      <w:pPr>
        <w:spacing w:before="2" w:line="277" w:lineRule="auto"/>
        <w:ind w:right="123" w:firstLine="676" w:firstLineChars="200"/>
        <w:jc w:val="left"/>
        <w:rPr>
          <w:rFonts w:hint="default" w:ascii="Times New Roman" w:hAnsi="Times New Roman" w:eastAsia="方正仿宋_GBK" w:cs="Times New Roman"/>
          <w:spacing w:val="9"/>
          <w:sz w:val="32"/>
          <w:szCs w:val="32"/>
        </w:rPr>
      </w:pPr>
    </w:p>
    <w:p>
      <w:pPr>
        <w:spacing w:before="2" w:line="277" w:lineRule="auto"/>
        <w:ind w:right="123" w:firstLine="676" w:firstLineChars="200"/>
        <w:jc w:val="left"/>
        <w:rPr>
          <w:rFonts w:hint="default" w:ascii="Times New Roman" w:hAnsi="Times New Roman" w:eastAsia="方正仿宋_GBK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  <w:lang w:val="en-US" w:eastAsia="zh-CN"/>
        </w:rPr>
        <w:t>切实做好2022年迎峰度夏期间（2022年6</w:t>
      </w:r>
      <w:r>
        <w:rPr>
          <w:rFonts w:hint="eastAsia" w:ascii="汉仪方隶简" w:hAnsi="汉仪方隶简" w:eastAsia="汉仪方隶简" w:cs="汉仪方隶简"/>
          <w:spacing w:val="9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  <w:lang w:val="en-US" w:eastAsia="zh-CN"/>
        </w:rPr>
        <w:t>9月）电力电煤运行调度工作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《重庆市人民政府办公厅关于印发重庆市2022年迎峰度夏电力电煤保障工作实施方案的通知》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渝府办发〔2022〕5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 w:cs="Times New Roman"/>
          <w:spacing w:val="9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  <w:lang w:val="en-US" w:eastAsia="zh-CN"/>
        </w:rPr>
        <w:t>重庆市2022年迎峰度夏电力电煤保障电视电话会议精神，结合我区实际，制定本方案。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公文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黑体" w:cs="Times New Roman"/>
          <w:color w:val="auto"/>
          <w:sz w:val="32"/>
          <w:szCs w:val="32"/>
          <w:lang w:val="en-US" w:eastAsia="zh-CN"/>
        </w:rPr>
        <w:t>工作目标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以习近平新时代中国特色社会主义思想为指导，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深入贯彻习近平总书记关于能源安全的重要指示</w:t>
      </w:r>
      <w:r>
        <w:rPr>
          <w:rFonts w:hint="eastAsia" w:ascii="Times New Roman" w:hAnsi="Times New Roman" w:eastAsia="方正仿宋_GBK" w:cs="Times New Roman"/>
          <w:spacing w:val="9"/>
          <w:sz w:val="32"/>
          <w:szCs w:val="32"/>
          <w:lang w:eastAsia="zh-CN"/>
        </w:rPr>
        <w:t>批示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精神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牢固树立以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人民为中心的发展思想，完整、准确、全面贯彻新发展理念，坚持系统观念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强化底线思维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加强统筹协调，突出抓好电力电量电煤平衡和综合调度工作，科学实施有序用电方案，着力营造节约用电浓厚氛围，坚决守住民生用电底线，确保不发生缺煤停机、非计划停机、拉闸限电事故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负面舆情事件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千方百计保障全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电力电煤需求，助推全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经济社会高质量发展。</w:t>
      </w:r>
    </w:p>
    <w:p>
      <w:pPr>
        <w:pStyle w:val="4"/>
        <w:ind w:firstLine="640" w:firstLineChars="200"/>
        <w:rPr>
          <w:rFonts w:hint="default" w:ascii="Times New Roman" w:hAnsi="Times New Roman" w:eastAsia="方正公文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黑体" w:cs="Times New Roman"/>
          <w:color w:val="000000"/>
          <w:sz w:val="32"/>
          <w:szCs w:val="32"/>
          <w:lang w:val="en-US" w:eastAsia="zh-CN"/>
        </w:rPr>
        <w:t>二、重点任务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（一）贯彻落实燃煤发电企业2022年迎峰度夏储煤目标任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务和考核办法，确保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汉仪方隶简" w:hAnsi="汉仪方隶简" w:eastAsia="汉仪方隶简" w:cs="汉仪方隶简"/>
          <w:spacing w:val="9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7月末存煤分别达到30天和35天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时限要求：2022年7月30日前；责任单位：区经济信息委、万州经开区经济发展局、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国能万州电力公司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（二）贯彻落实市级电煤补贴政策，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引导燃煤发电企业加大电煤采购力度，提高电煤储备水平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时限要求：迎峰度夏期间；责任单位：区经济信息委、区财政局、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国能万州电力公司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（三）加强燃煤发电企业融资协调服务。迎峰度夏期间，确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保燃煤发电企业电煤采购资金融资需求，不得断贷、抽贷、压贷，贷款利率不高于同期银行基准利率。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电力电煤保供专项资金池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政策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“订单贷”措施，协调解决燃煤发电企业流动资金问题。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时限要求：迎峰度夏期间；责任单位：区经济信息委、区财政局、区金融办、人行万州中心支行、万州银保监分局）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（四）贯彻落实迎峰度夏电力负荷统筹调度管理办法，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电厂纳入市级统筹调度管理，提升发电侧顶峰能力。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将全区有调节能力的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并网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非直调小水电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企业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纳入统筹调度管理，提升发电侧顶峰能力。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时限要求：迎峰度夏期间；责任单位：区经济信息委、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国网万州供电分公司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国能万州电力公司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，各并网非直调小水电企业）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贯彻落实迎峰度夏电力调度考核管理办法，压实各供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电企业、主力发电企业电力保供主体责任，鼓励燃煤电厂多购煤多发电，确保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迎峰顶峰期间实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现满发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时限要求：迎峰度夏期间；责任单位：区经济信息委、万州经开区经济发展局、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国网万州供电分公司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国能万州电力公司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（六）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国网万州供电分公司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和各发电企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度夏前完成发、输、配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隐患大排查大整治工作，做到隐患排查不留死角，确保隐患整改率达100%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时限要求：6月30日前；责任单位：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国网万州供电分公司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国能万州电力公司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、各发电企业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（七）各发电厂优化2022年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检修方案，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度夏前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完成检修任务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时限要求：6月30日前；责任单位：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国网万州供电分公司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国能万州电力公司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、各发电企业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（八）电网企业编制落实迎峰度夏电力重点工程实施方案，加快推进局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部电网改造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程进度，度夏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前完成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重点工程任务，努力消除电网“卡脖子”现象。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时限要求：6月30日前；责任单位：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国网万州供电分公司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（九）贯彻落实迎峰度夏电力需求侧响应方案，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充分发挥用户用电系统、用电设备调节能力，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与工商业用户签订需求响应协议，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引导用户主动参与削减高峰负荷</w:t>
      </w:r>
      <w:r>
        <w:rPr>
          <w:rFonts w:hint="eastAsia" w:ascii="Times New Roman" w:hAnsi="Times New Roman" w:eastAsia="方正仿宋_GBK" w:cs="Times New Roman"/>
          <w:color w:val="000000"/>
          <w:spacing w:val="-2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pacing w:val="-2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时限要求：迎峰度夏期间；责任单位：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国网万州供电分公司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（十）贯彻落实水泥等行业迎峰度夏电力削峰工作方案，引导辖区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泥等高耗能行业企业在7</w:t>
      </w:r>
      <w:r>
        <w:rPr>
          <w:rFonts w:hint="eastAsia" w:ascii="汉仪方隶简" w:hAnsi="汉仪方隶简" w:eastAsia="汉仪方隶简" w:cs="汉仪方隶简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8月削减高峰期负荷需求，缓解高峰期电力缺口</w:t>
      </w:r>
      <w:r>
        <w:rPr>
          <w:rFonts w:hint="eastAsia" w:ascii="Times New Roman" w:hAnsi="Times New Roman" w:eastAsia="方正仿宋_GBK" w:cs="Times New Roman"/>
          <w:color w:val="000000"/>
          <w:spacing w:val="-2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pacing w:val="-2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时限要求：2022年7</w:t>
      </w:r>
      <w:r>
        <w:rPr>
          <w:rFonts w:hint="eastAsia" w:ascii="汉仪方隶简" w:hAnsi="汉仪方隶简" w:eastAsia="汉仪方隶简" w:cs="汉仪方隶简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8月份；责任单位：区经济信息委、万州经开区经济发展局、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pStyle w:val="4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（十一）研究制定全区迎峰度夏有序用电方案，并组织开展全区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有序用电演练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时限要求：6月30日前；责任单位：区经济信息委、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国网万州供电分公司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（十二）贯彻落实大工业、普非工业动力用电分时电价及商业夏季分时电价政策，贯彻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落实居民用电高峰期临时分时电价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政策，引导工商业和居民用户主动参与调峰、错峰，缓解高峰期电力缺口。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2022年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汉仪方隶简" w:hAnsi="汉仪方隶简" w:eastAsia="汉仪方隶简" w:cs="汉仪方隶简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8月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份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；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责任单位：区发展改革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委、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经济信息委、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国网万州供电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三峡水利公司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（十三）贯彻落实上级关于地方电网和自备电厂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临时上网电价结算政策。对地方电网和自备电厂参照网内燃煤机组上网浮动价格结算，鼓励各类发电企业多发电多上网保供应。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时限要求：迎峰度夏期间；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责任单位：区发展改革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委、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经济信息委、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国网万州供电分公司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三峡水利公司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）</w:t>
      </w:r>
    </w:p>
    <w:p>
      <w:pPr>
        <w:ind w:firstLine="64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（十四）研究制定并落实迎峰度夏期间节约用电实施方案，发挥党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政机关、国有企事业单位节约用电带头作用，引导全社会节约用电，营造全社会节约用电良好氛围。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时限要求：迎峰度夏期间；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区国资委、区机关事务管理中心、各行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业主管部门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（十五）制定并落实迎峰度夏电力保供宣传工作方案，开展政策宣传解读，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正确引导预期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增进公众理解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，切实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保障用户知情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权。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（时限要求：迎峰度夏期间；责任单位：区经济信息委、区政府新闻办、各供电企业）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十六）制定非居民楼宇中央空调安装智能化管理设备工作方案，各行业主管部门督促相关单位按期完成智能化管理设备安装工作，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做好绿色节能降负。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"/>
        </w:rPr>
        <w:t>时限要求：6月30日前；责任单位：区经济信息委、区住房城乡建委、区商务委、区国资委、区机关事务管理中心、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"/>
        </w:rPr>
        <w:t>国网万州供电分公司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"/>
        </w:rPr>
        <w:t>三峡水利公司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（十七）做好舆情监测引导，掌握、响应和反馈舆情动态，对电力保供有关诉求及时回应解决，杜绝发生信访、群访事件。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"/>
        </w:rPr>
        <w:t>（时限要求：迎峰度夏期间；责任单位：区经济信息委、区公安局、区信访办、各供电企业）</w:t>
      </w:r>
    </w:p>
    <w:p>
      <w:pPr>
        <w:pStyle w:val="4"/>
        <w:ind w:firstLine="640" w:firstLineChars="200"/>
        <w:rPr>
          <w:rFonts w:hint="default" w:ascii="Times New Roman" w:hAnsi="Times New Roman" w:eastAsia="方正公文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公文黑体" w:cs="Times New Roman"/>
          <w:color w:val="auto"/>
          <w:kern w:val="2"/>
          <w:sz w:val="32"/>
          <w:szCs w:val="32"/>
          <w:lang w:val="en-US" w:eastAsia="zh-CN" w:bidi="ar-SA"/>
        </w:rPr>
        <w:t>三、组织领导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成立电力电煤保供工作专班，由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政府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长担任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召集人，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区政府分管副区长担任副召集人，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经济信息委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、区发展改革委、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区公安局、区财政局、区住房城乡建委、区商务委、区国资委、区金融办、区政府新闻办、区信访办、万州经开区经济发展局、人行万州中心支行、万州银保监分局、区机关事务管理中心、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国网万州供电分公司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三峡水利公司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国能万州电力公司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为成员单位，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统筹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抓好供煤、发购电、用电等情况的跟踪协调和检查指导，建立“日监测、周报告、月评估”制度，加强电力电煤运行调度和考核，压紧压实发电供电企业保供主体责任，强化节约用电社会引导，妥善处理电力电煤保障中的重大问题。</w:t>
      </w:r>
    </w:p>
    <w:p>
      <w:pPr>
        <w:keepNext w:val="0"/>
        <w:keepLines w:val="0"/>
        <w:widowControl/>
        <w:suppressLineNumbers w:val="0"/>
        <w:ind w:left="0" w:firstLine="64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电力电煤保供工作专班办公室设在区经济信息委，负责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统筹协调、督查督办、信息报送等日常相关工作。工作专班下设电力电煤运行调度小组（设在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经济信息委）、价格政策和节电小组（设在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发展改革委）、融资协调服务小组（设在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金融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开展具体工作。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公文黑体" w:cs="Times New Roman"/>
          <w:color w:val="auto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（一）全面压实各级责任。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各发电及供电企业要限期完成对发电机组、配电网的计划检修和改造，确保迎峰度夏期间满发稳供、安全运行。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有关电力电煤保障单位要按照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工作转班的相关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要求，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建立由主要负责人全面负责，分管负责人具体推进落实的保供工作体系，统筹协调企业保供各项工作，切实保障电力电煤安全平稳供应。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（二）实行限时办结机制。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有关责任单位按照本方案明确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任务，建立工作清单，严格按照时限要求，倒排工期，按时完成各项工作任务。各保煤保电单位要细化节点目标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建立“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日监测、周调度、月评估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”工作机制，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确保目标实现。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（三）加强督促检查问责。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电力电煤保供工作专班要加强对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各责任单位工作落实和完成情况的督导检查，对责任不落实、工作不到位的单位，由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专班办公室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进行约谈；对约谈后整改仍不到位的，由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政府组织约谈；对造成严重后果的单位和个人，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严肃追责问责。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pStyle w:val="4"/>
        <w:rPr>
          <w:rFonts w:hint="eastAsia" w:ascii="方正仿宋_GBK" w:eastAsia="方正仿宋_GBK"/>
          <w:sz w:val="32"/>
        </w:rPr>
      </w:pPr>
    </w:p>
    <w:p>
      <w:pPr>
        <w:rPr>
          <w:rFonts w:hint="eastAsia" w:ascii="方正仿宋_GBK" w:eastAsia="方正仿宋_GBK"/>
          <w:sz w:val="32"/>
        </w:rPr>
      </w:pPr>
    </w:p>
    <w:p>
      <w:pPr>
        <w:pStyle w:val="4"/>
        <w:rPr>
          <w:rFonts w:hint="eastAsia" w:ascii="方正仿宋_GBK" w:eastAsia="方正仿宋_GBK"/>
          <w:sz w:val="32"/>
        </w:rPr>
      </w:pPr>
    </w:p>
    <w:p>
      <w:pPr>
        <w:rPr>
          <w:rFonts w:hint="eastAsia" w:ascii="方正仿宋_GBK" w:eastAsia="方正仿宋_GBK"/>
          <w:sz w:val="32"/>
        </w:rPr>
      </w:pPr>
    </w:p>
    <w:p>
      <w:pPr>
        <w:pStyle w:val="4"/>
        <w:rPr>
          <w:rFonts w:hint="eastAsia" w:ascii="方正仿宋_GBK" w:eastAsia="方正仿宋_GBK"/>
          <w:sz w:val="32"/>
        </w:rPr>
      </w:pPr>
    </w:p>
    <w:p>
      <w:pPr>
        <w:rPr>
          <w:rFonts w:hint="eastAsia" w:ascii="方正仿宋_GBK" w:eastAsia="方正仿宋_GBK"/>
          <w:sz w:val="32"/>
        </w:rPr>
      </w:pPr>
    </w:p>
    <w:p>
      <w:pPr>
        <w:pStyle w:val="4"/>
        <w:rPr>
          <w:rFonts w:hint="eastAsia" w:ascii="方正仿宋_GBK" w:eastAsia="方正仿宋_GBK"/>
          <w:sz w:val="32"/>
        </w:rPr>
      </w:pPr>
    </w:p>
    <w:p>
      <w:pPr>
        <w:rPr>
          <w:rFonts w:hint="eastAsia" w:ascii="方正仿宋_GBK" w:eastAsia="方正仿宋_GBK"/>
          <w:sz w:val="32"/>
        </w:rPr>
      </w:pPr>
    </w:p>
    <w:p>
      <w:pPr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widowControl/>
        <w:pBdr>
          <w:bottom w:val="single" w:color="auto" w:sz="8" w:space="1"/>
        </w:pBdr>
        <w:snapToGrid w:val="0"/>
        <w:spacing w:line="590" w:lineRule="exact"/>
        <w:jc w:val="left"/>
        <w:rPr>
          <w:rFonts w:hint="eastAsia" w:ascii="方正仿宋_GBK" w:hAnsi="宋体" w:eastAsia="方正仿宋_GBK" w:cs="宋体"/>
          <w:kern w:val="0"/>
          <w:sz w:val="28"/>
        </w:rPr>
      </w:pPr>
    </w:p>
    <w:p>
      <w:pPr>
        <w:spacing w:line="590" w:lineRule="exact"/>
        <w:ind w:firstLine="280" w:firstLineChars="100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抄送：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区委办公室，区人大常委会办公室，区政协办公室，万州经开</w:t>
      </w:r>
    </w:p>
    <w:p>
      <w:pPr>
        <w:spacing w:line="590" w:lineRule="exact"/>
        <w:ind w:firstLine="1120" w:firstLineChars="400"/>
        <w:rPr>
          <w:rFonts w:hint="default" w:ascii="Times New Roman" w:hAnsi="Times New Roman" w:eastAsia="方正仿宋_GBK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区办公室，区法院，区检察院，区人武部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28"/>
          <w:szCs w:val="28"/>
          <w:lang w:val="en-US" w:eastAsia="zh-CN" w:bidi="ar-SA"/>
        </w:rPr>
        <w:t>人行万州中心支行、</w:t>
      </w:r>
    </w:p>
    <w:p>
      <w:pPr>
        <w:spacing w:line="590" w:lineRule="exact"/>
        <w:ind w:firstLine="1120" w:firstLineChars="400"/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28"/>
          <w:szCs w:val="28"/>
          <w:lang w:val="en-US" w:eastAsia="zh-CN" w:bidi="ar-SA"/>
        </w:rPr>
        <w:t>万州银保监分局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国网万州供电分公司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三峡水利公司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国能万</w:t>
      </w:r>
    </w:p>
    <w:p>
      <w:pPr>
        <w:spacing w:line="590" w:lineRule="exact"/>
        <w:ind w:firstLine="1120" w:firstLineChars="400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州电力公司。</w:t>
      </w:r>
    </w:p>
    <w:p>
      <w:pPr>
        <w:widowControl/>
        <w:pBdr>
          <w:top w:val="single" w:color="auto" w:sz="4" w:space="1"/>
          <w:bottom w:val="single" w:color="auto" w:sz="8" w:space="1"/>
        </w:pBdr>
        <w:snapToGrid w:val="0"/>
        <w:spacing w:line="59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</w:t>
      </w:r>
      <w:r>
        <w:rPr>
          <w:rFonts w:hint="eastAsia" w:ascii="方正仿宋_GBK" w:eastAsia="方正仿宋_GBK"/>
          <w:sz w:val="28"/>
        </w:rPr>
        <w:t>重庆市万州区人民政府办公室</w:t>
      </w: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          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"/>
        </w:rPr>
        <w:t xml:space="preserve"> </w:t>
      </w: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"/>
        </w:rPr>
        <w:t>14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日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5" w:right="1474" w:bottom="1644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方隶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公文黑体">
    <w:altName w:val="方正黑体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both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D0156"/>
    <w:multiLevelType w:val="singleLevel"/>
    <w:tmpl w:val="205D01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ED69E"/>
    <w:rsid w:val="000F7BD6"/>
    <w:rsid w:val="0023719E"/>
    <w:rsid w:val="002479C6"/>
    <w:rsid w:val="00284852"/>
    <w:rsid w:val="002B52B8"/>
    <w:rsid w:val="002F15B4"/>
    <w:rsid w:val="00376A9B"/>
    <w:rsid w:val="003C7D5D"/>
    <w:rsid w:val="004858E5"/>
    <w:rsid w:val="004D297B"/>
    <w:rsid w:val="005D49BB"/>
    <w:rsid w:val="00874FF4"/>
    <w:rsid w:val="009233F7"/>
    <w:rsid w:val="00B03121"/>
    <w:rsid w:val="00C51F45"/>
    <w:rsid w:val="00C713EE"/>
    <w:rsid w:val="00C73634"/>
    <w:rsid w:val="00CC73FD"/>
    <w:rsid w:val="00E055B2"/>
    <w:rsid w:val="00EC340D"/>
    <w:rsid w:val="00F13BE8"/>
    <w:rsid w:val="04E81283"/>
    <w:rsid w:val="1EF461B9"/>
    <w:rsid w:val="29FED69E"/>
    <w:rsid w:val="476B5DE4"/>
    <w:rsid w:val="4E86528F"/>
    <w:rsid w:val="6BDF901C"/>
    <w:rsid w:val="FDDF4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ascii="Times New Roman" w:hAnsi="Times New Roman" w:cs="Times New Roman"/>
    </w:r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4">
    <w:name w:val="Normal Indent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.local/share/Kingsoft/office6/templates/wps/zh_CN/&#19975;&#24030;&#24220;&#21150;&#21457;202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万州府办发2022.wpt</Template>
  <Pages>2</Pages>
  <Words>166</Words>
  <Characters>175</Characters>
  <Lines>1</Lines>
  <Paragraphs>1</Paragraphs>
  <TotalTime>0</TotalTime>
  <ScaleCrop>false</ScaleCrop>
  <LinksUpToDate>false</LinksUpToDate>
  <CharactersWithSpaces>238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2022-06-15T00:14:00Z</dcterms:created>
  <dc:creator>user</dc:creator>
  <cp:lastModifiedBy>user</cp:lastModifiedBy>
  <cp:lastPrinted>2022-06-15T00:16:00Z</cp:lastPrinted>
  <dcterms:modified xsi:type="dcterms:W3CDTF">2022-06-14T16:24:18Z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