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31042">
      <w:pPr>
        <w:spacing w:line="580" w:lineRule="exact"/>
        <w:rPr>
          <w:rFonts w:hint="eastAsia" w:ascii="方正仿宋_GBK" w:eastAsia="方正仿宋_GBK"/>
          <w:sz w:val="32"/>
          <w:szCs w:val="32"/>
        </w:rPr>
      </w:pPr>
    </w:p>
    <w:p w14:paraId="17B3C585">
      <w:pPr>
        <w:spacing w:line="580" w:lineRule="exact"/>
        <w:rPr>
          <w:rFonts w:hint="eastAsia" w:ascii="方正仿宋_GBK" w:eastAsia="方正仿宋_GBK"/>
          <w:sz w:val="32"/>
          <w:szCs w:val="32"/>
        </w:rPr>
      </w:pPr>
    </w:p>
    <w:p w14:paraId="3C506161">
      <w:pPr>
        <w:spacing w:line="580" w:lineRule="exact"/>
        <w:rPr>
          <w:rFonts w:hint="eastAsia" w:ascii="方正仿宋_GBK" w:eastAsia="方正仿宋_GBK"/>
          <w:sz w:val="32"/>
          <w:szCs w:val="32"/>
        </w:rPr>
      </w:pPr>
    </w:p>
    <w:p w14:paraId="5B42460F">
      <w:pPr>
        <w:spacing w:line="580" w:lineRule="exact"/>
        <w:rPr>
          <w:rFonts w:hint="eastAsia" w:ascii="方正仿宋_GBK" w:eastAsia="方正仿宋_GBK"/>
          <w:sz w:val="32"/>
          <w:szCs w:val="32"/>
        </w:rPr>
      </w:pPr>
    </w:p>
    <w:p w14:paraId="1F7EC0A2">
      <w:pPr>
        <w:spacing w:line="580" w:lineRule="exact"/>
        <w:rPr>
          <w:rFonts w:hint="eastAsia" w:ascii="方正仿宋_GBK" w:eastAsia="方正仿宋_GBK"/>
          <w:sz w:val="32"/>
          <w:szCs w:val="32"/>
        </w:rPr>
      </w:pPr>
    </w:p>
    <w:p w14:paraId="2F734AB7">
      <w:pPr>
        <w:spacing w:line="580" w:lineRule="exact"/>
        <w:rPr>
          <w:rFonts w:hint="eastAsia" w:ascii="方正仿宋_GBK" w:eastAsia="方正仿宋_GBK"/>
          <w:sz w:val="32"/>
          <w:szCs w:val="32"/>
        </w:rPr>
      </w:pPr>
    </w:p>
    <w:p w14:paraId="651E0BEE">
      <w:pPr>
        <w:spacing w:line="580" w:lineRule="exact"/>
        <w:rPr>
          <w:rFonts w:hint="eastAsia" w:ascii="方正仿宋_GBK" w:eastAsia="方正仿宋_GBK"/>
          <w:sz w:val="32"/>
          <w:szCs w:val="32"/>
        </w:rPr>
      </w:pPr>
    </w:p>
    <w:p w14:paraId="4DF4A01B">
      <w:pPr>
        <w:spacing w:line="590" w:lineRule="exact"/>
        <w:jc w:val="center"/>
        <w:rPr>
          <w:rFonts w:hint="eastAsia" w:ascii="方正仿宋_GBK" w:eastAsia="方正仿宋_GBK"/>
          <w:sz w:val="32"/>
          <w:szCs w:val="32"/>
        </w:rPr>
      </w:pPr>
      <w:r>
        <w:rPr>
          <w:rFonts w:hint="eastAsia" w:ascii="方正仿宋_GBK" w:eastAsia="方正仿宋_GBK"/>
          <w:sz w:val="32"/>
          <w:szCs w:val="32"/>
        </w:rPr>
        <w:t>万州府办发〔201</w:t>
      </w:r>
      <w:r>
        <w:rPr>
          <w:rFonts w:hint="eastAsia" w:ascii="方正仿宋_GBK" w:eastAsia="方正仿宋_GBK"/>
          <w:sz w:val="32"/>
          <w:szCs w:val="32"/>
          <w:lang w:val="en-US" w:eastAsia="zh-CN"/>
        </w:rPr>
        <w:t>9</w:t>
      </w:r>
      <w:r>
        <w:rPr>
          <w:rFonts w:hint="eastAsia" w:ascii="方正仿宋_GBK" w:eastAsia="方正仿宋_GBK"/>
          <w:sz w:val="32"/>
          <w:szCs w:val="32"/>
        </w:rPr>
        <w:t>〕</w:t>
      </w:r>
      <w:r>
        <w:rPr>
          <w:rFonts w:hint="eastAsia" w:ascii="方正仿宋_GBK" w:eastAsia="方正仿宋_GBK"/>
          <w:sz w:val="32"/>
          <w:szCs w:val="32"/>
          <w:lang w:val="en-US" w:eastAsia="zh-CN"/>
        </w:rPr>
        <w:t>58</w:t>
      </w:r>
      <w:r>
        <w:rPr>
          <w:rFonts w:hint="eastAsia" w:ascii="方正仿宋_GBK" w:eastAsia="方正仿宋_GBK"/>
          <w:sz w:val="32"/>
          <w:szCs w:val="32"/>
        </w:rPr>
        <w:t>号</w:t>
      </w:r>
    </w:p>
    <w:p w14:paraId="6A8FE604">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_GBK" w:hAnsi="方正小标宋_GBK" w:eastAsia="方正小标宋_GBK" w:cs="方正小标宋_GBK"/>
          <w:sz w:val="44"/>
          <w:szCs w:val="44"/>
          <w:lang w:eastAsia="zh-CN"/>
        </w:rPr>
      </w:pPr>
      <w:r>
        <w:rPr>
          <w:rFonts w:ascii="方正仿宋_GBK" w:eastAsia="方正仿宋_GBK"/>
          <w:sz w:val="32"/>
          <w:szCs w:val="20"/>
        </w:rPr>
        <w:t xml:space="preserve">   </w:t>
      </w:r>
    </w:p>
    <w:p w14:paraId="11C695F4">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_GBK" w:hAnsi="方正小标宋_GBK" w:eastAsia="方正小标宋_GBK" w:cs="方正小标宋_GBK"/>
          <w:sz w:val="44"/>
          <w:szCs w:val="44"/>
          <w:lang w:eastAsia="zh-CN"/>
        </w:rPr>
      </w:pPr>
    </w:p>
    <w:p w14:paraId="1F3EA774">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重庆市万州区人民政府办公室关于</w:t>
      </w:r>
    </w:p>
    <w:p w14:paraId="7F768F07">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lang w:eastAsia="zh-CN"/>
        </w:rPr>
      </w:pPr>
      <w:r>
        <w:rPr>
          <w:rFonts w:hint="eastAsia" w:ascii="方正小标宋_GBK" w:hAnsi="方正小标宋_GBK" w:eastAsia="方正小标宋_GBK" w:cs="方正小标宋_GBK"/>
          <w:sz w:val="44"/>
          <w:szCs w:val="44"/>
          <w:lang w:eastAsia="zh-CN"/>
        </w:rPr>
        <w:t>印发万州区营商环境优化提升工作方案的通知</w:t>
      </w:r>
    </w:p>
    <w:p w14:paraId="20359D58">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eastAsia" w:ascii="方正仿宋_GBK" w:hAnsi="方正仿宋_GBK" w:eastAsia="方正仿宋_GBK" w:cs="方正仿宋_GBK"/>
          <w:sz w:val="32"/>
          <w:szCs w:val="32"/>
          <w:lang w:eastAsia="zh-CN"/>
        </w:rPr>
      </w:pPr>
    </w:p>
    <w:p w14:paraId="3C77F6E0">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各镇乡（民族乡）人民政府，各街道办事处，区政府各部门，有关单位：</w:t>
      </w:r>
    </w:p>
    <w:p w14:paraId="4B260B61">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《万州区营商环境优化提升工作方案》已经区政府同意，现印发给你们，请认真贯彻落实。</w:t>
      </w:r>
    </w:p>
    <w:p w14:paraId="711DA09E">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eastAsia" w:ascii="方正仿宋_GBK" w:hAnsi="方正仿宋_GBK" w:eastAsia="方正仿宋_GBK" w:cs="方正仿宋_GBK"/>
          <w:sz w:val="32"/>
          <w:szCs w:val="32"/>
          <w:lang w:eastAsia="zh-CN"/>
        </w:rPr>
      </w:pPr>
    </w:p>
    <w:p w14:paraId="32D74EBD">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eastAsia" w:ascii="方正仿宋_GBK" w:hAnsi="方正仿宋_GBK" w:eastAsia="方正仿宋_GBK" w:cs="方正仿宋_GBK"/>
          <w:sz w:val="32"/>
          <w:szCs w:val="32"/>
          <w:lang w:eastAsia="zh-CN"/>
        </w:rPr>
      </w:pPr>
    </w:p>
    <w:p w14:paraId="42CAF255">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重庆市万州区人民政府办公室</w:t>
      </w:r>
    </w:p>
    <w:p w14:paraId="508BD4D9">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2019年8月30日</w:t>
      </w:r>
    </w:p>
    <w:p w14:paraId="50156BDE">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center"/>
        <w:textAlignment w:val="auto"/>
        <w:rPr>
          <w:rFonts w:hint="eastAsia" w:ascii="方正仿宋_GBK" w:hAnsi="方正仿宋_GBK" w:eastAsia="方正仿宋_GBK" w:cs="方正仿宋_GBK"/>
          <w:sz w:val="32"/>
          <w:szCs w:val="32"/>
          <w:lang w:eastAsia="zh-CN"/>
        </w:rPr>
      </w:pPr>
    </w:p>
    <w:p w14:paraId="56DF25B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center"/>
        <w:textAlignment w:val="auto"/>
        <w:rPr>
          <w:rFonts w:hint="eastAsia" w:ascii="方正仿宋_GBK" w:hAnsi="方正仿宋_GBK" w:eastAsia="方正仿宋_GBK" w:cs="方正仿宋_GBK"/>
          <w:sz w:val="32"/>
          <w:szCs w:val="32"/>
          <w:lang w:eastAsia="zh-CN"/>
        </w:rPr>
      </w:pPr>
    </w:p>
    <w:p w14:paraId="5FCF563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万州区</w:t>
      </w:r>
      <w:r>
        <w:rPr>
          <w:rFonts w:hint="eastAsia" w:ascii="方正小标宋_GBK" w:hAnsi="方正小标宋_GBK" w:eastAsia="方正小标宋_GBK" w:cs="方正小标宋_GBK"/>
          <w:sz w:val="44"/>
          <w:szCs w:val="44"/>
        </w:rPr>
        <w:t>营商环境优化提升工作方案</w:t>
      </w:r>
    </w:p>
    <w:p w14:paraId="62A36B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14:paraId="568CE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为持续深化改革、完善措施，切实解决我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营商环境存在的突出问题，</w:t>
      </w:r>
      <w:r>
        <w:rPr>
          <w:rFonts w:hint="eastAsia" w:ascii="方正仿宋_GBK" w:hAnsi="方正仿宋_GBK" w:eastAsia="方正仿宋_GBK" w:cs="方正仿宋_GBK"/>
          <w:sz w:val="32"/>
          <w:szCs w:val="32"/>
          <w:lang w:eastAsia="zh-CN"/>
        </w:rPr>
        <w:t>在全市</w:t>
      </w:r>
      <w:r>
        <w:rPr>
          <w:rFonts w:hint="eastAsia" w:ascii="方正仿宋_GBK" w:hAnsi="方正仿宋_GBK" w:eastAsia="方正仿宋_GBK" w:cs="方正仿宋_GBK"/>
          <w:sz w:val="32"/>
          <w:szCs w:val="32"/>
        </w:rPr>
        <w:t>打造法治化、国际化、便利化营商环境</w:t>
      </w:r>
      <w:r>
        <w:rPr>
          <w:rFonts w:hint="eastAsia" w:ascii="方正仿宋_GBK" w:hAnsi="方正仿宋_GBK" w:eastAsia="方正仿宋_GBK" w:cs="方正仿宋_GBK"/>
          <w:sz w:val="32"/>
          <w:szCs w:val="32"/>
          <w:lang w:eastAsia="zh-CN"/>
        </w:rPr>
        <w:t>中走在前列</w:t>
      </w:r>
      <w:r>
        <w:rPr>
          <w:rFonts w:hint="eastAsia" w:ascii="方正仿宋_GBK" w:hAnsi="方正仿宋_GBK" w:eastAsia="方正仿宋_GBK" w:cs="方正仿宋_GBK"/>
          <w:sz w:val="32"/>
          <w:szCs w:val="32"/>
        </w:rPr>
        <w:t>，进一步激发市场活力和社会创造力，增强市场主体发展信心和竞争力，</w:t>
      </w:r>
      <w:r>
        <w:rPr>
          <w:rFonts w:hint="eastAsia" w:ascii="方正仿宋_GBK" w:hAnsi="方正仿宋_GBK" w:eastAsia="方正仿宋_GBK" w:cs="方正仿宋_GBK"/>
          <w:sz w:val="32"/>
          <w:szCs w:val="32"/>
          <w:lang w:eastAsia="zh-CN"/>
        </w:rPr>
        <w:t>根据《重庆市营商环境优化提升工作方案》，</w:t>
      </w:r>
      <w:r>
        <w:rPr>
          <w:rFonts w:hint="eastAsia" w:ascii="方正仿宋_GBK" w:hAnsi="方正仿宋_GBK" w:eastAsia="方正仿宋_GBK" w:cs="方正仿宋_GBK"/>
          <w:sz w:val="32"/>
          <w:szCs w:val="32"/>
        </w:rPr>
        <w:t>特制定本方案。</w:t>
      </w:r>
    </w:p>
    <w:p w14:paraId="4517CB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4094A75C">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以习近平新时代中国特色社会主义思想为指导，全面贯彻落实习近平总书记对重庆提出的“两点”定位、“两地”“两高”目标、发挥“三个作用”和营造良好政治生态的重要指示要求，按照国际可比、对标世行、中国特色的原则，以市场主体期待和诉求为导向，以深化“放管服”改革为抓手，聚焦市场主体和群众办事创业的痛点、难点、堵点，精准发力补短板、强弱项，为各类市场主体减负担、为群众办事生活增便利。力争通过3年左右的努力，全</w:t>
      </w:r>
      <w:r>
        <w:rPr>
          <w:rFonts w:hint="eastAsia" w:ascii="方正仿宋_GBK" w:hAnsi="方正仿宋_GBK" w:eastAsia="方正仿宋_GBK" w:cs="方正仿宋_GBK"/>
          <w:spacing w:val="4"/>
          <w:sz w:val="32"/>
          <w:szCs w:val="32"/>
          <w:lang w:eastAsia="zh-CN"/>
        </w:rPr>
        <w:t>区</w:t>
      </w:r>
      <w:r>
        <w:rPr>
          <w:rFonts w:hint="eastAsia" w:ascii="方正仿宋_GBK" w:hAnsi="方正仿宋_GBK" w:eastAsia="方正仿宋_GBK" w:cs="方正仿宋_GBK"/>
          <w:spacing w:val="4"/>
          <w:sz w:val="32"/>
          <w:szCs w:val="32"/>
        </w:rPr>
        <w:t>营商环境短板弱项显著改善，进入全</w:t>
      </w:r>
      <w:r>
        <w:rPr>
          <w:rFonts w:hint="eastAsia" w:ascii="方正仿宋_GBK" w:hAnsi="方正仿宋_GBK" w:eastAsia="方正仿宋_GBK" w:cs="方正仿宋_GBK"/>
          <w:spacing w:val="4"/>
          <w:sz w:val="32"/>
          <w:szCs w:val="32"/>
          <w:lang w:eastAsia="zh-CN"/>
        </w:rPr>
        <w:t>市</w:t>
      </w:r>
      <w:r>
        <w:rPr>
          <w:rFonts w:hint="eastAsia" w:ascii="方正仿宋_GBK" w:hAnsi="方正仿宋_GBK" w:eastAsia="方正仿宋_GBK" w:cs="方正仿宋_GBK"/>
          <w:spacing w:val="4"/>
          <w:sz w:val="32"/>
          <w:szCs w:val="32"/>
        </w:rPr>
        <w:t>先进行列。</w:t>
      </w:r>
    </w:p>
    <w:p w14:paraId="166B9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二、主要举措</w:t>
      </w:r>
    </w:p>
    <w:p w14:paraId="2094B6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紧围绕优化企业全生命周期服务，重点针对开办企业、办理建筑许可、获得用电用水用气用网、财产登记、纳税、跨境贸易、办理破产、获得信贷、执行合同、劳动力市场监管、政府采购、招标投标、政务服务、知识产权创造及保护和运用、市场监管、包容普惠创新等与营商环境密切相关的</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个重要方面，持续推进减时间、减环节、减材料、减跑动、减成本，坚决破除各种不合理门槛和限制，不断提高行政管理和公共服务的质量效率，切实减轻市场主体负担，增强市场主体活力，提升群众办事创业的便利度、满意度和获得感（营商环境优化提升主要举措及责任分工详见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rPr>
        <w:t>）。</w:t>
      </w:r>
    </w:p>
    <w:p w14:paraId="0A5971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14:paraId="5F4F78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成立</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优化营商环境工作协调小组，</w:t>
      </w:r>
      <w:r>
        <w:rPr>
          <w:rFonts w:hint="eastAsia" w:ascii="方正仿宋_GBK" w:hAnsi="方正仿宋_GBK" w:eastAsia="方正仿宋_GBK" w:cs="方正仿宋_GBK"/>
          <w:sz w:val="32"/>
          <w:szCs w:val="32"/>
          <w:lang w:eastAsia="zh-CN"/>
        </w:rPr>
        <w:t>建立统筹协调工作机制，</w:t>
      </w:r>
      <w:r>
        <w:rPr>
          <w:rFonts w:hint="eastAsia" w:ascii="方正仿宋_GBK" w:hAnsi="方正仿宋_GBK" w:eastAsia="方正仿宋_GBK" w:cs="方正仿宋_GBK"/>
          <w:sz w:val="32"/>
          <w:szCs w:val="32"/>
        </w:rPr>
        <w:t>负责贯彻党中央、国务院</w:t>
      </w:r>
      <w:r>
        <w:rPr>
          <w:rFonts w:hint="eastAsia" w:ascii="方正仿宋_GBK" w:hAnsi="方正仿宋_GBK" w:eastAsia="方正仿宋_GBK" w:cs="方正仿宋_GBK"/>
          <w:sz w:val="32"/>
          <w:szCs w:val="32"/>
          <w:lang w:eastAsia="zh-CN"/>
        </w:rPr>
        <w:t>和市委、市政府</w:t>
      </w:r>
      <w:r>
        <w:rPr>
          <w:rFonts w:hint="eastAsia" w:ascii="方正仿宋_GBK" w:hAnsi="方正仿宋_GBK" w:eastAsia="方正仿宋_GBK" w:cs="方正仿宋_GBK"/>
          <w:sz w:val="32"/>
          <w:szCs w:val="32"/>
        </w:rPr>
        <w:t>关于优化营商环境的决策部署，落实</w:t>
      </w:r>
      <w:r>
        <w:rPr>
          <w:rFonts w:hint="eastAsia" w:ascii="方正仿宋_GBK" w:hAnsi="方正仿宋_GBK" w:eastAsia="方正仿宋_GBK" w:cs="方正仿宋_GBK"/>
          <w:sz w:val="32"/>
          <w:szCs w:val="32"/>
          <w:lang w:eastAsia="zh-CN"/>
        </w:rPr>
        <w:t>区委、区政府</w:t>
      </w:r>
      <w:r>
        <w:rPr>
          <w:rFonts w:hint="eastAsia" w:ascii="方正仿宋_GBK" w:hAnsi="方正仿宋_GBK" w:eastAsia="方正仿宋_GBK" w:cs="方正仿宋_GBK"/>
          <w:sz w:val="32"/>
          <w:szCs w:val="32"/>
        </w:rPr>
        <w:t>要求，推动优化营商环境各项改革落地见效</w:t>
      </w:r>
      <w:r>
        <w:rPr>
          <w:rFonts w:hint="eastAsia" w:ascii="方正仿宋_GBK" w:hAnsi="方正仿宋_GBK" w:eastAsia="方正仿宋_GBK" w:cs="方正仿宋_GBK"/>
          <w:sz w:val="32"/>
          <w:szCs w:val="32"/>
          <w:lang w:eastAsia="zh-CN"/>
        </w:rPr>
        <w:t>，促进我</w:t>
      </w:r>
      <w:r>
        <w:rPr>
          <w:rFonts w:hint="eastAsia" w:ascii="方正仿宋_GBK" w:hAnsi="方正仿宋_GBK" w:eastAsia="方正仿宋_GBK" w:cs="方正仿宋_GBK"/>
          <w:sz w:val="32"/>
          <w:szCs w:val="32"/>
        </w:rPr>
        <w:t>区营商环境持续优化。</w:t>
      </w:r>
    </w:p>
    <w:p w14:paraId="776D43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（二）强化考核评价。</w:t>
      </w:r>
      <w:r>
        <w:rPr>
          <w:rFonts w:hint="eastAsia" w:ascii="方正仿宋_GBK" w:hAnsi="方正仿宋_GBK" w:eastAsia="方正仿宋_GBK" w:cs="方正仿宋_GBK"/>
          <w:sz w:val="32"/>
          <w:szCs w:val="32"/>
        </w:rPr>
        <w:t>对标</w:t>
      </w:r>
      <w:r>
        <w:rPr>
          <w:rFonts w:hint="eastAsia" w:ascii="方正仿宋_GBK" w:hAnsi="方正仿宋_GBK" w:eastAsia="方正仿宋_GBK" w:cs="方正仿宋_GBK"/>
          <w:sz w:val="32"/>
          <w:szCs w:val="32"/>
          <w:lang w:eastAsia="zh-CN"/>
        </w:rPr>
        <w:t>市级</w:t>
      </w:r>
      <w:r>
        <w:rPr>
          <w:rFonts w:hint="eastAsia" w:ascii="方正仿宋_GBK" w:hAnsi="方正仿宋_GBK" w:eastAsia="方正仿宋_GBK" w:cs="方正仿宋_GBK"/>
          <w:sz w:val="32"/>
          <w:szCs w:val="32"/>
        </w:rPr>
        <w:t>营商环境评价要求，优化</w:t>
      </w:r>
      <w:r>
        <w:rPr>
          <w:rFonts w:hint="eastAsia" w:ascii="方正仿宋_GBK" w:hAnsi="方正仿宋_GBK" w:eastAsia="方正仿宋_GBK" w:cs="方正仿宋_GBK"/>
          <w:sz w:val="32"/>
          <w:szCs w:val="32"/>
          <w:lang w:eastAsia="zh-CN"/>
        </w:rPr>
        <w:t>镇乡、街道</w:t>
      </w:r>
      <w:r>
        <w:rPr>
          <w:rFonts w:hint="eastAsia" w:ascii="方正仿宋_GBK" w:hAnsi="方正仿宋_GBK" w:eastAsia="方正仿宋_GBK" w:cs="方正仿宋_GBK"/>
          <w:sz w:val="32"/>
          <w:szCs w:val="32"/>
        </w:rPr>
        <w:t>经济社会发展考核和</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级部门</w:t>
      </w:r>
      <w:r>
        <w:rPr>
          <w:rFonts w:hint="eastAsia" w:ascii="方正仿宋_GBK" w:hAnsi="方正仿宋_GBK" w:eastAsia="方正仿宋_GBK" w:cs="方正仿宋_GBK"/>
          <w:sz w:val="32"/>
          <w:szCs w:val="32"/>
          <w:lang w:eastAsia="zh-CN"/>
        </w:rPr>
        <w:t>工作实绩</w:t>
      </w:r>
      <w:r>
        <w:rPr>
          <w:rFonts w:hint="eastAsia" w:ascii="方正仿宋_GBK" w:hAnsi="方正仿宋_GBK" w:eastAsia="方正仿宋_GBK" w:cs="方正仿宋_GBK"/>
          <w:sz w:val="32"/>
          <w:szCs w:val="32"/>
        </w:rPr>
        <w:t>考核中营商环境考核实施细则。各项工作任务牵头单位要会同配合单位，在本方案印发之日起1个月内制定落实所承担任务的具体措施。</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办公室</w:t>
      </w:r>
      <w:r>
        <w:rPr>
          <w:rFonts w:hint="eastAsia" w:ascii="方正仿宋_GBK" w:hAnsi="方正仿宋_GBK" w:eastAsia="方正仿宋_GBK" w:cs="方正仿宋_GBK"/>
          <w:sz w:val="32"/>
          <w:szCs w:val="32"/>
        </w:rPr>
        <w:t>要通过窗口督导、明察暗访、约谈访谈等方式，加强日常跟踪督查，对破坏营商环境的典型案例予以公开曝光。</w:t>
      </w:r>
    </w:p>
    <w:p w14:paraId="1BEEDC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（三）加强宣传引导。</w:t>
      </w:r>
      <w:r>
        <w:rPr>
          <w:rFonts w:hint="eastAsia" w:ascii="方正仿宋_GBK" w:hAnsi="方正仿宋_GBK" w:eastAsia="方正仿宋_GBK" w:cs="方正仿宋_GBK"/>
          <w:sz w:val="32"/>
          <w:szCs w:val="32"/>
          <w:lang w:eastAsia="zh-CN"/>
        </w:rPr>
        <w:t>按照全市</w:t>
      </w:r>
      <w:r>
        <w:rPr>
          <w:rFonts w:hint="eastAsia" w:ascii="方正仿宋_GBK" w:hAnsi="方正仿宋_GBK" w:eastAsia="方正仿宋_GBK" w:cs="方正仿宋_GBK"/>
          <w:sz w:val="32"/>
          <w:szCs w:val="32"/>
        </w:rPr>
        <w:t>营商环境优化提升宣传</w:t>
      </w:r>
      <w:r>
        <w:rPr>
          <w:rFonts w:hint="eastAsia" w:ascii="方正仿宋_GBK" w:hAnsi="方正仿宋_GBK" w:eastAsia="方正仿宋_GBK" w:cs="方正仿宋_GBK"/>
          <w:sz w:val="32"/>
          <w:szCs w:val="32"/>
          <w:lang w:eastAsia="zh-CN"/>
        </w:rPr>
        <w:t>工作要求</w:t>
      </w:r>
      <w:r>
        <w:rPr>
          <w:rFonts w:hint="eastAsia" w:ascii="方正仿宋_GBK" w:hAnsi="方正仿宋_GBK" w:eastAsia="方正仿宋_GBK" w:cs="方正仿宋_GBK"/>
          <w:sz w:val="32"/>
          <w:szCs w:val="32"/>
        </w:rPr>
        <w:t>，及时准确向全社会传递政策意图。加大对我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优化营商环境典型经验做法的宣传推介力度，向市场主体和社会展示打造法治化、国际化、便利化营商环境的良好成效。</w:t>
      </w:r>
    </w:p>
    <w:p w14:paraId="6A913F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14:paraId="35AB27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万州区</w:t>
      </w:r>
      <w:r>
        <w:rPr>
          <w:rFonts w:hint="eastAsia" w:ascii="方正仿宋_GBK" w:hAnsi="方正仿宋_GBK" w:eastAsia="方正仿宋_GBK" w:cs="方正仿宋_GBK"/>
          <w:sz w:val="32"/>
          <w:szCs w:val="32"/>
        </w:rPr>
        <w:t>营商环境优化提升主要举措及责任分工</w:t>
      </w:r>
    </w:p>
    <w:p w14:paraId="5BB67F9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黑体_GBK"/>
          <w:sz w:val="32"/>
          <w:szCs w:val="32"/>
          <w:lang w:eastAsia="zh-CN"/>
        </w:rPr>
      </w:pPr>
      <w:r>
        <w:br w:type="page"/>
      </w:r>
      <w:r>
        <w:rPr>
          <w:rFonts w:hint="eastAsia" w:eastAsia="方正黑体_GBK"/>
          <w:sz w:val="32"/>
          <w:szCs w:val="32"/>
        </w:rPr>
        <w:t>附</w:t>
      </w:r>
      <w:r>
        <w:rPr>
          <w:rFonts w:hint="eastAsia" w:eastAsia="方正黑体_GBK"/>
          <w:sz w:val="32"/>
          <w:szCs w:val="32"/>
          <w:lang w:eastAsia="zh-CN"/>
        </w:rPr>
        <w:t>表</w:t>
      </w:r>
    </w:p>
    <w:p w14:paraId="5476D597">
      <w:pPr>
        <w:ind w:firstLine="420" w:firstLineChars="200"/>
      </w:pPr>
    </w:p>
    <w:p w14:paraId="33C10A5A">
      <w:pPr>
        <w:snapToGrid w:val="0"/>
        <w:jc w:val="center"/>
        <w:rPr>
          <w:rFonts w:hint="eastAsia" w:eastAsia="方正小标宋_GBK"/>
          <w:sz w:val="44"/>
          <w:szCs w:val="44"/>
        </w:rPr>
      </w:pPr>
      <w:r>
        <w:rPr>
          <w:rFonts w:hint="eastAsia" w:eastAsia="方正小标宋_GBK"/>
          <w:sz w:val="44"/>
          <w:szCs w:val="44"/>
          <w:lang w:eastAsia="zh-CN"/>
        </w:rPr>
        <w:t>万州区</w:t>
      </w:r>
      <w:r>
        <w:rPr>
          <w:rFonts w:hint="eastAsia" w:eastAsia="方正小标宋_GBK"/>
          <w:sz w:val="44"/>
          <w:szCs w:val="44"/>
        </w:rPr>
        <w:t>营商环境优化提升主要举措及责任分工</w:t>
      </w:r>
    </w:p>
    <w:p w14:paraId="19BCCAED">
      <w:pPr>
        <w:snapToGrid w:val="0"/>
        <w:jc w:val="center"/>
        <w:rPr>
          <w:rFonts w:hint="eastAsia" w:eastAsia="方正小标宋_GBK"/>
          <w:sz w:val="36"/>
          <w:szCs w:val="36"/>
        </w:rPr>
      </w:pPr>
    </w:p>
    <w:tbl>
      <w:tblPr>
        <w:tblStyle w:val="4"/>
        <w:tblW w:w="9505"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15" w:type="dxa"/>
          <w:left w:w="108" w:type="dxa"/>
          <w:bottom w:w="15" w:type="dxa"/>
          <w:right w:w="108" w:type="dxa"/>
        </w:tblCellMar>
      </w:tblPr>
      <w:tblGrid>
        <w:gridCol w:w="915"/>
        <w:gridCol w:w="1147"/>
        <w:gridCol w:w="5077"/>
        <w:gridCol w:w="1064"/>
        <w:gridCol w:w="1302"/>
      </w:tblGrid>
      <w:tr w14:paraId="2A07047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tblHeader/>
          <w:jc w:val="center"/>
        </w:trPr>
        <w:tc>
          <w:tcPr>
            <w:tcW w:w="2062" w:type="dxa"/>
            <w:gridSpan w:val="2"/>
            <w:noWrap w:val="0"/>
            <w:tcMar>
              <w:top w:w="0" w:type="dxa"/>
              <w:left w:w="17" w:type="dxa"/>
              <w:bottom w:w="0" w:type="dxa"/>
              <w:right w:w="17" w:type="dxa"/>
            </w:tcMar>
            <w:vAlign w:val="center"/>
          </w:tcPr>
          <w:p w14:paraId="7A80ADB9">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目标任务</w:t>
            </w:r>
          </w:p>
        </w:tc>
        <w:tc>
          <w:tcPr>
            <w:tcW w:w="5077" w:type="dxa"/>
            <w:noWrap w:val="0"/>
            <w:tcMar>
              <w:top w:w="0" w:type="dxa"/>
              <w:left w:w="17" w:type="dxa"/>
              <w:bottom w:w="0" w:type="dxa"/>
              <w:right w:w="17" w:type="dxa"/>
            </w:tcMar>
            <w:vAlign w:val="center"/>
          </w:tcPr>
          <w:p w14:paraId="7D8C8618">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工    作    措    施</w:t>
            </w:r>
          </w:p>
        </w:tc>
        <w:tc>
          <w:tcPr>
            <w:tcW w:w="1064" w:type="dxa"/>
            <w:noWrap w:val="0"/>
            <w:tcMar>
              <w:top w:w="0" w:type="dxa"/>
              <w:left w:w="17" w:type="dxa"/>
              <w:bottom w:w="0" w:type="dxa"/>
              <w:right w:w="17" w:type="dxa"/>
            </w:tcMar>
            <w:vAlign w:val="center"/>
          </w:tcPr>
          <w:p w14:paraId="7F5B861B">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牵头单位</w:t>
            </w:r>
          </w:p>
        </w:tc>
        <w:tc>
          <w:tcPr>
            <w:tcW w:w="1302" w:type="dxa"/>
            <w:noWrap w:val="0"/>
            <w:tcMar>
              <w:top w:w="0" w:type="dxa"/>
              <w:left w:w="17" w:type="dxa"/>
              <w:bottom w:w="0" w:type="dxa"/>
              <w:right w:w="17" w:type="dxa"/>
            </w:tcMar>
            <w:vAlign w:val="center"/>
          </w:tcPr>
          <w:p w14:paraId="2F67B5E3">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配合单位</w:t>
            </w:r>
          </w:p>
        </w:tc>
      </w:tr>
      <w:tr w14:paraId="75815FE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6D367E60">
            <w:pPr>
              <w:spacing w:line="294"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一、开办企业</w:t>
            </w:r>
          </w:p>
        </w:tc>
        <w:tc>
          <w:tcPr>
            <w:tcW w:w="1147" w:type="dxa"/>
            <w:noWrap w:val="0"/>
            <w:tcMar>
              <w:top w:w="0" w:type="dxa"/>
              <w:left w:w="17" w:type="dxa"/>
              <w:bottom w:w="0" w:type="dxa"/>
              <w:right w:w="17" w:type="dxa"/>
            </w:tcMar>
            <w:vAlign w:val="center"/>
          </w:tcPr>
          <w:p w14:paraId="7677984C">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1．精简企业开办流程</w:t>
            </w:r>
          </w:p>
        </w:tc>
        <w:tc>
          <w:tcPr>
            <w:tcW w:w="5077" w:type="dxa"/>
            <w:noWrap w:val="0"/>
            <w:tcMar>
              <w:top w:w="0" w:type="dxa"/>
              <w:left w:w="17" w:type="dxa"/>
              <w:bottom w:w="0" w:type="dxa"/>
              <w:right w:w="17" w:type="dxa"/>
            </w:tcMar>
            <w:vAlign w:val="center"/>
          </w:tcPr>
          <w:p w14:paraId="68A2ED04">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（1）除涉及前置审批事项或企业名称核准与企业设立登记不在同一机关外，企业名称不再实行预先核准，2019年9月底前实现全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企业名称自主申报。</w:t>
            </w:r>
          </w:p>
          <w:p w14:paraId="64D6A9B0">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（2）推行印章在线刻制，设立登记和公章刻制实行并联办理，将企业开办流程简化为办理营业执照、申领发票、员工参保登记3个环节。</w:t>
            </w:r>
          </w:p>
        </w:tc>
        <w:tc>
          <w:tcPr>
            <w:tcW w:w="1064" w:type="dxa"/>
            <w:noWrap w:val="0"/>
            <w:tcMar>
              <w:top w:w="0" w:type="dxa"/>
              <w:left w:w="17" w:type="dxa"/>
              <w:bottom w:w="0" w:type="dxa"/>
              <w:right w:w="17" w:type="dxa"/>
            </w:tcMar>
            <w:vAlign w:val="center"/>
          </w:tcPr>
          <w:p w14:paraId="2090B571">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11D779FB">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公安局、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r>
              <w:rPr>
                <w:rFonts w:hint="eastAsia" w:ascii="方正仿宋_GBK" w:hAnsi="方正仿宋_GBK" w:eastAsia="方正仿宋_GBK" w:cs="方正仿宋_GBK"/>
                <w:sz w:val="21"/>
                <w:szCs w:val="21"/>
                <w:lang w:eastAsia="zh-CN"/>
              </w:rPr>
              <w:t>区税务局</w:t>
            </w:r>
          </w:p>
        </w:tc>
      </w:tr>
      <w:tr w14:paraId="6CF62E7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66BC176A">
            <w:pPr>
              <w:spacing w:line="294"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0F1D18A9">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2．压减企业开办耗时</w:t>
            </w:r>
          </w:p>
        </w:tc>
        <w:tc>
          <w:tcPr>
            <w:tcW w:w="5077" w:type="dxa"/>
            <w:noWrap w:val="0"/>
            <w:tcMar>
              <w:top w:w="0" w:type="dxa"/>
              <w:left w:w="17" w:type="dxa"/>
              <w:bottom w:w="0" w:type="dxa"/>
              <w:right w:w="17" w:type="dxa"/>
            </w:tcMar>
            <w:vAlign w:val="center"/>
          </w:tcPr>
          <w:p w14:paraId="6C12264F">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2019年底前实现办理营业执照、公章刻制、</w:t>
            </w:r>
            <w:r>
              <w:rPr>
                <w:rFonts w:hint="eastAsia" w:ascii="方正仿宋_GBK" w:hAnsi="方正仿宋_GBK" w:eastAsia="方正仿宋_GBK" w:cs="方正仿宋_GBK"/>
                <w:sz w:val="21"/>
                <w:szCs w:val="21"/>
                <w:lang w:eastAsia="zh-CN"/>
              </w:rPr>
              <w:t>首次</w:t>
            </w:r>
            <w:r>
              <w:rPr>
                <w:rFonts w:hint="eastAsia" w:ascii="方正仿宋_GBK" w:hAnsi="方正仿宋_GBK" w:eastAsia="方正仿宋_GBK" w:cs="方正仿宋_GBK"/>
                <w:sz w:val="21"/>
                <w:szCs w:val="21"/>
              </w:rPr>
              <w:t>申</w:t>
            </w:r>
            <w:r>
              <w:rPr>
                <w:rFonts w:hint="eastAsia" w:ascii="方正仿宋_GBK" w:hAnsi="方正仿宋_GBK" w:eastAsia="方正仿宋_GBK" w:cs="方正仿宋_GBK"/>
                <w:sz w:val="21"/>
                <w:szCs w:val="21"/>
                <w:lang w:eastAsia="zh-CN"/>
              </w:rPr>
              <w:t>请限额内</w:t>
            </w:r>
            <w:r>
              <w:rPr>
                <w:rFonts w:hint="eastAsia" w:ascii="方正仿宋_GBK" w:hAnsi="方正仿宋_GBK" w:eastAsia="方正仿宋_GBK" w:cs="方正仿宋_GBK"/>
                <w:sz w:val="21"/>
                <w:szCs w:val="21"/>
              </w:rPr>
              <w:t>发票、员工参保登记3个工作日以内办结。</w:t>
            </w:r>
          </w:p>
        </w:tc>
        <w:tc>
          <w:tcPr>
            <w:tcW w:w="1064" w:type="dxa"/>
            <w:noWrap w:val="0"/>
            <w:tcMar>
              <w:top w:w="0" w:type="dxa"/>
              <w:left w:w="17" w:type="dxa"/>
              <w:bottom w:w="0" w:type="dxa"/>
              <w:right w:w="17" w:type="dxa"/>
            </w:tcMar>
            <w:vAlign w:val="center"/>
          </w:tcPr>
          <w:p w14:paraId="01E6FD3F">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区市</w:t>
            </w:r>
            <w:r>
              <w:rPr>
                <w:rFonts w:hint="eastAsia" w:ascii="方正仿宋_GBK" w:hAnsi="方正仿宋_GBK" w:eastAsia="方正仿宋_GBK" w:cs="方正仿宋_GBK"/>
                <w:sz w:val="21"/>
                <w:szCs w:val="21"/>
              </w:rPr>
              <w:t>场监管局</w:t>
            </w:r>
          </w:p>
        </w:tc>
        <w:tc>
          <w:tcPr>
            <w:tcW w:w="1302" w:type="dxa"/>
            <w:noWrap w:val="0"/>
            <w:tcMar>
              <w:top w:w="0" w:type="dxa"/>
              <w:left w:w="17" w:type="dxa"/>
              <w:bottom w:w="0" w:type="dxa"/>
              <w:right w:w="17" w:type="dxa"/>
            </w:tcMar>
            <w:vAlign w:val="center"/>
          </w:tcPr>
          <w:p w14:paraId="3B7CCB45">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公安局、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r>
              <w:rPr>
                <w:rFonts w:hint="eastAsia" w:ascii="方正仿宋_GBK" w:hAnsi="方正仿宋_GBK" w:eastAsia="方正仿宋_GBK" w:cs="方正仿宋_GBK"/>
                <w:sz w:val="21"/>
                <w:szCs w:val="21"/>
                <w:lang w:eastAsia="zh-CN"/>
              </w:rPr>
              <w:t>区税务局</w:t>
            </w:r>
          </w:p>
        </w:tc>
      </w:tr>
      <w:tr w14:paraId="3B3FD7C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D82DB4E">
            <w:pPr>
              <w:spacing w:line="294"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3A508A36">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3．降低开办企业费用</w:t>
            </w:r>
          </w:p>
        </w:tc>
        <w:tc>
          <w:tcPr>
            <w:tcW w:w="5077" w:type="dxa"/>
            <w:noWrap w:val="0"/>
            <w:tcMar>
              <w:top w:w="0" w:type="dxa"/>
              <w:left w:w="17" w:type="dxa"/>
              <w:bottom w:w="0" w:type="dxa"/>
              <w:right w:w="17" w:type="dxa"/>
            </w:tcMar>
            <w:vAlign w:val="center"/>
          </w:tcPr>
          <w:p w14:paraId="614ACD64">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（1）加强部门间数据共享，不得要求申请人重复提交材料，减少企业材料准备成本。</w:t>
            </w:r>
          </w:p>
          <w:p w14:paraId="3EB1F4A6">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（2）新开办企业办理营业执照、申领发票、员工参保登记均实行免费办理。</w:t>
            </w:r>
          </w:p>
          <w:p w14:paraId="31B41BE0">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（3）降低印章刻制费用。</w:t>
            </w:r>
          </w:p>
        </w:tc>
        <w:tc>
          <w:tcPr>
            <w:tcW w:w="1064" w:type="dxa"/>
            <w:noWrap w:val="0"/>
            <w:tcMar>
              <w:top w:w="0" w:type="dxa"/>
              <w:left w:w="17" w:type="dxa"/>
              <w:bottom w:w="0" w:type="dxa"/>
              <w:right w:w="17" w:type="dxa"/>
            </w:tcMar>
            <w:vAlign w:val="center"/>
          </w:tcPr>
          <w:p w14:paraId="050B9D8F">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6F791CAC">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公安局、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r>
              <w:rPr>
                <w:rFonts w:hint="eastAsia" w:ascii="方正仿宋_GBK" w:hAnsi="方正仿宋_GBK" w:eastAsia="方正仿宋_GBK" w:cs="方正仿宋_GBK"/>
                <w:sz w:val="21"/>
                <w:szCs w:val="21"/>
                <w:lang w:eastAsia="zh-CN"/>
              </w:rPr>
              <w:t>区税务局</w:t>
            </w:r>
          </w:p>
        </w:tc>
      </w:tr>
      <w:tr w14:paraId="29DED93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D142407">
            <w:pPr>
              <w:spacing w:line="294"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487BFDEC">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4．提升开办企业便利度</w:t>
            </w:r>
          </w:p>
        </w:tc>
        <w:tc>
          <w:tcPr>
            <w:tcW w:w="5077" w:type="dxa"/>
            <w:noWrap w:val="0"/>
            <w:tcMar>
              <w:top w:w="0" w:type="dxa"/>
              <w:left w:w="17" w:type="dxa"/>
              <w:bottom w:w="0" w:type="dxa"/>
              <w:right w:w="17" w:type="dxa"/>
            </w:tcMar>
            <w:vAlign w:val="center"/>
          </w:tcPr>
          <w:p w14:paraId="0DE49B52">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（1）推广全程电子化登记、电子税务局和社保网上经办平台，2019年底前实现企业开办“一网通办、一窗受理、并联办理”。</w:t>
            </w:r>
          </w:p>
          <w:p w14:paraId="4EB7AD3E">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（2）加大电子营业执照和电子发票推行力度。</w:t>
            </w:r>
          </w:p>
          <w:p w14:paraId="1B731914">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pacing w:val="-4"/>
                <w:sz w:val="21"/>
                <w:szCs w:val="21"/>
              </w:rPr>
            </w:pPr>
            <w:r>
              <w:rPr>
                <w:rFonts w:hint="eastAsia" w:ascii="方正仿宋_GBK" w:hAnsi="方正仿宋_GBK" w:eastAsia="方正仿宋_GBK" w:cs="方正仿宋_GBK"/>
                <w:spacing w:val="-4"/>
                <w:sz w:val="21"/>
                <w:szCs w:val="21"/>
              </w:rPr>
              <w:t>（3）推行企业开办“容缺受理”，落实“一次性告知”制度。</w:t>
            </w:r>
          </w:p>
          <w:p w14:paraId="4135EE4A">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（4）统一全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企业开办服务标准、申办材料，制作办事指南、操作手册。</w:t>
            </w:r>
          </w:p>
          <w:p w14:paraId="78AE252E">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（5）取消企业银行账户许可，实现企业开户预约制。</w:t>
            </w:r>
          </w:p>
        </w:tc>
        <w:tc>
          <w:tcPr>
            <w:tcW w:w="1064" w:type="dxa"/>
            <w:noWrap w:val="0"/>
            <w:tcMar>
              <w:top w:w="0" w:type="dxa"/>
              <w:left w:w="17" w:type="dxa"/>
              <w:bottom w:w="0" w:type="dxa"/>
              <w:right w:w="17" w:type="dxa"/>
            </w:tcMar>
            <w:vAlign w:val="center"/>
          </w:tcPr>
          <w:p w14:paraId="62F8BDD3">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5712D08B">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公安局、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r>
              <w:rPr>
                <w:rFonts w:hint="eastAsia" w:ascii="方正仿宋_GBK" w:hAnsi="方正仿宋_GBK" w:eastAsia="方正仿宋_GBK" w:cs="方正仿宋_GBK"/>
                <w:sz w:val="21"/>
                <w:szCs w:val="21"/>
                <w:lang w:eastAsia="zh-CN"/>
              </w:rPr>
              <w:t>区税务局</w:t>
            </w:r>
            <w:r>
              <w:rPr>
                <w:rFonts w:hint="eastAsia" w:ascii="方正仿宋_GBK" w:hAnsi="方正仿宋_GBK" w:eastAsia="方正仿宋_GBK" w:cs="方正仿宋_GBK"/>
                <w:sz w:val="21"/>
                <w:szCs w:val="21"/>
              </w:rPr>
              <w:t>、人行</w:t>
            </w:r>
            <w:r>
              <w:rPr>
                <w:rFonts w:hint="eastAsia" w:ascii="方正仿宋_GBK" w:hAnsi="方正仿宋_GBK" w:eastAsia="方正仿宋_GBK" w:cs="方正仿宋_GBK"/>
                <w:sz w:val="21"/>
                <w:szCs w:val="21"/>
                <w:lang w:eastAsia="zh-CN"/>
              </w:rPr>
              <w:t>万州中心支行</w:t>
            </w:r>
          </w:p>
        </w:tc>
      </w:tr>
      <w:tr w14:paraId="01F1951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noWrap w:val="0"/>
            <w:tcMar>
              <w:top w:w="0" w:type="dxa"/>
              <w:left w:w="17" w:type="dxa"/>
              <w:bottom w:w="0" w:type="dxa"/>
              <w:right w:w="17" w:type="dxa"/>
            </w:tcMar>
            <w:vAlign w:val="center"/>
          </w:tcPr>
          <w:p w14:paraId="5F2ECE9F">
            <w:pPr>
              <w:spacing w:line="294"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二、办理建筑许可</w:t>
            </w:r>
          </w:p>
        </w:tc>
        <w:tc>
          <w:tcPr>
            <w:tcW w:w="1147" w:type="dxa"/>
            <w:noWrap w:val="0"/>
            <w:tcMar>
              <w:top w:w="0" w:type="dxa"/>
              <w:left w:w="17" w:type="dxa"/>
              <w:bottom w:w="0" w:type="dxa"/>
              <w:right w:w="17" w:type="dxa"/>
            </w:tcMar>
            <w:vAlign w:val="center"/>
          </w:tcPr>
          <w:p w14:paraId="30E79F5B">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5．精简办理建筑许可流程</w:t>
            </w:r>
          </w:p>
        </w:tc>
        <w:tc>
          <w:tcPr>
            <w:tcW w:w="5077" w:type="dxa"/>
            <w:noWrap w:val="0"/>
            <w:tcMar>
              <w:top w:w="0" w:type="dxa"/>
              <w:left w:w="17" w:type="dxa"/>
              <w:bottom w:w="0" w:type="dxa"/>
              <w:right w:w="17" w:type="dxa"/>
            </w:tcMar>
            <w:vAlign w:val="center"/>
          </w:tcPr>
          <w:p w14:paraId="206ED757">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（1）2019年底前取消社会投资项目初步设计审批等一批审批事项，将城市桥梁上架设各类市政管线审批等一批审批事项整合，将园林绿地指标审查等一批审批事项调整为内部协作事项。</w:t>
            </w:r>
          </w:p>
          <w:p w14:paraId="29B5B3B5">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（2）对</w:t>
            </w:r>
            <w:r>
              <w:rPr>
                <w:rFonts w:hint="eastAsia" w:ascii="方正仿宋_GBK" w:hAnsi="方正仿宋_GBK" w:eastAsia="方正仿宋_GBK" w:cs="方正仿宋_GBK"/>
                <w:sz w:val="21"/>
                <w:szCs w:val="21"/>
                <w:lang w:eastAsia="zh-CN"/>
              </w:rPr>
              <w:t>经开区</w:t>
            </w:r>
            <w:r>
              <w:rPr>
                <w:rFonts w:hint="eastAsia" w:ascii="方正仿宋_GBK" w:hAnsi="方正仿宋_GBK" w:eastAsia="方正仿宋_GBK" w:cs="方正仿宋_GBK"/>
                <w:sz w:val="21"/>
                <w:szCs w:val="21"/>
              </w:rPr>
              <w:t>等特定区域的地震安全性评价等一批事项实行区域评价，对建设项目用地预审等一批审批事项实行告知承诺制。</w:t>
            </w:r>
          </w:p>
          <w:p w14:paraId="2E881756">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t>全面承接、实施好</w:t>
            </w:r>
            <w:r>
              <w:rPr>
                <w:rFonts w:hint="eastAsia" w:ascii="方正仿宋_GBK" w:hAnsi="方正仿宋_GBK" w:eastAsia="方正仿宋_GBK" w:cs="方正仿宋_GBK"/>
                <w:sz w:val="21"/>
                <w:szCs w:val="21"/>
              </w:rPr>
              <w:t>建设项目（除特殊项目外）用地预审、建设工程档案专项验收等事项。</w:t>
            </w:r>
          </w:p>
          <w:p w14:paraId="5AAB9444">
            <w:pPr>
              <w:keepNext w:val="0"/>
              <w:keepLines w:val="0"/>
              <w:pageBreakBefore w:val="0"/>
              <w:widowControl w:val="0"/>
              <w:kinsoku/>
              <w:wordWrap/>
              <w:overflowPunct/>
              <w:topLinePunct w:val="0"/>
              <w:autoSpaceDE/>
              <w:autoSpaceDN/>
              <w:bidi w:val="0"/>
              <w:adjustRightInd/>
              <w:snapToGrid/>
              <w:spacing w:line="29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（4）建设工程规划许可与规划设计方案审查一并办理。环境影响评价、节能评价等评价事项不作为项目审批或核准条件，调整到施工许可前完成。</w:t>
            </w:r>
          </w:p>
        </w:tc>
        <w:tc>
          <w:tcPr>
            <w:tcW w:w="1064" w:type="dxa"/>
            <w:noWrap w:val="0"/>
            <w:tcMar>
              <w:top w:w="0" w:type="dxa"/>
              <w:left w:w="17" w:type="dxa"/>
              <w:bottom w:w="0" w:type="dxa"/>
              <w:right w:w="17" w:type="dxa"/>
            </w:tcMar>
            <w:vAlign w:val="center"/>
          </w:tcPr>
          <w:p w14:paraId="0427A884">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c>
          <w:tcPr>
            <w:tcW w:w="1302" w:type="dxa"/>
            <w:noWrap w:val="0"/>
            <w:tcMar>
              <w:top w:w="0" w:type="dxa"/>
              <w:left w:w="17" w:type="dxa"/>
              <w:bottom w:w="0" w:type="dxa"/>
              <w:right w:w="17" w:type="dxa"/>
            </w:tcMar>
            <w:vAlign w:val="center"/>
          </w:tcPr>
          <w:p w14:paraId="00DC3206">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方正仿宋_GBK" w:hAnsi="方正仿宋_GBK" w:eastAsia="方正仿宋_GBK" w:cs="方正仿宋_GBK"/>
                <w:sz w:val="21"/>
                <w:szCs w:val="21"/>
              </w:rPr>
            </w:pPr>
          </w:p>
        </w:tc>
      </w:tr>
      <w:tr w14:paraId="4B08411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3A92761D">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二、办理建筑许可</w:t>
            </w:r>
          </w:p>
        </w:tc>
        <w:tc>
          <w:tcPr>
            <w:tcW w:w="1147" w:type="dxa"/>
            <w:noWrap w:val="0"/>
            <w:tcMar>
              <w:top w:w="0" w:type="dxa"/>
              <w:left w:w="17" w:type="dxa"/>
              <w:bottom w:w="0" w:type="dxa"/>
              <w:right w:w="17" w:type="dxa"/>
            </w:tcMar>
            <w:vAlign w:val="center"/>
          </w:tcPr>
          <w:p w14:paraId="19D0C17D">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6．压减办理建筑许可耗时</w:t>
            </w:r>
          </w:p>
        </w:tc>
        <w:tc>
          <w:tcPr>
            <w:tcW w:w="5077" w:type="dxa"/>
            <w:noWrap w:val="0"/>
            <w:tcMar>
              <w:top w:w="0" w:type="dxa"/>
              <w:left w:w="17" w:type="dxa"/>
              <w:bottom w:w="0" w:type="dxa"/>
              <w:right w:w="17" w:type="dxa"/>
            </w:tcMar>
            <w:vAlign w:val="center"/>
          </w:tcPr>
          <w:p w14:paraId="7C44A9B2">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2019年底前将一般社会投资项目从立项到竣工验收的审批时间控制在50个工作日以内，小型社会投资项目控制在35个工作日以内，带方案出让土地的项目控制在20个工作日以内，一般工业项目从取得土地到开工控制在15个工作日以内。</w:t>
            </w:r>
          </w:p>
          <w:p w14:paraId="6A0AEB67">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（2）2019年底前政府投资项目从立项到竣工验收的审批时间控制在80个工作日以内，其中一般政府投资房屋建筑和市政工程建设项目控制在70个工作日以内。</w:t>
            </w:r>
          </w:p>
        </w:tc>
        <w:tc>
          <w:tcPr>
            <w:tcW w:w="1064" w:type="dxa"/>
            <w:noWrap w:val="0"/>
            <w:tcMar>
              <w:top w:w="0" w:type="dxa"/>
              <w:left w:w="17" w:type="dxa"/>
              <w:bottom w:w="0" w:type="dxa"/>
              <w:right w:w="17" w:type="dxa"/>
            </w:tcMar>
            <w:vAlign w:val="center"/>
          </w:tcPr>
          <w:p w14:paraId="652F2244">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p>
        </w:tc>
        <w:tc>
          <w:tcPr>
            <w:tcW w:w="1302" w:type="dxa"/>
            <w:noWrap w:val="0"/>
            <w:tcMar>
              <w:top w:w="0" w:type="dxa"/>
              <w:left w:w="17" w:type="dxa"/>
              <w:bottom w:w="0" w:type="dxa"/>
              <w:right w:w="17" w:type="dxa"/>
            </w:tcMar>
            <w:vAlign w:val="center"/>
          </w:tcPr>
          <w:p w14:paraId="36535B97">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r>
      <w:tr w14:paraId="07092CA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116F012">
            <w:pPr>
              <w:snapToGrid w:val="0"/>
              <w:spacing w:line="330" w:lineRule="atLeas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6857F488">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7．降低办理建筑许可费用</w:t>
            </w:r>
          </w:p>
        </w:tc>
        <w:tc>
          <w:tcPr>
            <w:tcW w:w="5077" w:type="dxa"/>
            <w:noWrap w:val="0"/>
            <w:tcMar>
              <w:top w:w="0" w:type="dxa"/>
              <w:left w:w="17" w:type="dxa"/>
              <w:bottom w:w="0" w:type="dxa"/>
              <w:right w:w="17" w:type="dxa"/>
            </w:tcMar>
            <w:vAlign w:val="center"/>
          </w:tcPr>
          <w:p w14:paraId="17B99612">
            <w:pPr>
              <w:keepNext w:val="0"/>
              <w:keepLines w:val="0"/>
              <w:pageBreakBefore w:val="0"/>
              <w:widowControl w:val="0"/>
              <w:kinsoku/>
              <w:wordWrap/>
              <w:overflowPunct/>
              <w:topLinePunct w:val="0"/>
              <w:autoSpaceDE/>
              <w:autoSpaceDN/>
              <w:bidi w:val="0"/>
              <w:adjustRightInd/>
              <w:snapToGrid w:val="0"/>
              <w:spacing w:line="350" w:lineRule="atLeas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（1）全面清理办理施工许可收费，取消没有法律法规依据的收费项目，取消申请施工许可证时需提交的资金到位证明。</w:t>
            </w:r>
          </w:p>
          <w:p w14:paraId="5A28AD52">
            <w:pPr>
              <w:keepNext w:val="0"/>
              <w:keepLines w:val="0"/>
              <w:pageBreakBefore w:val="0"/>
              <w:widowControl w:val="0"/>
              <w:kinsoku/>
              <w:wordWrap/>
              <w:overflowPunct/>
              <w:topLinePunct w:val="0"/>
              <w:autoSpaceDE/>
              <w:autoSpaceDN/>
              <w:bidi w:val="0"/>
              <w:adjustRightInd/>
              <w:snapToGrid w:val="0"/>
              <w:spacing w:line="350" w:lineRule="atLeas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（2）拓展在线支付渠道。2019年底前实现工程建设项目审批管理系统与财政非税系统和第三方支付系统成功融合，搭建统一的在线支付平台，实现工程建设领域办事、缴费“一站式”服务。</w:t>
            </w:r>
          </w:p>
          <w:p w14:paraId="04EECEBE">
            <w:pPr>
              <w:keepNext w:val="0"/>
              <w:keepLines w:val="0"/>
              <w:pageBreakBefore w:val="0"/>
              <w:widowControl w:val="0"/>
              <w:kinsoku/>
              <w:wordWrap/>
              <w:overflowPunct/>
              <w:topLinePunct w:val="0"/>
              <w:autoSpaceDE/>
              <w:autoSpaceDN/>
              <w:bidi w:val="0"/>
              <w:adjustRightInd/>
              <w:snapToGrid w:val="0"/>
              <w:spacing w:line="350" w:lineRule="atLeas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（3）规范中介服务收费。2021年底前建成全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统一的工程建设领域网上中介服务超市，做好入驻企业的资质认定和信用评定，并对中介服务收费标准进行全网公示，实行服务时限、收费标准、服务质量“三承诺”管理，构建规范透明的中介服务收费体系。</w:t>
            </w:r>
          </w:p>
        </w:tc>
        <w:tc>
          <w:tcPr>
            <w:tcW w:w="1064" w:type="dxa"/>
            <w:noWrap w:val="0"/>
            <w:tcMar>
              <w:top w:w="0" w:type="dxa"/>
              <w:left w:w="17" w:type="dxa"/>
              <w:bottom w:w="0" w:type="dxa"/>
              <w:right w:w="17" w:type="dxa"/>
            </w:tcMar>
            <w:vAlign w:val="center"/>
          </w:tcPr>
          <w:p w14:paraId="13A82608">
            <w:pPr>
              <w:snapToGrid w:val="0"/>
              <w:spacing w:line="330" w:lineRule="atLeas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w:t>
            </w:r>
            <w:r>
              <w:rPr>
                <w:rFonts w:hint="eastAsia" w:ascii="方正仿宋_GBK" w:hAnsi="方正仿宋_GBK" w:eastAsia="方正仿宋_GBK" w:cs="方正仿宋_GBK"/>
                <w:sz w:val="21"/>
                <w:szCs w:val="21"/>
                <w:lang w:eastAsia="zh-CN"/>
              </w:rPr>
              <w:t>务服务办、区公共资源交易中心</w:t>
            </w:r>
          </w:p>
        </w:tc>
        <w:tc>
          <w:tcPr>
            <w:tcW w:w="1302" w:type="dxa"/>
            <w:noWrap w:val="0"/>
            <w:tcMar>
              <w:top w:w="0" w:type="dxa"/>
              <w:left w:w="17" w:type="dxa"/>
              <w:bottom w:w="0" w:type="dxa"/>
              <w:right w:w="17" w:type="dxa"/>
            </w:tcMar>
            <w:vAlign w:val="center"/>
          </w:tcPr>
          <w:p w14:paraId="5969EC15">
            <w:pPr>
              <w:snapToGrid w:val="0"/>
              <w:spacing w:line="330" w:lineRule="atLeast"/>
              <w:rPr>
                <w:rFonts w:hint="eastAsia" w:ascii="方正仿宋_GBK" w:hAnsi="方正仿宋_GBK" w:eastAsia="方正仿宋_GBK" w:cs="方正仿宋_GBK"/>
                <w:sz w:val="21"/>
                <w:szCs w:val="21"/>
              </w:rPr>
            </w:pPr>
          </w:p>
        </w:tc>
      </w:tr>
      <w:tr w14:paraId="0B8518B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39522F3">
            <w:pPr>
              <w:snapToGrid w:val="0"/>
              <w:spacing w:line="330" w:lineRule="atLeas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131ADEC0">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8．优化建筑质量控制指数</w:t>
            </w:r>
          </w:p>
        </w:tc>
        <w:tc>
          <w:tcPr>
            <w:tcW w:w="5077" w:type="dxa"/>
            <w:noWrap w:val="0"/>
            <w:tcMar>
              <w:top w:w="0" w:type="dxa"/>
              <w:left w:w="17" w:type="dxa"/>
              <w:bottom w:w="0" w:type="dxa"/>
              <w:right w:w="17" w:type="dxa"/>
            </w:tcMar>
            <w:vAlign w:val="center"/>
          </w:tcPr>
          <w:p w14:paraId="5853D808">
            <w:pPr>
              <w:keepNext w:val="0"/>
              <w:keepLines w:val="0"/>
              <w:pageBreakBefore w:val="0"/>
              <w:widowControl w:val="0"/>
              <w:kinsoku/>
              <w:wordWrap/>
              <w:overflowPunct/>
              <w:topLinePunct w:val="0"/>
              <w:autoSpaceDE/>
              <w:autoSpaceDN/>
              <w:bidi w:val="0"/>
              <w:adjustRightInd/>
              <w:snapToGrid w:val="0"/>
              <w:spacing w:line="350" w:lineRule="atLeas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（1）构建多维度评价体系，加强效能监管。</w:t>
            </w:r>
          </w:p>
          <w:p w14:paraId="5FE22BAE">
            <w:pPr>
              <w:keepNext w:val="0"/>
              <w:keepLines w:val="0"/>
              <w:pageBreakBefore w:val="0"/>
              <w:widowControl w:val="0"/>
              <w:kinsoku/>
              <w:wordWrap/>
              <w:overflowPunct/>
              <w:topLinePunct w:val="0"/>
              <w:autoSpaceDE/>
              <w:autoSpaceDN/>
              <w:bidi w:val="0"/>
              <w:adjustRightInd/>
              <w:snapToGrid w:val="0"/>
              <w:spacing w:line="350" w:lineRule="atLeas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（2）依托“信用重庆”</w:t>
            </w:r>
            <w:r>
              <w:rPr>
                <w:rFonts w:hint="eastAsia" w:ascii="方正仿宋_GBK" w:hAnsi="方正仿宋_GBK" w:eastAsia="方正仿宋_GBK" w:cs="方正仿宋_GBK"/>
                <w:sz w:val="21"/>
                <w:szCs w:val="21"/>
                <w:lang w:eastAsia="zh-CN"/>
              </w:rPr>
              <w:t>“信用万州”</w:t>
            </w:r>
            <w:r>
              <w:rPr>
                <w:rFonts w:hint="eastAsia" w:ascii="方正仿宋_GBK" w:hAnsi="方正仿宋_GBK" w:eastAsia="方正仿宋_GBK" w:cs="方正仿宋_GBK"/>
                <w:sz w:val="21"/>
                <w:szCs w:val="21"/>
              </w:rPr>
              <w:t>，建立工程建设项目审批信用信息平台，健全覆盖建设、勘察、设计、施工、监理、造价、招标代理、检测、施工图审查等各类企业和注册执业人员的工程建设领域诚信体系。</w:t>
            </w:r>
          </w:p>
        </w:tc>
        <w:tc>
          <w:tcPr>
            <w:tcW w:w="1064" w:type="dxa"/>
            <w:noWrap w:val="0"/>
            <w:tcMar>
              <w:top w:w="0" w:type="dxa"/>
              <w:left w:w="17" w:type="dxa"/>
              <w:bottom w:w="0" w:type="dxa"/>
              <w:right w:w="17" w:type="dxa"/>
            </w:tcMar>
            <w:vAlign w:val="center"/>
          </w:tcPr>
          <w:p w14:paraId="1320FBEA">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2B640971">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交通局、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水利局</w:t>
            </w:r>
          </w:p>
        </w:tc>
      </w:tr>
      <w:tr w14:paraId="5BE28C4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32555F73">
            <w:pPr>
              <w:snapToGrid w:val="0"/>
              <w:spacing w:line="330" w:lineRule="atLeas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40666933">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9．提高办理建筑许可便利度</w:t>
            </w:r>
          </w:p>
        </w:tc>
        <w:tc>
          <w:tcPr>
            <w:tcW w:w="5077" w:type="dxa"/>
            <w:noWrap w:val="0"/>
            <w:tcMar>
              <w:top w:w="0" w:type="dxa"/>
              <w:left w:w="17" w:type="dxa"/>
              <w:bottom w:w="0" w:type="dxa"/>
              <w:right w:w="17" w:type="dxa"/>
            </w:tcMar>
            <w:vAlign w:val="center"/>
          </w:tcPr>
          <w:p w14:paraId="204080F9">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（1）“一张蓝图”统筹项目实施。系统整合协调涉及相关部门的各类空间规划，建立覆盖全</w:t>
            </w:r>
            <w:r>
              <w:rPr>
                <w:rFonts w:hint="eastAsia" w:ascii="方正仿宋_GBK" w:hAnsi="方正仿宋_GBK" w:eastAsia="方正仿宋_GBK" w:cs="方正仿宋_GBK"/>
                <w:sz w:val="21"/>
                <w:szCs w:val="21"/>
                <w:u w:val="none"/>
              </w:rPr>
              <w:t>域的“</w:t>
            </w:r>
            <w:r>
              <w:rPr>
                <w:rFonts w:hint="eastAsia" w:ascii="方正仿宋_GBK" w:hAnsi="方正仿宋_GBK" w:eastAsia="方正仿宋_GBK" w:cs="方正仿宋_GBK"/>
                <w:color w:val="auto"/>
                <w:sz w:val="21"/>
                <w:szCs w:val="21"/>
                <w:u w:val="none"/>
                <w:lang w:eastAsia="zh-CN"/>
              </w:rPr>
              <w:t>三</w:t>
            </w:r>
            <w:r>
              <w:rPr>
                <w:rFonts w:hint="eastAsia" w:ascii="方正仿宋_GBK" w:hAnsi="方正仿宋_GBK" w:eastAsia="方正仿宋_GBK" w:cs="方正仿宋_GBK"/>
                <w:color w:val="auto"/>
                <w:sz w:val="21"/>
                <w:szCs w:val="21"/>
                <w:u w:val="none"/>
              </w:rPr>
              <w:t>级</w:t>
            </w:r>
            <w:r>
              <w:rPr>
                <w:rFonts w:hint="eastAsia" w:ascii="方正仿宋_GBK" w:hAnsi="方正仿宋_GBK" w:eastAsia="方正仿宋_GBK" w:cs="方正仿宋_GBK"/>
                <w:color w:val="auto"/>
                <w:sz w:val="21"/>
                <w:szCs w:val="21"/>
                <w:u w:val="none"/>
                <w:lang w:eastAsia="zh-CN"/>
              </w:rPr>
              <w:t>”</w:t>
            </w:r>
            <w:r>
              <w:rPr>
                <w:rFonts w:hint="eastAsia" w:ascii="方正仿宋_GBK" w:hAnsi="方正仿宋_GBK" w:eastAsia="方正仿宋_GBK" w:cs="方正仿宋_GBK"/>
                <w:sz w:val="21"/>
                <w:szCs w:val="21"/>
              </w:rPr>
              <w:t>（区、乡镇、村）、“三类”（法定规划、专项规划、专业规划）规划体系。2020年底前建成“多规合一”业务协同平台，实现各部门规划信息共享、规划编制协同等业务功能，确保工程建设项目在“一张蓝图”上生成审批。</w:t>
            </w:r>
          </w:p>
          <w:p w14:paraId="388EF017">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一个窗口”提供综合服务。设立工程建设项目审批服务大厅，制定大厅建设指导标准和“一窗受理”工作规程，落实“一枚印章管审批”。统一设立立项用地规划许可、工程建设许可、施工许可、竣工验收综合窗口，事项分阶段纳入综合窗口统一接件、出件和咨询，2022年底前实现“一家牵头、并联审批、限时办结”。</w:t>
            </w:r>
          </w:p>
        </w:tc>
        <w:tc>
          <w:tcPr>
            <w:tcW w:w="1064" w:type="dxa"/>
            <w:noWrap w:val="0"/>
            <w:tcMar>
              <w:top w:w="0" w:type="dxa"/>
              <w:left w:w="17" w:type="dxa"/>
              <w:bottom w:w="0" w:type="dxa"/>
              <w:right w:w="17" w:type="dxa"/>
            </w:tcMar>
            <w:vAlign w:val="center"/>
          </w:tcPr>
          <w:p w14:paraId="3EC5A0D0">
            <w:pPr>
              <w:snapToGrid w:val="0"/>
              <w:spacing w:line="33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p>
        </w:tc>
        <w:tc>
          <w:tcPr>
            <w:tcW w:w="1302" w:type="dxa"/>
            <w:noWrap w:val="0"/>
            <w:tcMar>
              <w:top w:w="0" w:type="dxa"/>
              <w:left w:w="17" w:type="dxa"/>
              <w:bottom w:w="0" w:type="dxa"/>
              <w:right w:w="17" w:type="dxa"/>
            </w:tcMar>
            <w:vAlign w:val="center"/>
          </w:tcPr>
          <w:p w14:paraId="52A89400">
            <w:pPr>
              <w:snapToGrid w:val="0"/>
              <w:spacing w:line="330" w:lineRule="atLeast"/>
              <w:rPr>
                <w:rFonts w:hint="eastAsia" w:ascii="方正仿宋_GBK" w:hAnsi="方正仿宋_GBK" w:eastAsia="方正仿宋_GBK" w:cs="方正仿宋_GBK"/>
                <w:sz w:val="21"/>
                <w:szCs w:val="21"/>
              </w:rPr>
            </w:pPr>
          </w:p>
        </w:tc>
      </w:tr>
      <w:tr w14:paraId="63B35DE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4F690E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三、获得电力</w:t>
            </w:r>
          </w:p>
        </w:tc>
        <w:tc>
          <w:tcPr>
            <w:tcW w:w="1147" w:type="dxa"/>
            <w:noWrap w:val="0"/>
            <w:tcMar>
              <w:top w:w="0" w:type="dxa"/>
              <w:left w:w="17" w:type="dxa"/>
              <w:bottom w:w="0" w:type="dxa"/>
              <w:right w:w="17" w:type="dxa"/>
            </w:tcMar>
            <w:vAlign w:val="center"/>
          </w:tcPr>
          <w:p w14:paraId="2B33BA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10．精简获得电力流程</w:t>
            </w:r>
          </w:p>
        </w:tc>
        <w:tc>
          <w:tcPr>
            <w:tcW w:w="5077" w:type="dxa"/>
            <w:noWrap w:val="0"/>
            <w:tcMar>
              <w:top w:w="0" w:type="dxa"/>
              <w:left w:w="17" w:type="dxa"/>
              <w:bottom w:w="0" w:type="dxa"/>
              <w:right w:w="17" w:type="dxa"/>
            </w:tcMar>
            <w:vAlign w:val="center"/>
          </w:tcPr>
          <w:p w14:paraId="51F942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分别压减高、低压客户办电环节至4个（申请受理、供电方案答复、外部工程实施和装表接电）、3个（申请受理、外部工程实施和装表接电），对不涉及外部工程、具备直接装表条件的项目，取消“外部工程实施”，进一步压减环节至3个、2个。</w:t>
            </w:r>
          </w:p>
        </w:tc>
        <w:tc>
          <w:tcPr>
            <w:tcW w:w="1064" w:type="dxa"/>
            <w:noWrap w:val="0"/>
            <w:tcMar>
              <w:top w:w="0" w:type="dxa"/>
              <w:left w:w="17" w:type="dxa"/>
              <w:bottom w:w="0" w:type="dxa"/>
              <w:right w:w="17" w:type="dxa"/>
            </w:tcMar>
            <w:vAlign w:val="center"/>
          </w:tcPr>
          <w:p w14:paraId="781BA91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p>
        </w:tc>
        <w:tc>
          <w:tcPr>
            <w:tcW w:w="1302" w:type="dxa"/>
            <w:noWrap w:val="0"/>
            <w:tcMar>
              <w:top w:w="0" w:type="dxa"/>
              <w:left w:w="17" w:type="dxa"/>
              <w:bottom w:w="0" w:type="dxa"/>
              <w:right w:w="17" w:type="dxa"/>
            </w:tcMar>
            <w:vAlign w:val="center"/>
          </w:tcPr>
          <w:p w14:paraId="1E1D79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国网万州供电分公司、三峡水利</w:t>
            </w:r>
          </w:p>
        </w:tc>
      </w:tr>
      <w:tr w14:paraId="57017D1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143577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487770F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11．压减获得电力耗时</w:t>
            </w:r>
          </w:p>
        </w:tc>
        <w:tc>
          <w:tcPr>
            <w:tcW w:w="5077" w:type="dxa"/>
            <w:noWrap w:val="0"/>
            <w:tcMar>
              <w:top w:w="0" w:type="dxa"/>
              <w:left w:w="17" w:type="dxa"/>
              <w:bottom w:w="0" w:type="dxa"/>
              <w:right w:w="17" w:type="dxa"/>
            </w:tcMar>
            <w:vAlign w:val="center"/>
          </w:tcPr>
          <w:p w14:paraId="45537EC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（1）压缩办理时限。2019年底前将高压客户在供电企业的办电时限控制在20个工作日以内；低压非居民客户在供电企业的办电时限控制在4个工作日以内。</w:t>
            </w:r>
          </w:p>
        </w:tc>
        <w:tc>
          <w:tcPr>
            <w:tcW w:w="1064" w:type="dxa"/>
            <w:noWrap w:val="0"/>
            <w:tcMar>
              <w:top w:w="0" w:type="dxa"/>
              <w:left w:w="17" w:type="dxa"/>
              <w:bottom w:w="0" w:type="dxa"/>
              <w:right w:w="17" w:type="dxa"/>
            </w:tcMar>
            <w:vAlign w:val="center"/>
          </w:tcPr>
          <w:p w14:paraId="38954B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p>
        </w:tc>
        <w:tc>
          <w:tcPr>
            <w:tcW w:w="1302" w:type="dxa"/>
            <w:noWrap w:val="0"/>
            <w:tcMar>
              <w:top w:w="0" w:type="dxa"/>
              <w:left w:w="17" w:type="dxa"/>
              <w:bottom w:w="0" w:type="dxa"/>
              <w:right w:w="17" w:type="dxa"/>
            </w:tcMar>
            <w:vAlign w:val="center"/>
          </w:tcPr>
          <w:p w14:paraId="20CA67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国网万州供电分公司、三峡水利</w:t>
            </w:r>
          </w:p>
        </w:tc>
      </w:tr>
      <w:tr w14:paraId="3819024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3A885F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26ECA7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2985E1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明确审批时限。按照“同步受理、并联审批、限时办结”的原则进一步压减涉电行政审批的程序和时限。2019年底前对低压供电非居民客户用地红线外电力接入工程不再办理建设工程规划许可；对10千伏供电非居民客户，加强外线工程前期审核和协调，简化规划许可程序，在正式受理申请后5个工作日内办结规划许可，情况复杂的不超过10个工作日。临时占用城市道路、挖掘城市道路和临时占用绿地、移植砍伐城市树木（不含古树名木移植）等行政审批事项2个工作日内办结。</w:t>
            </w:r>
          </w:p>
        </w:tc>
        <w:tc>
          <w:tcPr>
            <w:tcW w:w="1064" w:type="dxa"/>
            <w:noWrap w:val="0"/>
            <w:tcMar>
              <w:top w:w="0" w:type="dxa"/>
              <w:left w:w="17" w:type="dxa"/>
              <w:bottom w:w="0" w:type="dxa"/>
              <w:right w:w="17" w:type="dxa"/>
            </w:tcMar>
            <w:vAlign w:val="center"/>
          </w:tcPr>
          <w:p w14:paraId="37E45C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p>
        </w:tc>
        <w:tc>
          <w:tcPr>
            <w:tcW w:w="1302" w:type="dxa"/>
            <w:noWrap w:val="0"/>
            <w:tcMar>
              <w:top w:w="0" w:type="dxa"/>
              <w:left w:w="17" w:type="dxa"/>
              <w:bottom w:w="0" w:type="dxa"/>
              <w:right w:w="17" w:type="dxa"/>
            </w:tcMar>
            <w:vAlign w:val="center"/>
          </w:tcPr>
          <w:p w14:paraId="57AD7C8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公安局、</w:t>
            </w:r>
            <w:r>
              <w:rPr>
                <w:rFonts w:hint="eastAsia" w:ascii="方正仿宋_GBK" w:hAnsi="方正仿宋_GBK" w:eastAsia="方正仿宋_GBK" w:cs="方正仿宋_GBK"/>
                <w:sz w:val="21"/>
                <w:szCs w:val="21"/>
                <w:lang w:val="en-US" w:eastAsia="zh-CN"/>
              </w:rPr>
              <w:t>国网万州供电分公司、三峡水利</w:t>
            </w:r>
          </w:p>
        </w:tc>
      </w:tr>
      <w:tr w14:paraId="6161779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29260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78EE0F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12．降低获得电力费用</w:t>
            </w:r>
          </w:p>
        </w:tc>
        <w:tc>
          <w:tcPr>
            <w:tcW w:w="5077" w:type="dxa"/>
            <w:noWrap w:val="0"/>
            <w:tcMar>
              <w:top w:w="0" w:type="dxa"/>
              <w:left w:w="17" w:type="dxa"/>
              <w:bottom w:w="0" w:type="dxa"/>
              <w:right w:w="17" w:type="dxa"/>
            </w:tcMar>
            <w:vAlign w:val="center"/>
          </w:tcPr>
          <w:p w14:paraId="0E9E2B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（1）将城镇地区分散式小微企业低压接入容量放宽至160千伏安并延伸投资至客户用电地址，深化小微企业“零上门”“零审批”“零投资”专项服务。</w:t>
            </w:r>
          </w:p>
          <w:p w14:paraId="04FE9A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（2）对工业园区10千伏工业企业项目、电能替代项目接入工程投资到用地红线，节省用户建设成本。</w:t>
            </w:r>
          </w:p>
          <w:p w14:paraId="40668D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（3）严厉打击电力设计、安装、施工领域市场操纵等违法违规行为。</w:t>
            </w:r>
          </w:p>
        </w:tc>
        <w:tc>
          <w:tcPr>
            <w:tcW w:w="1064" w:type="dxa"/>
            <w:noWrap w:val="0"/>
            <w:tcMar>
              <w:top w:w="0" w:type="dxa"/>
              <w:left w:w="17" w:type="dxa"/>
              <w:bottom w:w="0" w:type="dxa"/>
              <w:right w:w="17" w:type="dxa"/>
            </w:tcMar>
            <w:vAlign w:val="center"/>
          </w:tcPr>
          <w:p w14:paraId="2DC978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区经济信息委</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418B09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国网万州供电分公司、三峡水利</w:t>
            </w:r>
          </w:p>
        </w:tc>
      </w:tr>
      <w:tr w14:paraId="10EE94C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6D8970E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092C64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13．优化供电可靠性和电费透明度指数</w:t>
            </w:r>
          </w:p>
        </w:tc>
        <w:tc>
          <w:tcPr>
            <w:tcW w:w="5077" w:type="dxa"/>
            <w:noWrap w:val="0"/>
            <w:tcMar>
              <w:top w:w="0" w:type="dxa"/>
              <w:left w:w="17" w:type="dxa"/>
              <w:bottom w:w="0" w:type="dxa"/>
              <w:right w:w="17" w:type="dxa"/>
            </w:tcMar>
            <w:vAlign w:val="center"/>
          </w:tcPr>
          <w:p w14:paraId="4FEDF1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（1）全面实施“不停电作业”。持续减少年均停电时间和停电次数，开展停电故障主动研判，2019年底前城市供电可靠率达到99.96%，农村供电可靠率达到99.81%。</w:t>
            </w:r>
          </w:p>
        </w:tc>
        <w:tc>
          <w:tcPr>
            <w:tcW w:w="1064" w:type="dxa"/>
            <w:noWrap w:val="0"/>
            <w:tcMar>
              <w:top w:w="0" w:type="dxa"/>
              <w:left w:w="17" w:type="dxa"/>
              <w:bottom w:w="0" w:type="dxa"/>
              <w:right w:w="17" w:type="dxa"/>
            </w:tcMar>
            <w:vAlign w:val="center"/>
          </w:tcPr>
          <w:p w14:paraId="432838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国网万州供电分公司</w:t>
            </w:r>
          </w:p>
        </w:tc>
        <w:tc>
          <w:tcPr>
            <w:tcW w:w="1302" w:type="dxa"/>
            <w:noWrap w:val="0"/>
            <w:tcMar>
              <w:top w:w="0" w:type="dxa"/>
              <w:left w:w="17" w:type="dxa"/>
              <w:bottom w:w="0" w:type="dxa"/>
              <w:right w:w="17" w:type="dxa"/>
            </w:tcMar>
            <w:vAlign w:val="center"/>
          </w:tcPr>
          <w:p w14:paraId="3EAB4E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p>
        </w:tc>
      </w:tr>
      <w:tr w14:paraId="324C8F0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E9EF5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39E7CD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036DDA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（2）提前公布电价信息。至少提前1个电费账单周期制定和调整本</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电力用户销售电价等有关电价政策信息，并以多种形式对社会公布。开通手机APP等查询用电量信息渠道。</w:t>
            </w:r>
          </w:p>
        </w:tc>
        <w:tc>
          <w:tcPr>
            <w:tcW w:w="1064" w:type="dxa"/>
            <w:noWrap w:val="0"/>
            <w:tcMar>
              <w:top w:w="0" w:type="dxa"/>
              <w:left w:w="17" w:type="dxa"/>
              <w:bottom w:w="0" w:type="dxa"/>
              <w:right w:w="17" w:type="dxa"/>
            </w:tcMar>
            <w:vAlign w:val="center"/>
          </w:tcPr>
          <w:p w14:paraId="6894E3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1FA3E5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pacing w:val="-8"/>
                <w:sz w:val="21"/>
                <w:szCs w:val="21"/>
              </w:rPr>
            </w:pPr>
            <w:r>
              <w:rPr>
                <w:rFonts w:hint="eastAsia" w:ascii="方正仿宋_GBK" w:hAnsi="方正仿宋_GBK" w:eastAsia="方正仿宋_GBK" w:cs="方正仿宋_GBK"/>
                <w:sz w:val="21"/>
                <w:szCs w:val="21"/>
                <w:lang w:val="en-US" w:eastAsia="zh-CN"/>
              </w:rPr>
              <w:t>国网万州供电分公司</w:t>
            </w:r>
            <w:r>
              <w:rPr>
                <w:rFonts w:hint="eastAsia" w:ascii="方正仿宋_GBK" w:hAnsi="方正仿宋_GBK" w:eastAsia="方正仿宋_GBK" w:cs="方正仿宋_GBK"/>
                <w:spacing w:val="-8"/>
                <w:sz w:val="21"/>
                <w:szCs w:val="21"/>
              </w:rPr>
              <w:t>、三峡水利</w:t>
            </w:r>
          </w:p>
        </w:tc>
      </w:tr>
      <w:tr w14:paraId="5F014F7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75E53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2C958D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14．降低电力价格</w:t>
            </w:r>
          </w:p>
        </w:tc>
        <w:tc>
          <w:tcPr>
            <w:tcW w:w="5077" w:type="dxa"/>
            <w:noWrap w:val="0"/>
            <w:tcMar>
              <w:top w:w="0" w:type="dxa"/>
              <w:left w:w="17" w:type="dxa"/>
              <w:bottom w:w="0" w:type="dxa"/>
              <w:right w:w="17" w:type="dxa"/>
            </w:tcMar>
            <w:vAlign w:val="center"/>
          </w:tcPr>
          <w:p w14:paraId="16A040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（1）降低用电价格。</w:t>
            </w:r>
            <w:r>
              <w:rPr>
                <w:rFonts w:hint="eastAsia" w:ascii="方正仿宋_GBK" w:hAnsi="方正仿宋_GBK" w:eastAsia="方正仿宋_GBK" w:cs="方正仿宋_GBK"/>
                <w:sz w:val="21"/>
                <w:szCs w:val="21"/>
                <w:lang w:eastAsia="zh-CN"/>
              </w:rPr>
              <w:t>贯彻</w:t>
            </w:r>
            <w:r>
              <w:rPr>
                <w:rFonts w:hint="eastAsia" w:ascii="方正仿宋_GBK" w:hAnsi="方正仿宋_GBK" w:eastAsia="方正仿宋_GBK" w:cs="方正仿宋_GBK"/>
                <w:sz w:val="21"/>
                <w:szCs w:val="21"/>
              </w:rPr>
              <w:t>执行</w:t>
            </w:r>
            <w:r>
              <w:rPr>
                <w:rFonts w:hint="eastAsia" w:ascii="方正仿宋_GBK" w:hAnsi="方正仿宋_GBK" w:eastAsia="方正仿宋_GBK" w:cs="方正仿宋_GBK"/>
                <w:sz w:val="21"/>
                <w:szCs w:val="21"/>
                <w:lang w:eastAsia="zh-CN"/>
              </w:rPr>
              <w:t>电网</w:t>
            </w:r>
            <w:r>
              <w:rPr>
                <w:rFonts w:hint="eastAsia" w:ascii="方正仿宋_GBK" w:hAnsi="方正仿宋_GBK" w:eastAsia="方正仿宋_GBK" w:cs="方正仿宋_GBK"/>
                <w:sz w:val="21"/>
                <w:szCs w:val="21"/>
              </w:rPr>
              <w:t>电价</w:t>
            </w:r>
            <w:r>
              <w:rPr>
                <w:rFonts w:hint="eastAsia" w:ascii="方正仿宋_GBK" w:hAnsi="方正仿宋_GBK" w:eastAsia="方正仿宋_GBK" w:cs="方正仿宋_GBK"/>
                <w:sz w:val="21"/>
                <w:szCs w:val="21"/>
                <w:lang w:eastAsia="zh-CN"/>
              </w:rPr>
              <w:t>政策</w:t>
            </w:r>
            <w:r>
              <w:rPr>
                <w:rFonts w:hint="eastAsia" w:ascii="方正仿宋_GBK" w:hAnsi="方正仿宋_GBK" w:eastAsia="方正仿宋_GBK" w:cs="方正仿宋_GBK"/>
                <w:sz w:val="21"/>
                <w:szCs w:val="21"/>
              </w:rPr>
              <w:t>，确保一般工商业电价平均再降低10%的要求传导到终端客户。</w:t>
            </w:r>
          </w:p>
        </w:tc>
        <w:tc>
          <w:tcPr>
            <w:tcW w:w="1064" w:type="dxa"/>
            <w:noWrap w:val="0"/>
            <w:tcMar>
              <w:top w:w="0" w:type="dxa"/>
              <w:left w:w="17" w:type="dxa"/>
              <w:bottom w:w="0" w:type="dxa"/>
              <w:right w:w="17" w:type="dxa"/>
            </w:tcMar>
            <w:vAlign w:val="center"/>
          </w:tcPr>
          <w:p w14:paraId="3630E5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6B463E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r>
              <w:rPr>
                <w:rFonts w:hint="eastAsia" w:ascii="方正仿宋_GBK" w:hAnsi="方正仿宋_GBK" w:eastAsia="方正仿宋_GBK" w:cs="方正仿宋_GBK"/>
                <w:sz w:val="21"/>
                <w:szCs w:val="21"/>
                <w:lang w:val="en-US" w:eastAsia="zh-CN"/>
              </w:rPr>
              <w:t>国网万州供电分公司</w:t>
            </w:r>
            <w:r>
              <w:rPr>
                <w:rFonts w:hint="eastAsia" w:ascii="方正仿宋_GBK" w:hAnsi="方正仿宋_GBK" w:eastAsia="方正仿宋_GBK" w:cs="方正仿宋_GBK"/>
                <w:sz w:val="21"/>
                <w:szCs w:val="21"/>
              </w:rPr>
              <w:t>、三峡水利</w:t>
            </w:r>
          </w:p>
        </w:tc>
      </w:tr>
      <w:tr w14:paraId="553330D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FE481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1746F62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38FC9A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（2）降低购电成本。充分利用川渝输电通道，增购</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外低价电，将价差收益传导至终端客户。</w:t>
            </w:r>
          </w:p>
        </w:tc>
        <w:tc>
          <w:tcPr>
            <w:tcW w:w="1064" w:type="dxa"/>
            <w:noWrap w:val="0"/>
            <w:tcMar>
              <w:top w:w="0" w:type="dxa"/>
              <w:left w:w="17" w:type="dxa"/>
              <w:bottom w:w="0" w:type="dxa"/>
              <w:right w:w="17" w:type="dxa"/>
            </w:tcMar>
            <w:vAlign w:val="center"/>
          </w:tcPr>
          <w:p w14:paraId="2B88DD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p>
        </w:tc>
        <w:tc>
          <w:tcPr>
            <w:tcW w:w="1302" w:type="dxa"/>
            <w:noWrap w:val="0"/>
            <w:tcMar>
              <w:top w:w="0" w:type="dxa"/>
              <w:left w:w="17" w:type="dxa"/>
              <w:bottom w:w="0" w:type="dxa"/>
              <w:right w:w="17" w:type="dxa"/>
            </w:tcMar>
            <w:vAlign w:val="center"/>
          </w:tcPr>
          <w:p w14:paraId="39CF19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lang w:eastAsia="zh-CN"/>
              </w:rPr>
              <w:t>区发展改革委、</w:t>
            </w:r>
            <w:r>
              <w:rPr>
                <w:rFonts w:hint="eastAsia" w:ascii="方正仿宋_GBK" w:hAnsi="方正仿宋_GBK" w:eastAsia="方正仿宋_GBK" w:cs="方正仿宋_GBK"/>
                <w:sz w:val="21"/>
                <w:szCs w:val="21"/>
                <w:lang w:val="en-US" w:eastAsia="zh-CN"/>
              </w:rPr>
              <w:t>国网万州供电分公司、三峡水利</w:t>
            </w:r>
          </w:p>
        </w:tc>
      </w:tr>
      <w:tr w14:paraId="351EE06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4D492904">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三、获得电力</w:t>
            </w:r>
          </w:p>
        </w:tc>
        <w:tc>
          <w:tcPr>
            <w:tcW w:w="1147" w:type="dxa"/>
            <w:vMerge w:val="restart"/>
            <w:noWrap w:val="0"/>
            <w:tcMar>
              <w:top w:w="0" w:type="dxa"/>
              <w:left w:w="17" w:type="dxa"/>
              <w:bottom w:w="0" w:type="dxa"/>
              <w:right w:w="17" w:type="dxa"/>
            </w:tcMar>
            <w:vAlign w:val="center"/>
          </w:tcPr>
          <w:p w14:paraId="634608BA">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15．提高获得电力便利度</w:t>
            </w:r>
          </w:p>
        </w:tc>
        <w:tc>
          <w:tcPr>
            <w:tcW w:w="5077" w:type="dxa"/>
            <w:noWrap w:val="0"/>
            <w:tcMar>
              <w:top w:w="0" w:type="dxa"/>
              <w:left w:w="17" w:type="dxa"/>
              <w:bottom w:w="0" w:type="dxa"/>
              <w:right w:w="17" w:type="dxa"/>
            </w:tcMar>
            <w:vAlign w:val="center"/>
          </w:tcPr>
          <w:p w14:paraId="022342E7">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（1）推广互联网办电渠道。不断提高客户线上办电比例，2020年底前实现客户常用业务全天候办理，“一次都不跑”，切实提升办理便利度。</w:t>
            </w:r>
          </w:p>
        </w:tc>
        <w:tc>
          <w:tcPr>
            <w:tcW w:w="1064" w:type="dxa"/>
            <w:noWrap w:val="0"/>
            <w:tcMar>
              <w:top w:w="0" w:type="dxa"/>
              <w:left w:w="17" w:type="dxa"/>
              <w:bottom w:w="0" w:type="dxa"/>
              <w:right w:w="17" w:type="dxa"/>
            </w:tcMar>
            <w:vAlign w:val="center"/>
          </w:tcPr>
          <w:p w14:paraId="3459B27F">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国网万州供电分公司、三峡水利</w:t>
            </w:r>
          </w:p>
        </w:tc>
        <w:tc>
          <w:tcPr>
            <w:tcW w:w="1302" w:type="dxa"/>
            <w:noWrap w:val="0"/>
            <w:tcMar>
              <w:top w:w="0" w:type="dxa"/>
              <w:left w:w="17" w:type="dxa"/>
              <w:bottom w:w="0" w:type="dxa"/>
              <w:right w:w="17" w:type="dxa"/>
            </w:tcMar>
            <w:vAlign w:val="center"/>
          </w:tcPr>
          <w:p w14:paraId="3AFC5094">
            <w:pPr>
              <w:spacing w:line="306" w:lineRule="exact"/>
              <w:rPr>
                <w:rFonts w:hint="eastAsia" w:ascii="方正仿宋_GBK" w:hAnsi="方正仿宋_GBK" w:eastAsia="方正仿宋_GBK" w:cs="方正仿宋_GBK"/>
                <w:sz w:val="21"/>
                <w:szCs w:val="21"/>
              </w:rPr>
            </w:pPr>
          </w:p>
        </w:tc>
      </w:tr>
      <w:tr w14:paraId="2E85C7A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32AC58C">
            <w:pPr>
              <w:spacing w:line="306" w:lineRule="exact"/>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18FB533A">
            <w:pPr>
              <w:spacing w:line="306" w:lineRule="exact"/>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4F1B3C8">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实现客户信息共享。推进公用事业服务和行政审批服务集成，在电力客户办理投资项目备案时主动介入、提前开展咨询服务，自动获取身份证、营业执照、房屋产权所有证、项目规划许可等办电必要信息，实现仅凭有效主体资格证明即可用电业务全</w:t>
            </w: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“一证通办”。</w:t>
            </w:r>
          </w:p>
        </w:tc>
        <w:tc>
          <w:tcPr>
            <w:tcW w:w="1064" w:type="dxa"/>
            <w:noWrap w:val="0"/>
            <w:tcMar>
              <w:top w:w="0" w:type="dxa"/>
              <w:left w:w="17" w:type="dxa"/>
              <w:bottom w:w="0" w:type="dxa"/>
              <w:right w:w="17" w:type="dxa"/>
            </w:tcMar>
            <w:vAlign w:val="center"/>
          </w:tcPr>
          <w:p w14:paraId="21D2C31F">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国网万州供电分公司、三峡水利</w:t>
            </w:r>
          </w:p>
        </w:tc>
        <w:tc>
          <w:tcPr>
            <w:tcW w:w="1302" w:type="dxa"/>
            <w:noWrap w:val="0"/>
            <w:tcMar>
              <w:top w:w="0" w:type="dxa"/>
              <w:left w:w="17" w:type="dxa"/>
              <w:bottom w:w="0" w:type="dxa"/>
              <w:right w:w="17" w:type="dxa"/>
            </w:tcMar>
            <w:vAlign w:val="center"/>
          </w:tcPr>
          <w:p w14:paraId="50EE86C5">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政务</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办</w:t>
            </w:r>
          </w:p>
        </w:tc>
      </w:tr>
      <w:tr w14:paraId="6044806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349B215F">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四、获得用水</w:t>
            </w:r>
          </w:p>
        </w:tc>
        <w:tc>
          <w:tcPr>
            <w:tcW w:w="1147" w:type="dxa"/>
            <w:noWrap w:val="0"/>
            <w:tcMar>
              <w:top w:w="0" w:type="dxa"/>
              <w:left w:w="17" w:type="dxa"/>
              <w:bottom w:w="0" w:type="dxa"/>
              <w:right w:w="17" w:type="dxa"/>
            </w:tcMar>
            <w:vAlign w:val="center"/>
          </w:tcPr>
          <w:p w14:paraId="7A509550">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16．精简获得用水流程</w:t>
            </w:r>
          </w:p>
        </w:tc>
        <w:tc>
          <w:tcPr>
            <w:tcW w:w="5077" w:type="dxa"/>
            <w:noWrap w:val="0"/>
            <w:tcMar>
              <w:top w:w="0" w:type="dxa"/>
              <w:left w:w="17" w:type="dxa"/>
              <w:bottom w:w="0" w:type="dxa"/>
              <w:right w:w="17" w:type="dxa"/>
            </w:tcMar>
            <w:vAlign w:val="center"/>
          </w:tcPr>
          <w:p w14:paraId="558DC57C">
            <w:pPr>
              <w:spacing w:line="306" w:lineRule="exact"/>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color w:val="auto"/>
                <w:sz w:val="21"/>
                <w:szCs w:val="21"/>
                <w:lang w:val="en-US" w:eastAsia="zh-CN"/>
              </w:rPr>
              <w:t>可通过拨打电话或在营业厅办理等多种方式申请用水，实现1个工作日内进行受理。</w:t>
            </w:r>
          </w:p>
        </w:tc>
        <w:tc>
          <w:tcPr>
            <w:tcW w:w="1064" w:type="dxa"/>
            <w:noWrap w:val="0"/>
            <w:tcMar>
              <w:top w:w="0" w:type="dxa"/>
              <w:left w:w="17" w:type="dxa"/>
              <w:bottom w:w="0" w:type="dxa"/>
              <w:right w:w="17" w:type="dxa"/>
            </w:tcMar>
            <w:vAlign w:val="center"/>
          </w:tcPr>
          <w:p w14:paraId="51BE06A8">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p>
        </w:tc>
        <w:tc>
          <w:tcPr>
            <w:tcW w:w="1302" w:type="dxa"/>
            <w:noWrap w:val="0"/>
            <w:tcMar>
              <w:top w:w="0" w:type="dxa"/>
              <w:left w:w="17" w:type="dxa"/>
              <w:bottom w:w="0" w:type="dxa"/>
              <w:right w:w="17" w:type="dxa"/>
            </w:tcMar>
            <w:vAlign w:val="center"/>
          </w:tcPr>
          <w:p w14:paraId="33AD6341">
            <w:pPr>
              <w:spacing w:line="306" w:lineRule="exact"/>
              <w:rPr>
                <w:rFonts w:hint="eastAsia" w:ascii="方正仿宋_GBK" w:hAnsi="方正仿宋_GBK" w:eastAsia="方正仿宋_GBK" w:cs="方正仿宋_GBK"/>
                <w:sz w:val="21"/>
                <w:szCs w:val="21"/>
              </w:rPr>
            </w:pPr>
          </w:p>
        </w:tc>
      </w:tr>
      <w:tr w14:paraId="0E1407E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1ED09A91">
            <w:pPr>
              <w:spacing w:line="306"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37CBF842">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17．压减获得用水耗时</w:t>
            </w:r>
          </w:p>
        </w:tc>
        <w:tc>
          <w:tcPr>
            <w:tcW w:w="5077" w:type="dxa"/>
            <w:noWrap w:val="0"/>
            <w:tcMar>
              <w:top w:w="0" w:type="dxa"/>
              <w:left w:w="17" w:type="dxa"/>
              <w:bottom w:w="0" w:type="dxa"/>
              <w:right w:w="17" w:type="dxa"/>
            </w:tcMar>
            <w:vAlign w:val="center"/>
          </w:tcPr>
          <w:p w14:paraId="3883CA26">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2020年底前实现水表口径DN100以下的用水接入办理时间由12个工作日缩减至7个工作日以内。其中，水表口径DN40以下且不涉及行政审批的，4个工作日内装表通水；水表口径DN100以下或者涉及行政审批的，7个工作日内装表通水。</w:t>
            </w:r>
          </w:p>
        </w:tc>
        <w:tc>
          <w:tcPr>
            <w:tcW w:w="1064" w:type="dxa"/>
            <w:noWrap w:val="0"/>
            <w:tcMar>
              <w:top w:w="0" w:type="dxa"/>
              <w:left w:w="17" w:type="dxa"/>
              <w:bottom w:w="0" w:type="dxa"/>
              <w:right w:w="17" w:type="dxa"/>
            </w:tcMar>
            <w:vAlign w:val="center"/>
          </w:tcPr>
          <w:p w14:paraId="6C6921DF">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p>
        </w:tc>
        <w:tc>
          <w:tcPr>
            <w:tcW w:w="1302" w:type="dxa"/>
            <w:noWrap w:val="0"/>
            <w:tcMar>
              <w:top w:w="0" w:type="dxa"/>
              <w:left w:w="17" w:type="dxa"/>
              <w:bottom w:w="0" w:type="dxa"/>
              <w:right w:w="17" w:type="dxa"/>
            </w:tcMar>
            <w:vAlign w:val="center"/>
          </w:tcPr>
          <w:p w14:paraId="51E69B07">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公安局</w:t>
            </w:r>
          </w:p>
        </w:tc>
      </w:tr>
      <w:tr w14:paraId="0300F67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31DF5F24">
            <w:pPr>
              <w:spacing w:line="306"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7755CE01">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18．降低获得用水费用</w:t>
            </w:r>
          </w:p>
        </w:tc>
        <w:tc>
          <w:tcPr>
            <w:tcW w:w="5077" w:type="dxa"/>
            <w:noWrap w:val="0"/>
            <w:tcMar>
              <w:top w:w="0" w:type="dxa"/>
              <w:left w:w="17" w:type="dxa"/>
              <w:bottom w:w="0" w:type="dxa"/>
              <w:right w:w="17" w:type="dxa"/>
            </w:tcMar>
            <w:vAlign w:val="center"/>
          </w:tcPr>
          <w:p w14:paraId="443BF456">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（1）对使用水表口径在DN100以下的中小微企业、外资工商企业实行免收水表安装费。</w:t>
            </w:r>
          </w:p>
          <w:p w14:paraId="1549010F">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（2）严厉打击用水设计、安装、施工领域市场操纵等违法违规行为。</w:t>
            </w:r>
          </w:p>
        </w:tc>
        <w:tc>
          <w:tcPr>
            <w:tcW w:w="1064" w:type="dxa"/>
            <w:noWrap w:val="0"/>
            <w:tcMar>
              <w:top w:w="0" w:type="dxa"/>
              <w:left w:w="17" w:type="dxa"/>
              <w:bottom w:w="0" w:type="dxa"/>
              <w:right w:w="17" w:type="dxa"/>
            </w:tcMar>
            <w:vAlign w:val="center"/>
          </w:tcPr>
          <w:p w14:paraId="11B251BA">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2DD17F5F">
            <w:pPr>
              <w:spacing w:line="306" w:lineRule="exact"/>
              <w:rPr>
                <w:rFonts w:hint="eastAsia" w:ascii="方正仿宋_GBK" w:hAnsi="方正仿宋_GBK" w:eastAsia="方正仿宋_GBK" w:cs="方正仿宋_GBK"/>
                <w:sz w:val="21"/>
                <w:szCs w:val="21"/>
              </w:rPr>
            </w:pPr>
          </w:p>
        </w:tc>
      </w:tr>
      <w:tr w14:paraId="458ABB3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167C281D">
            <w:pPr>
              <w:spacing w:line="306"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6D0521BD">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19．降低用水价格</w:t>
            </w:r>
          </w:p>
        </w:tc>
        <w:tc>
          <w:tcPr>
            <w:tcW w:w="5077" w:type="dxa"/>
            <w:noWrap w:val="0"/>
            <w:tcMar>
              <w:top w:w="0" w:type="dxa"/>
              <w:left w:w="17" w:type="dxa"/>
              <w:bottom w:w="0" w:type="dxa"/>
              <w:right w:w="17" w:type="dxa"/>
            </w:tcMar>
            <w:vAlign w:val="center"/>
          </w:tcPr>
          <w:p w14:paraId="0742B324">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对于不属于“两高一剩”项目的中小微企业及外商投资企业，不执行非居民超定额累进加价政策，按照核定的非居民供水价格执行。</w:t>
            </w:r>
          </w:p>
        </w:tc>
        <w:tc>
          <w:tcPr>
            <w:tcW w:w="1064" w:type="dxa"/>
            <w:noWrap w:val="0"/>
            <w:tcMar>
              <w:top w:w="0" w:type="dxa"/>
              <w:left w:w="17" w:type="dxa"/>
              <w:bottom w:w="0" w:type="dxa"/>
              <w:right w:w="17" w:type="dxa"/>
            </w:tcMar>
            <w:vAlign w:val="center"/>
          </w:tcPr>
          <w:p w14:paraId="5939196D">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p>
        </w:tc>
        <w:tc>
          <w:tcPr>
            <w:tcW w:w="1302" w:type="dxa"/>
            <w:noWrap w:val="0"/>
            <w:tcMar>
              <w:top w:w="0" w:type="dxa"/>
              <w:left w:w="17" w:type="dxa"/>
              <w:bottom w:w="0" w:type="dxa"/>
              <w:right w:w="17" w:type="dxa"/>
            </w:tcMar>
            <w:vAlign w:val="center"/>
          </w:tcPr>
          <w:p w14:paraId="30B5BE43">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r>
      <w:tr w14:paraId="720975C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571CBE6B">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五、获得用气</w:t>
            </w:r>
          </w:p>
        </w:tc>
        <w:tc>
          <w:tcPr>
            <w:tcW w:w="1147" w:type="dxa"/>
            <w:noWrap w:val="0"/>
            <w:tcMar>
              <w:top w:w="0" w:type="dxa"/>
              <w:left w:w="17" w:type="dxa"/>
              <w:bottom w:w="0" w:type="dxa"/>
              <w:right w:w="17" w:type="dxa"/>
            </w:tcMar>
            <w:vAlign w:val="center"/>
          </w:tcPr>
          <w:p w14:paraId="2042F14B">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20．精简获得用气流程</w:t>
            </w:r>
          </w:p>
        </w:tc>
        <w:tc>
          <w:tcPr>
            <w:tcW w:w="5077" w:type="dxa"/>
            <w:noWrap w:val="0"/>
            <w:tcMar>
              <w:top w:w="0" w:type="dxa"/>
              <w:left w:w="17" w:type="dxa"/>
              <w:bottom w:w="0" w:type="dxa"/>
              <w:right w:w="17" w:type="dxa"/>
            </w:tcMar>
            <w:vAlign w:val="center"/>
          </w:tcPr>
          <w:p w14:paraId="791719FC">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将获得用气流程由9个减少为客户提出用气需求并商议用气方案、委托设计、设计审查备案、委托施工、竣工验收及通气5个阶段。</w:t>
            </w:r>
          </w:p>
        </w:tc>
        <w:tc>
          <w:tcPr>
            <w:tcW w:w="1064" w:type="dxa"/>
            <w:noWrap w:val="0"/>
            <w:tcMar>
              <w:top w:w="0" w:type="dxa"/>
              <w:left w:w="17" w:type="dxa"/>
              <w:bottom w:w="0" w:type="dxa"/>
              <w:right w:w="17" w:type="dxa"/>
            </w:tcMar>
            <w:vAlign w:val="center"/>
          </w:tcPr>
          <w:p w14:paraId="1367471B">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p>
        </w:tc>
        <w:tc>
          <w:tcPr>
            <w:tcW w:w="1302" w:type="dxa"/>
            <w:noWrap w:val="0"/>
            <w:tcMar>
              <w:top w:w="0" w:type="dxa"/>
              <w:left w:w="17" w:type="dxa"/>
              <w:bottom w:w="0" w:type="dxa"/>
              <w:right w:w="17" w:type="dxa"/>
            </w:tcMar>
            <w:vAlign w:val="center"/>
          </w:tcPr>
          <w:p w14:paraId="619A24B0">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p>
        </w:tc>
      </w:tr>
      <w:tr w14:paraId="234532F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3B07B8E4">
            <w:pPr>
              <w:spacing w:line="306"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4AAA99C2">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21．压减获得用气耗时</w:t>
            </w:r>
          </w:p>
        </w:tc>
        <w:tc>
          <w:tcPr>
            <w:tcW w:w="5077" w:type="dxa"/>
            <w:noWrap w:val="0"/>
            <w:tcMar>
              <w:top w:w="0" w:type="dxa"/>
              <w:left w:w="17" w:type="dxa"/>
              <w:bottom w:w="0" w:type="dxa"/>
              <w:right w:w="17" w:type="dxa"/>
            </w:tcMar>
            <w:vAlign w:val="center"/>
          </w:tcPr>
          <w:p w14:paraId="5A643165">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2021年底前用气总办理时限由30个工作日减少至14个工作日，其中，客户提出用气需求至与供气企业商议用气方案不超过5个工作日，设计审查备案不超过1个工作日，竣工验收不超过5个工作日，通气不超过3个工作日。</w:t>
            </w:r>
          </w:p>
        </w:tc>
        <w:tc>
          <w:tcPr>
            <w:tcW w:w="1064" w:type="dxa"/>
            <w:noWrap w:val="0"/>
            <w:tcMar>
              <w:top w:w="0" w:type="dxa"/>
              <w:left w:w="17" w:type="dxa"/>
              <w:bottom w:w="0" w:type="dxa"/>
              <w:right w:w="17" w:type="dxa"/>
            </w:tcMar>
            <w:vAlign w:val="center"/>
          </w:tcPr>
          <w:p w14:paraId="3DB8105F">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p>
        </w:tc>
        <w:tc>
          <w:tcPr>
            <w:tcW w:w="1302" w:type="dxa"/>
            <w:noWrap w:val="0"/>
            <w:tcMar>
              <w:top w:w="0" w:type="dxa"/>
              <w:left w:w="17" w:type="dxa"/>
              <w:bottom w:w="0" w:type="dxa"/>
              <w:right w:w="17" w:type="dxa"/>
            </w:tcMar>
            <w:vAlign w:val="center"/>
          </w:tcPr>
          <w:p w14:paraId="5A483726">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p>
        </w:tc>
      </w:tr>
      <w:tr w14:paraId="07C432C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0F18FCA0">
            <w:pPr>
              <w:spacing w:line="306"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18B18EDD">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22．降低获得用气费用</w:t>
            </w:r>
          </w:p>
        </w:tc>
        <w:tc>
          <w:tcPr>
            <w:tcW w:w="5077" w:type="dxa"/>
            <w:noWrap w:val="0"/>
            <w:tcMar>
              <w:top w:w="0" w:type="dxa"/>
              <w:left w:w="17" w:type="dxa"/>
              <w:bottom w:w="0" w:type="dxa"/>
              <w:right w:w="17" w:type="dxa"/>
            </w:tcMar>
            <w:vAlign w:val="center"/>
          </w:tcPr>
          <w:p w14:paraId="51B43905">
            <w:pPr>
              <w:spacing w:line="306" w:lineRule="exact"/>
              <w:rPr>
                <w:rFonts w:hint="eastAsia" w:ascii="方正仿宋_GBK" w:hAnsi="方正仿宋_GBK" w:eastAsia="方正仿宋_GBK" w:cs="方正仿宋_GBK"/>
                <w:spacing w:val="-4"/>
                <w:sz w:val="21"/>
                <w:szCs w:val="21"/>
              </w:rPr>
            </w:pPr>
            <w:r>
              <w:rPr>
                <w:rFonts w:hint="eastAsia" w:ascii="方正仿宋_GBK" w:hAnsi="方正仿宋_GBK" w:eastAsia="方正仿宋_GBK" w:cs="方正仿宋_GBK"/>
                <w:spacing w:val="-4"/>
                <w:sz w:val="21"/>
                <w:szCs w:val="21"/>
              </w:rPr>
              <w:t>（1）建立天然气设计、安装市场公告制度，定期公告、更新企业资质、收费、信用等信息，保障公众知情权、选择权。</w:t>
            </w:r>
          </w:p>
          <w:p w14:paraId="7638EE75">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（2）严厉打击燃气设计、安装、施工领域市场操纵等违法违规行为。</w:t>
            </w:r>
          </w:p>
        </w:tc>
        <w:tc>
          <w:tcPr>
            <w:tcW w:w="1064" w:type="dxa"/>
            <w:noWrap w:val="0"/>
            <w:tcMar>
              <w:top w:w="0" w:type="dxa"/>
              <w:left w:w="17" w:type="dxa"/>
              <w:bottom w:w="0" w:type="dxa"/>
              <w:right w:w="17" w:type="dxa"/>
            </w:tcMar>
            <w:vAlign w:val="center"/>
          </w:tcPr>
          <w:p w14:paraId="651250D4">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3245183D">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p>
        </w:tc>
      </w:tr>
      <w:tr w14:paraId="149037B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33807588">
            <w:pPr>
              <w:spacing w:line="306"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5E666504">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23．降低用气价格</w:t>
            </w:r>
          </w:p>
        </w:tc>
        <w:tc>
          <w:tcPr>
            <w:tcW w:w="5077" w:type="dxa"/>
            <w:noWrap w:val="0"/>
            <w:tcMar>
              <w:top w:w="0" w:type="dxa"/>
              <w:left w:w="17" w:type="dxa"/>
              <w:bottom w:w="0" w:type="dxa"/>
              <w:right w:w="17" w:type="dxa"/>
            </w:tcMar>
            <w:vAlign w:val="center"/>
          </w:tcPr>
          <w:p w14:paraId="6B2FE2B0">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（1）推进输配价格改革，合理确定配气价格。积极协调增加气源指标。</w:t>
            </w:r>
          </w:p>
          <w:p w14:paraId="2E0D62E3">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（2）加大液化天然气生产、储气设施建设力度，提高应急保障能力。</w:t>
            </w:r>
          </w:p>
        </w:tc>
        <w:tc>
          <w:tcPr>
            <w:tcW w:w="1064" w:type="dxa"/>
            <w:noWrap w:val="0"/>
            <w:tcMar>
              <w:top w:w="0" w:type="dxa"/>
              <w:left w:w="17" w:type="dxa"/>
              <w:bottom w:w="0" w:type="dxa"/>
              <w:right w:w="17" w:type="dxa"/>
            </w:tcMar>
            <w:vAlign w:val="center"/>
          </w:tcPr>
          <w:p w14:paraId="0F637739">
            <w:pPr>
              <w:spacing w:line="306"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p>
        </w:tc>
        <w:tc>
          <w:tcPr>
            <w:tcW w:w="1302" w:type="dxa"/>
            <w:noWrap w:val="0"/>
            <w:tcMar>
              <w:top w:w="0" w:type="dxa"/>
              <w:left w:w="17" w:type="dxa"/>
              <w:bottom w:w="0" w:type="dxa"/>
              <w:right w:w="17" w:type="dxa"/>
            </w:tcMar>
            <w:vAlign w:val="center"/>
          </w:tcPr>
          <w:p w14:paraId="5E1EDDD0">
            <w:pPr>
              <w:spacing w:line="306" w:lineRule="exact"/>
              <w:rPr>
                <w:rFonts w:hint="eastAsia" w:ascii="方正仿宋_GBK" w:hAnsi="方正仿宋_GBK" w:eastAsia="方正仿宋_GBK" w:cs="方正仿宋_GBK"/>
                <w:sz w:val="21"/>
                <w:szCs w:val="21"/>
              </w:rPr>
            </w:pPr>
          </w:p>
        </w:tc>
      </w:tr>
      <w:tr w14:paraId="63D0448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595" w:hRule="atLeast"/>
          <w:jc w:val="center"/>
        </w:trPr>
        <w:tc>
          <w:tcPr>
            <w:tcW w:w="915" w:type="dxa"/>
            <w:vMerge w:val="restart"/>
            <w:noWrap w:val="0"/>
            <w:tcMar>
              <w:top w:w="0" w:type="dxa"/>
              <w:left w:w="17" w:type="dxa"/>
              <w:bottom w:w="0" w:type="dxa"/>
              <w:right w:w="17" w:type="dxa"/>
            </w:tcMar>
            <w:vAlign w:val="center"/>
          </w:tcPr>
          <w:p w14:paraId="21236FF1">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六、获得网络</w:t>
            </w:r>
          </w:p>
        </w:tc>
        <w:tc>
          <w:tcPr>
            <w:tcW w:w="1147" w:type="dxa"/>
            <w:noWrap w:val="0"/>
            <w:tcMar>
              <w:top w:w="0" w:type="dxa"/>
              <w:left w:w="17" w:type="dxa"/>
              <w:bottom w:w="0" w:type="dxa"/>
              <w:right w:w="17" w:type="dxa"/>
            </w:tcMar>
            <w:vAlign w:val="center"/>
          </w:tcPr>
          <w:p w14:paraId="7F55557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24．精简获得网络流程</w:t>
            </w:r>
          </w:p>
        </w:tc>
        <w:tc>
          <w:tcPr>
            <w:tcW w:w="5077" w:type="dxa"/>
            <w:noWrap w:val="0"/>
            <w:tcMar>
              <w:top w:w="0" w:type="dxa"/>
              <w:left w:w="17" w:type="dxa"/>
              <w:bottom w:w="0" w:type="dxa"/>
              <w:right w:w="17" w:type="dxa"/>
            </w:tcMar>
            <w:vAlign w:val="center"/>
          </w:tcPr>
          <w:p w14:paraId="358E64E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（1）客户通过实名认证后即可在实体营业网点办理常规业务；拨打服务热线、网上营业厅、手机营业厅可办理部分业务。</w:t>
            </w:r>
          </w:p>
          <w:p w14:paraId="2AD8778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（2）电信业务经营者对资费套餐进行“清单式”公示，用户可以自主选择资费套餐。</w:t>
            </w:r>
          </w:p>
        </w:tc>
        <w:tc>
          <w:tcPr>
            <w:tcW w:w="1064" w:type="dxa"/>
            <w:noWrap w:val="0"/>
            <w:tcMar>
              <w:top w:w="0" w:type="dxa"/>
              <w:left w:w="17" w:type="dxa"/>
              <w:bottom w:w="0" w:type="dxa"/>
              <w:right w:w="17" w:type="dxa"/>
            </w:tcMar>
            <w:vAlign w:val="center"/>
          </w:tcPr>
          <w:p w14:paraId="6E936EA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区大数据发展局</w:t>
            </w:r>
          </w:p>
        </w:tc>
        <w:tc>
          <w:tcPr>
            <w:tcW w:w="1302" w:type="dxa"/>
            <w:noWrap w:val="0"/>
            <w:tcMar>
              <w:top w:w="0" w:type="dxa"/>
              <w:left w:w="17" w:type="dxa"/>
              <w:bottom w:w="0" w:type="dxa"/>
              <w:right w:w="17" w:type="dxa"/>
            </w:tcMar>
            <w:vAlign w:val="center"/>
          </w:tcPr>
          <w:p w14:paraId="2A1178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r>
      <w:tr w14:paraId="4FDE295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CCFB41A">
            <w:pPr>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4E21EBE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25．压减获得网络耗时</w:t>
            </w:r>
          </w:p>
        </w:tc>
        <w:tc>
          <w:tcPr>
            <w:tcW w:w="5077" w:type="dxa"/>
            <w:noWrap w:val="0"/>
            <w:tcMar>
              <w:top w:w="0" w:type="dxa"/>
              <w:left w:w="17" w:type="dxa"/>
              <w:bottom w:w="0" w:type="dxa"/>
              <w:right w:w="17" w:type="dxa"/>
            </w:tcMar>
            <w:vAlign w:val="center"/>
          </w:tcPr>
          <w:p w14:paraId="16DB86C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（1）严格执行获得网络耗时对外服务承诺，用户也可与电信业务经营者约定有关的业务受理、开通、故障处理时限。</w:t>
            </w:r>
          </w:p>
          <w:p w14:paraId="442C7A7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（2）用户申请安装电信终端设备的，电信业务经营者在其公布的时限内保证装机开通。</w:t>
            </w:r>
          </w:p>
        </w:tc>
        <w:tc>
          <w:tcPr>
            <w:tcW w:w="1064" w:type="dxa"/>
            <w:noWrap w:val="0"/>
            <w:tcMar>
              <w:top w:w="0" w:type="dxa"/>
              <w:left w:w="17" w:type="dxa"/>
              <w:bottom w:w="0" w:type="dxa"/>
              <w:right w:w="17" w:type="dxa"/>
            </w:tcMar>
            <w:vAlign w:val="center"/>
          </w:tcPr>
          <w:p w14:paraId="083ACE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区大数据发展局</w:t>
            </w:r>
          </w:p>
        </w:tc>
        <w:tc>
          <w:tcPr>
            <w:tcW w:w="1302" w:type="dxa"/>
            <w:noWrap w:val="0"/>
            <w:tcMar>
              <w:top w:w="0" w:type="dxa"/>
              <w:left w:w="17" w:type="dxa"/>
              <w:bottom w:w="0" w:type="dxa"/>
              <w:right w:w="17" w:type="dxa"/>
            </w:tcMar>
            <w:vAlign w:val="center"/>
          </w:tcPr>
          <w:p w14:paraId="6B9D5C6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r>
      <w:tr w14:paraId="3CCCEA0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255" w:hRule="atLeast"/>
          <w:jc w:val="center"/>
        </w:trPr>
        <w:tc>
          <w:tcPr>
            <w:tcW w:w="915" w:type="dxa"/>
            <w:vMerge w:val="continue"/>
            <w:noWrap w:val="0"/>
            <w:tcMar>
              <w:top w:w="0" w:type="dxa"/>
              <w:left w:w="17" w:type="dxa"/>
              <w:bottom w:w="0" w:type="dxa"/>
              <w:right w:w="17" w:type="dxa"/>
            </w:tcMar>
            <w:vAlign w:val="center"/>
          </w:tcPr>
          <w:p w14:paraId="037A3802">
            <w:pPr>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3EDE46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26．降低获得网络费用</w:t>
            </w:r>
          </w:p>
        </w:tc>
        <w:tc>
          <w:tcPr>
            <w:tcW w:w="5077" w:type="dxa"/>
            <w:noWrap w:val="0"/>
            <w:tcMar>
              <w:top w:w="0" w:type="dxa"/>
              <w:left w:w="17" w:type="dxa"/>
              <w:bottom w:w="0" w:type="dxa"/>
              <w:right w:w="17" w:type="dxa"/>
            </w:tcMar>
            <w:vAlign w:val="center"/>
          </w:tcPr>
          <w:p w14:paraId="0994021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（1）2019年底前实现中小企业宽带平均资费降低15%，移动网络流量平均资费降低20%以上。</w:t>
            </w:r>
          </w:p>
          <w:p w14:paraId="74D9CF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（2）严厉打击用网设计、安装、施工领域市场操纵等违法违规行为。</w:t>
            </w:r>
          </w:p>
        </w:tc>
        <w:tc>
          <w:tcPr>
            <w:tcW w:w="1064" w:type="dxa"/>
            <w:noWrap w:val="0"/>
            <w:tcMar>
              <w:top w:w="0" w:type="dxa"/>
              <w:left w:w="17" w:type="dxa"/>
              <w:bottom w:w="0" w:type="dxa"/>
              <w:right w:w="17" w:type="dxa"/>
            </w:tcMar>
            <w:vAlign w:val="center"/>
          </w:tcPr>
          <w:p w14:paraId="0CD7F0C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区大数据发展局</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3ED233B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r>
      <w:tr w14:paraId="2FC0440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135" w:hRule="atLeast"/>
          <w:jc w:val="center"/>
        </w:trPr>
        <w:tc>
          <w:tcPr>
            <w:tcW w:w="915" w:type="dxa"/>
            <w:vMerge w:val="continue"/>
            <w:noWrap w:val="0"/>
            <w:tcMar>
              <w:top w:w="0" w:type="dxa"/>
              <w:left w:w="17" w:type="dxa"/>
              <w:bottom w:w="0" w:type="dxa"/>
              <w:right w:w="17" w:type="dxa"/>
            </w:tcMar>
            <w:vAlign w:val="center"/>
          </w:tcPr>
          <w:p w14:paraId="059C2C8E">
            <w:pPr>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4CFA39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27．提高获得网络便利度</w:t>
            </w:r>
          </w:p>
        </w:tc>
        <w:tc>
          <w:tcPr>
            <w:tcW w:w="5077" w:type="dxa"/>
            <w:noWrap w:val="0"/>
            <w:tcMar>
              <w:top w:w="0" w:type="dxa"/>
              <w:left w:w="17" w:type="dxa"/>
              <w:bottom w:w="0" w:type="dxa"/>
              <w:right w:w="17" w:type="dxa"/>
            </w:tcMar>
            <w:vAlign w:val="center"/>
          </w:tcPr>
          <w:p w14:paraId="75CA66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（1）提升</w:t>
            </w:r>
            <w:r>
              <w:rPr>
                <w:rFonts w:hint="eastAsia" w:ascii="方正仿宋_GBK" w:hAnsi="方正仿宋_GBK" w:eastAsia="方正仿宋_GBK" w:cs="方正仿宋_GBK"/>
                <w:sz w:val="21"/>
                <w:szCs w:val="21"/>
                <w:lang w:eastAsia="zh-CN"/>
              </w:rPr>
              <w:t>火车站、机场、</w:t>
            </w:r>
            <w:r>
              <w:rPr>
                <w:rFonts w:hint="eastAsia" w:ascii="方正仿宋_GBK" w:hAnsi="方正仿宋_GBK" w:eastAsia="方正仿宋_GBK" w:cs="方正仿宋_GBK"/>
                <w:sz w:val="21"/>
                <w:szCs w:val="21"/>
              </w:rPr>
              <w:t>学校、商场等流量热点区域以及覆盖薄弱地区4G网络覆盖率，2019年底前新增无线4G基站</w:t>
            </w:r>
            <w:r>
              <w:rPr>
                <w:rFonts w:hint="eastAsia" w:ascii="方正仿宋_GBK" w:hAnsi="方正仿宋_GBK" w:eastAsia="方正仿宋_GBK" w:cs="方正仿宋_GBK"/>
                <w:color w:val="auto"/>
                <w:sz w:val="21"/>
                <w:szCs w:val="21"/>
                <w:lang w:val="en-US" w:eastAsia="zh-CN"/>
              </w:rPr>
              <w:t>75</w:t>
            </w:r>
            <w:r>
              <w:rPr>
                <w:rFonts w:hint="eastAsia" w:ascii="方正仿宋_GBK" w:hAnsi="方正仿宋_GBK" w:eastAsia="方正仿宋_GBK" w:cs="方正仿宋_GBK"/>
                <w:sz w:val="21"/>
                <w:szCs w:val="21"/>
              </w:rPr>
              <w:t>个。</w:t>
            </w:r>
          </w:p>
          <w:p w14:paraId="15DF0CC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（2）推动城市区域部署千兆宽带接入网络，2019年底前实现光纤接入端口占比达到92%。</w:t>
            </w:r>
          </w:p>
          <w:p w14:paraId="74DF30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（3）2019年11月底前实现“异地销户”业务办理。</w:t>
            </w:r>
          </w:p>
          <w:p w14:paraId="46523AC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（4）推动5G网络覆盖，实现5G规模商用，2019年底前全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新建5G基站</w:t>
            </w:r>
            <w:r>
              <w:rPr>
                <w:rFonts w:hint="eastAsia" w:ascii="方正仿宋_GBK" w:hAnsi="方正仿宋_GBK" w:eastAsia="方正仿宋_GBK" w:cs="方正仿宋_GBK"/>
                <w:color w:val="auto"/>
                <w:sz w:val="21"/>
                <w:szCs w:val="21"/>
                <w:lang w:val="en-US" w:eastAsia="zh-CN"/>
              </w:rPr>
              <w:t>100</w:t>
            </w:r>
            <w:r>
              <w:rPr>
                <w:rFonts w:hint="eastAsia" w:ascii="方正仿宋_GBK" w:hAnsi="方正仿宋_GBK" w:eastAsia="方正仿宋_GBK" w:cs="方正仿宋_GBK"/>
                <w:sz w:val="21"/>
                <w:szCs w:val="21"/>
              </w:rPr>
              <w:t>个。</w:t>
            </w:r>
          </w:p>
          <w:p w14:paraId="3D20596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（5）除国家法律法规和相关政策明确禁止转网的用户外，2019年11月底前实现“携号转网”。</w:t>
            </w:r>
          </w:p>
        </w:tc>
        <w:tc>
          <w:tcPr>
            <w:tcW w:w="1064" w:type="dxa"/>
            <w:noWrap w:val="0"/>
            <w:tcMar>
              <w:top w:w="0" w:type="dxa"/>
              <w:left w:w="17" w:type="dxa"/>
              <w:bottom w:w="0" w:type="dxa"/>
              <w:right w:w="17" w:type="dxa"/>
            </w:tcMar>
            <w:vAlign w:val="center"/>
          </w:tcPr>
          <w:p w14:paraId="4D3C01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区大数据发展局</w:t>
            </w:r>
          </w:p>
        </w:tc>
        <w:tc>
          <w:tcPr>
            <w:tcW w:w="1302" w:type="dxa"/>
            <w:noWrap w:val="0"/>
            <w:tcMar>
              <w:top w:w="0" w:type="dxa"/>
              <w:left w:w="17" w:type="dxa"/>
              <w:bottom w:w="0" w:type="dxa"/>
              <w:right w:w="17" w:type="dxa"/>
            </w:tcMar>
            <w:vAlign w:val="center"/>
          </w:tcPr>
          <w:p w14:paraId="07E8538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r>
      <w:tr w14:paraId="0E5C4D5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60FE5411">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七、登记财产</w:t>
            </w:r>
          </w:p>
        </w:tc>
        <w:tc>
          <w:tcPr>
            <w:tcW w:w="1147" w:type="dxa"/>
            <w:vMerge w:val="restart"/>
            <w:noWrap w:val="0"/>
            <w:tcMar>
              <w:top w:w="0" w:type="dxa"/>
              <w:left w:w="17" w:type="dxa"/>
              <w:bottom w:w="0" w:type="dxa"/>
              <w:right w:w="17" w:type="dxa"/>
            </w:tcMar>
            <w:vAlign w:val="center"/>
          </w:tcPr>
          <w:p w14:paraId="335DB1B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28．精简登记财产流程</w:t>
            </w:r>
          </w:p>
        </w:tc>
        <w:tc>
          <w:tcPr>
            <w:tcW w:w="5077" w:type="dxa"/>
            <w:noWrap w:val="0"/>
            <w:tcMar>
              <w:top w:w="0" w:type="dxa"/>
              <w:left w:w="17" w:type="dxa"/>
              <w:bottom w:w="0" w:type="dxa"/>
              <w:right w:w="17" w:type="dxa"/>
            </w:tcMar>
            <w:vAlign w:val="center"/>
          </w:tcPr>
          <w:p w14:paraId="76C8E7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（1）推行“一窗受理、并行办理”。在政务服务大厅或不动产登记大厅设立综合受理窗口，统一受理税收、交易与登记等办理事项，一次性收取所需全部材料，实行并联办理。</w:t>
            </w:r>
          </w:p>
        </w:tc>
        <w:tc>
          <w:tcPr>
            <w:tcW w:w="1064" w:type="dxa"/>
            <w:noWrap w:val="0"/>
            <w:tcMar>
              <w:top w:w="0" w:type="dxa"/>
              <w:left w:w="17" w:type="dxa"/>
              <w:bottom w:w="0" w:type="dxa"/>
              <w:right w:w="17" w:type="dxa"/>
            </w:tcMar>
            <w:vAlign w:val="center"/>
          </w:tcPr>
          <w:p w14:paraId="322359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c>
          <w:tcPr>
            <w:tcW w:w="1302" w:type="dxa"/>
            <w:noWrap w:val="0"/>
            <w:tcMar>
              <w:top w:w="0" w:type="dxa"/>
              <w:left w:w="17" w:type="dxa"/>
              <w:bottom w:w="0" w:type="dxa"/>
              <w:right w:w="17" w:type="dxa"/>
            </w:tcMar>
            <w:vAlign w:val="center"/>
          </w:tcPr>
          <w:p w14:paraId="047809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r>
              <w:rPr>
                <w:rFonts w:hint="eastAsia" w:ascii="方正仿宋_GBK" w:hAnsi="方正仿宋_GBK" w:eastAsia="方正仿宋_GBK" w:cs="方正仿宋_GBK"/>
                <w:sz w:val="21"/>
                <w:szCs w:val="21"/>
                <w:lang w:eastAsia="zh-CN"/>
              </w:rPr>
              <w:t>区税务局</w:t>
            </w:r>
          </w:p>
        </w:tc>
      </w:tr>
      <w:tr w14:paraId="2DC1853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34487580">
            <w:pPr>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7C6C5BD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7DD14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（2）精简登记申请材料。不动产登记机构通过跨部门间信息共享实时获取、核验相关材料，除需要收回的不动产权属证书和暂不具备条件采取电子介质的外，不再收取身份证复印件、产权证复印件等纸质材料。</w:t>
            </w:r>
          </w:p>
        </w:tc>
        <w:tc>
          <w:tcPr>
            <w:tcW w:w="1064" w:type="dxa"/>
            <w:noWrap w:val="0"/>
            <w:tcMar>
              <w:top w:w="0" w:type="dxa"/>
              <w:left w:w="17" w:type="dxa"/>
              <w:bottom w:w="0" w:type="dxa"/>
              <w:right w:w="17" w:type="dxa"/>
            </w:tcMar>
            <w:vAlign w:val="center"/>
          </w:tcPr>
          <w:p w14:paraId="3E2360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c>
          <w:tcPr>
            <w:tcW w:w="1302" w:type="dxa"/>
            <w:noWrap w:val="0"/>
            <w:tcMar>
              <w:top w:w="0" w:type="dxa"/>
              <w:left w:w="17" w:type="dxa"/>
              <w:bottom w:w="0" w:type="dxa"/>
              <w:right w:w="17" w:type="dxa"/>
            </w:tcMar>
            <w:vAlign w:val="center"/>
          </w:tcPr>
          <w:p w14:paraId="3DF998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r>
      <w:tr w14:paraId="28F88C0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11207865">
            <w:pPr>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7CE35F6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29．压减登记财产耗时</w:t>
            </w:r>
          </w:p>
        </w:tc>
        <w:tc>
          <w:tcPr>
            <w:tcW w:w="5077" w:type="dxa"/>
            <w:noWrap w:val="0"/>
            <w:tcMar>
              <w:top w:w="0" w:type="dxa"/>
              <w:left w:w="17" w:type="dxa"/>
              <w:bottom w:w="0" w:type="dxa"/>
              <w:right w:w="17" w:type="dxa"/>
            </w:tcMar>
            <w:vAlign w:val="center"/>
          </w:tcPr>
          <w:p w14:paraId="682D80B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2019年底前将一般登记压缩至3个工作日，抵押登记压缩至2个工作日，抵押注销登记、查封及解除查封登记、异议及注销异议登记实现立等可取。</w:t>
            </w:r>
          </w:p>
        </w:tc>
        <w:tc>
          <w:tcPr>
            <w:tcW w:w="1064" w:type="dxa"/>
            <w:noWrap w:val="0"/>
            <w:tcMar>
              <w:top w:w="0" w:type="dxa"/>
              <w:left w:w="17" w:type="dxa"/>
              <w:bottom w:w="0" w:type="dxa"/>
              <w:right w:w="17" w:type="dxa"/>
            </w:tcMar>
            <w:vAlign w:val="center"/>
          </w:tcPr>
          <w:p w14:paraId="667F86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c>
          <w:tcPr>
            <w:tcW w:w="1302" w:type="dxa"/>
            <w:noWrap w:val="0"/>
            <w:tcMar>
              <w:top w:w="0" w:type="dxa"/>
              <w:left w:w="17" w:type="dxa"/>
              <w:bottom w:w="0" w:type="dxa"/>
              <w:right w:w="17" w:type="dxa"/>
            </w:tcMar>
            <w:vAlign w:val="center"/>
          </w:tcPr>
          <w:p w14:paraId="3284B17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r>
      <w:tr w14:paraId="2AA9C14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595" w:hRule="atLeast"/>
          <w:jc w:val="center"/>
        </w:trPr>
        <w:tc>
          <w:tcPr>
            <w:tcW w:w="915" w:type="dxa"/>
            <w:vMerge w:val="continue"/>
            <w:noWrap w:val="0"/>
            <w:tcMar>
              <w:top w:w="0" w:type="dxa"/>
              <w:left w:w="17" w:type="dxa"/>
              <w:bottom w:w="0" w:type="dxa"/>
              <w:right w:w="17" w:type="dxa"/>
            </w:tcMar>
            <w:vAlign w:val="center"/>
          </w:tcPr>
          <w:p w14:paraId="61208E62">
            <w:pPr>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196FF30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30．降低登记财产费用</w:t>
            </w:r>
          </w:p>
        </w:tc>
        <w:tc>
          <w:tcPr>
            <w:tcW w:w="5077" w:type="dxa"/>
            <w:noWrap w:val="0"/>
            <w:tcMar>
              <w:top w:w="0" w:type="dxa"/>
              <w:left w:w="17" w:type="dxa"/>
              <w:bottom w:w="0" w:type="dxa"/>
              <w:right w:w="17" w:type="dxa"/>
            </w:tcMar>
            <w:vAlign w:val="center"/>
          </w:tcPr>
          <w:p w14:paraId="23FEA7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（1）对申请办理不动产变更、更正登记的，免征不动产登记费。</w:t>
            </w:r>
          </w:p>
          <w:p w14:paraId="779544A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（2）对申请办理车库、车位、储藏室不动产登记，单独核发不动产权属证书或登记证明的，不动产登记费由每件550元减至80元。</w:t>
            </w:r>
          </w:p>
        </w:tc>
        <w:tc>
          <w:tcPr>
            <w:tcW w:w="1064" w:type="dxa"/>
            <w:noWrap w:val="0"/>
            <w:tcMar>
              <w:top w:w="0" w:type="dxa"/>
              <w:left w:w="17" w:type="dxa"/>
              <w:bottom w:w="0" w:type="dxa"/>
              <w:right w:w="17" w:type="dxa"/>
            </w:tcMar>
            <w:vAlign w:val="center"/>
          </w:tcPr>
          <w:p w14:paraId="22C065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1CA09B1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r>
      <w:tr w14:paraId="3DF43D4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2A0892C3">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七、登记财产</w:t>
            </w:r>
          </w:p>
        </w:tc>
        <w:tc>
          <w:tcPr>
            <w:tcW w:w="1147" w:type="dxa"/>
            <w:noWrap w:val="0"/>
            <w:tcMar>
              <w:top w:w="0" w:type="dxa"/>
              <w:left w:w="17" w:type="dxa"/>
              <w:bottom w:w="0" w:type="dxa"/>
              <w:right w:w="17" w:type="dxa"/>
            </w:tcMar>
            <w:vAlign w:val="center"/>
          </w:tcPr>
          <w:p w14:paraId="39DF3F5B">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31．优化土地管理质量指数</w:t>
            </w:r>
          </w:p>
        </w:tc>
        <w:tc>
          <w:tcPr>
            <w:tcW w:w="5077" w:type="dxa"/>
            <w:noWrap w:val="0"/>
            <w:tcMar>
              <w:top w:w="0" w:type="dxa"/>
              <w:left w:w="17" w:type="dxa"/>
              <w:bottom w:w="0" w:type="dxa"/>
              <w:right w:w="17" w:type="dxa"/>
            </w:tcMar>
            <w:vAlign w:val="center"/>
          </w:tcPr>
          <w:p w14:paraId="7A4C6E51">
            <w:pPr>
              <w:keepNext w:val="0"/>
              <w:keepLines w:val="0"/>
              <w:pageBreakBefore w:val="0"/>
              <w:widowControl w:val="0"/>
              <w:kinsoku/>
              <w:wordWrap/>
              <w:overflowPunct/>
              <w:topLinePunct w:val="0"/>
              <w:autoSpaceDE/>
              <w:autoSpaceDN/>
              <w:bidi w:val="0"/>
              <w:adjustRightInd/>
              <w:snapToGrid/>
              <w:spacing w:line="278"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优化全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统一的不动产登记系统，2020年底前实现全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各类不动产登记数据可查询、可统计，并向公众提供查询服务。对能够直接提取利用已有测绘成果的，不再要求当事人另行开展测绘和权籍调查。</w:t>
            </w:r>
          </w:p>
        </w:tc>
        <w:tc>
          <w:tcPr>
            <w:tcW w:w="1064" w:type="dxa"/>
            <w:noWrap w:val="0"/>
            <w:tcMar>
              <w:top w:w="0" w:type="dxa"/>
              <w:left w:w="17" w:type="dxa"/>
              <w:bottom w:w="0" w:type="dxa"/>
              <w:right w:w="17" w:type="dxa"/>
            </w:tcMar>
            <w:vAlign w:val="center"/>
          </w:tcPr>
          <w:p w14:paraId="53644083">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c>
          <w:tcPr>
            <w:tcW w:w="1302" w:type="dxa"/>
            <w:noWrap w:val="0"/>
            <w:tcMar>
              <w:top w:w="0" w:type="dxa"/>
              <w:left w:w="17" w:type="dxa"/>
              <w:bottom w:w="0" w:type="dxa"/>
              <w:right w:w="17" w:type="dxa"/>
            </w:tcMar>
            <w:vAlign w:val="center"/>
          </w:tcPr>
          <w:p w14:paraId="3E520FB6">
            <w:pPr>
              <w:spacing w:line="298" w:lineRule="exact"/>
              <w:rPr>
                <w:rFonts w:hint="eastAsia" w:ascii="方正仿宋_GBK" w:hAnsi="方正仿宋_GBK" w:eastAsia="方正仿宋_GBK" w:cs="方正仿宋_GBK"/>
                <w:sz w:val="21"/>
                <w:szCs w:val="21"/>
              </w:rPr>
            </w:pPr>
          </w:p>
        </w:tc>
      </w:tr>
      <w:tr w14:paraId="0A3BB2D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C5208EE">
            <w:pPr>
              <w:spacing w:line="298" w:lineRule="exact"/>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5E55FFBF">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32．提高登记财产便利度</w:t>
            </w:r>
          </w:p>
        </w:tc>
        <w:tc>
          <w:tcPr>
            <w:tcW w:w="5077" w:type="dxa"/>
            <w:noWrap w:val="0"/>
            <w:tcMar>
              <w:top w:w="0" w:type="dxa"/>
              <w:left w:w="17" w:type="dxa"/>
              <w:bottom w:w="0" w:type="dxa"/>
              <w:right w:w="17" w:type="dxa"/>
            </w:tcMar>
            <w:vAlign w:val="center"/>
          </w:tcPr>
          <w:p w14:paraId="0B08F67B">
            <w:pPr>
              <w:keepNext w:val="0"/>
              <w:keepLines w:val="0"/>
              <w:pageBreakBefore w:val="0"/>
              <w:widowControl w:val="0"/>
              <w:kinsoku/>
              <w:wordWrap/>
              <w:overflowPunct/>
              <w:topLinePunct w:val="0"/>
              <w:autoSpaceDE/>
              <w:autoSpaceDN/>
              <w:bidi w:val="0"/>
              <w:adjustRightInd/>
              <w:snapToGrid/>
              <w:spacing w:line="278"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行“互联网+不动产登记”。利用互联网、大数据、人脸识别、在线支付等技术，建立不动产网上综合服务平台，通过PC端、微信端、移动端等入口向公众提供服务，通过“异地申请—属地审核—预约领证”的模式，2019年底前探索推进部分不动产登记事项“</w:t>
            </w:r>
            <w:r>
              <w:rPr>
                <w:rFonts w:hint="eastAsia" w:ascii="方正仿宋_GBK" w:hAnsi="方正仿宋_GBK" w:eastAsia="方正仿宋_GBK" w:cs="方正仿宋_GBK"/>
                <w:color w:val="auto"/>
                <w:sz w:val="21"/>
                <w:szCs w:val="21"/>
              </w:rPr>
              <w:t>全渝通办</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sz w:val="21"/>
                <w:szCs w:val="21"/>
              </w:rPr>
              <w:t>，2022年底前实现不动产登记“</w:t>
            </w:r>
            <w:r>
              <w:rPr>
                <w:rFonts w:hint="eastAsia" w:ascii="方正仿宋_GBK" w:hAnsi="方正仿宋_GBK" w:eastAsia="方正仿宋_GBK" w:cs="方正仿宋_GBK"/>
                <w:color w:val="auto"/>
                <w:sz w:val="21"/>
                <w:szCs w:val="21"/>
              </w:rPr>
              <w:t>全渝通办</w:t>
            </w:r>
            <w:r>
              <w:rPr>
                <w:rFonts w:hint="eastAsia" w:ascii="方正仿宋_GBK" w:hAnsi="方正仿宋_GBK" w:eastAsia="方正仿宋_GBK" w:cs="方正仿宋_GBK"/>
                <w:sz w:val="21"/>
                <w:szCs w:val="21"/>
              </w:rPr>
              <w:t>”。</w:t>
            </w:r>
          </w:p>
        </w:tc>
        <w:tc>
          <w:tcPr>
            <w:tcW w:w="1064" w:type="dxa"/>
            <w:noWrap w:val="0"/>
            <w:tcMar>
              <w:top w:w="0" w:type="dxa"/>
              <w:left w:w="17" w:type="dxa"/>
              <w:bottom w:w="0" w:type="dxa"/>
              <w:right w:w="17" w:type="dxa"/>
            </w:tcMar>
            <w:vAlign w:val="center"/>
          </w:tcPr>
          <w:p w14:paraId="7606A932">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c>
          <w:tcPr>
            <w:tcW w:w="1302" w:type="dxa"/>
            <w:noWrap w:val="0"/>
            <w:tcMar>
              <w:top w:w="0" w:type="dxa"/>
              <w:left w:w="17" w:type="dxa"/>
              <w:bottom w:w="0" w:type="dxa"/>
              <w:right w:w="17" w:type="dxa"/>
            </w:tcMar>
            <w:vAlign w:val="center"/>
          </w:tcPr>
          <w:p w14:paraId="4F955CC6">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r>
              <w:rPr>
                <w:rFonts w:hint="eastAsia" w:ascii="方正仿宋_GBK" w:hAnsi="方正仿宋_GBK" w:eastAsia="方正仿宋_GBK" w:cs="方正仿宋_GBK"/>
                <w:sz w:val="21"/>
                <w:szCs w:val="21"/>
                <w:lang w:eastAsia="zh-CN"/>
              </w:rPr>
              <w:t>区税务局</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万州银保监分局</w:t>
            </w:r>
          </w:p>
        </w:tc>
      </w:tr>
      <w:tr w14:paraId="2E0ECBE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8E14677">
            <w:pPr>
              <w:spacing w:line="298" w:lineRule="exact"/>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51A3FE5A">
            <w:pPr>
              <w:spacing w:line="298" w:lineRule="exact"/>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3DF8FEA8">
            <w:pPr>
              <w:keepNext w:val="0"/>
              <w:keepLines w:val="0"/>
              <w:pageBreakBefore w:val="0"/>
              <w:widowControl w:val="0"/>
              <w:kinsoku/>
              <w:wordWrap/>
              <w:overflowPunct/>
              <w:topLinePunct w:val="0"/>
              <w:autoSpaceDE/>
              <w:autoSpaceDN/>
              <w:bidi w:val="0"/>
              <w:adjustRightInd/>
              <w:snapToGrid/>
              <w:spacing w:line="278"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（2）开展“不动产登记+金融服务”。</w:t>
            </w:r>
            <w:r>
              <w:rPr>
                <w:rFonts w:hint="eastAsia" w:ascii="方正仿宋_GBK" w:hAnsi="方正仿宋_GBK" w:eastAsia="方正仿宋_GBK" w:cs="方正仿宋_GBK"/>
                <w:sz w:val="21"/>
                <w:szCs w:val="21"/>
                <w:lang w:eastAsia="zh-CN"/>
              </w:rPr>
              <w:t>依托市级</w:t>
            </w:r>
            <w:r>
              <w:rPr>
                <w:rFonts w:hint="eastAsia" w:ascii="方正仿宋_GBK" w:hAnsi="方正仿宋_GBK" w:eastAsia="方正仿宋_GBK" w:cs="方正仿宋_GBK"/>
                <w:sz w:val="21"/>
                <w:szCs w:val="21"/>
              </w:rPr>
              <w:t>不动产登记专网申报系统和互联网申报系统，将不动产登记服务延伸到银行等金融机构，申请人可在银行等金融机构提交相关登记申请材料，2022年底前实现在线申办不动产登记。</w:t>
            </w:r>
          </w:p>
        </w:tc>
        <w:tc>
          <w:tcPr>
            <w:tcW w:w="1064" w:type="dxa"/>
            <w:noWrap w:val="0"/>
            <w:tcMar>
              <w:top w:w="0" w:type="dxa"/>
              <w:left w:w="17" w:type="dxa"/>
              <w:bottom w:w="0" w:type="dxa"/>
              <w:right w:w="17" w:type="dxa"/>
            </w:tcMar>
            <w:vAlign w:val="center"/>
          </w:tcPr>
          <w:p w14:paraId="53065279">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c>
          <w:tcPr>
            <w:tcW w:w="1302" w:type="dxa"/>
            <w:noWrap w:val="0"/>
            <w:tcMar>
              <w:top w:w="0" w:type="dxa"/>
              <w:left w:w="17" w:type="dxa"/>
              <w:bottom w:w="0" w:type="dxa"/>
              <w:right w:w="17" w:type="dxa"/>
            </w:tcMar>
            <w:vAlign w:val="center"/>
          </w:tcPr>
          <w:p w14:paraId="00676119">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万州银保监分局</w:t>
            </w:r>
          </w:p>
        </w:tc>
      </w:tr>
      <w:tr w14:paraId="0274A53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1FDE18B2">
            <w:pPr>
              <w:spacing w:line="298" w:lineRule="exact"/>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31D42F43">
            <w:pPr>
              <w:spacing w:line="298" w:lineRule="exact"/>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74095F7A">
            <w:pPr>
              <w:keepNext w:val="0"/>
              <w:keepLines w:val="0"/>
              <w:pageBreakBefore w:val="0"/>
              <w:widowControl w:val="0"/>
              <w:kinsoku/>
              <w:wordWrap/>
              <w:overflowPunct/>
              <w:topLinePunct w:val="0"/>
              <w:autoSpaceDE/>
              <w:autoSpaceDN/>
              <w:bidi w:val="0"/>
              <w:adjustRightInd/>
              <w:snapToGrid/>
              <w:spacing w:line="278"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降低材料获取难度。对在不动产登记中难以获取的亲属关系证明等材料，申请人可以书面承诺方式替代。大力推进不动产登记信息自助查询结果的互信互认，各相关部门经“渝快办”中不动产登记查询结果验真比对一致的，不再要求当事人提供由不动产登记机构盖章的查询结果或相关证明材料。</w:t>
            </w:r>
          </w:p>
        </w:tc>
        <w:tc>
          <w:tcPr>
            <w:tcW w:w="1064" w:type="dxa"/>
            <w:noWrap w:val="0"/>
            <w:tcMar>
              <w:top w:w="0" w:type="dxa"/>
              <w:left w:w="17" w:type="dxa"/>
              <w:bottom w:w="0" w:type="dxa"/>
              <w:right w:w="17" w:type="dxa"/>
            </w:tcMar>
            <w:vAlign w:val="center"/>
          </w:tcPr>
          <w:p w14:paraId="686E58C0">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c>
          <w:tcPr>
            <w:tcW w:w="1302" w:type="dxa"/>
            <w:noWrap w:val="0"/>
            <w:tcMar>
              <w:top w:w="0" w:type="dxa"/>
              <w:left w:w="17" w:type="dxa"/>
              <w:bottom w:w="0" w:type="dxa"/>
              <w:right w:w="17" w:type="dxa"/>
            </w:tcMar>
            <w:vAlign w:val="center"/>
          </w:tcPr>
          <w:p w14:paraId="29CD0814">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政务</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办、</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r>
      <w:tr w14:paraId="0010BC2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22585174">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八、纳税</w:t>
            </w:r>
          </w:p>
        </w:tc>
        <w:tc>
          <w:tcPr>
            <w:tcW w:w="1147" w:type="dxa"/>
            <w:vMerge w:val="restart"/>
            <w:noWrap w:val="0"/>
            <w:tcMar>
              <w:top w:w="0" w:type="dxa"/>
              <w:left w:w="17" w:type="dxa"/>
              <w:bottom w:w="0" w:type="dxa"/>
              <w:right w:w="17" w:type="dxa"/>
            </w:tcMar>
            <w:vAlign w:val="center"/>
          </w:tcPr>
          <w:p w14:paraId="02D7E285">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33．减少纳税次数</w:t>
            </w:r>
          </w:p>
        </w:tc>
        <w:tc>
          <w:tcPr>
            <w:tcW w:w="5077" w:type="dxa"/>
            <w:noWrap w:val="0"/>
            <w:tcMar>
              <w:top w:w="0" w:type="dxa"/>
              <w:left w:w="17" w:type="dxa"/>
              <w:bottom w:w="0" w:type="dxa"/>
              <w:right w:w="17" w:type="dxa"/>
            </w:tcMar>
            <w:vAlign w:val="center"/>
          </w:tcPr>
          <w:p w14:paraId="1BE20977">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（1）推进</w:t>
            </w:r>
            <w:r>
              <w:rPr>
                <w:rFonts w:hint="eastAsia" w:ascii="方正仿宋_GBK" w:hAnsi="方正仿宋_GBK" w:eastAsia="方正仿宋_GBK" w:cs="方正仿宋_GBK"/>
                <w:sz w:val="21"/>
                <w:szCs w:val="21"/>
                <w:lang w:eastAsia="zh-CN"/>
              </w:rPr>
              <w:t>部分税种</w:t>
            </w:r>
            <w:r>
              <w:rPr>
                <w:rFonts w:hint="eastAsia" w:ascii="方正仿宋_GBK" w:hAnsi="方正仿宋_GBK" w:eastAsia="方正仿宋_GBK" w:cs="方正仿宋_GBK"/>
                <w:sz w:val="21"/>
                <w:szCs w:val="21"/>
              </w:rPr>
              <w:t>集成申报。利用</w:t>
            </w:r>
            <w:r>
              <w:rPr>
                <w:rFonts w:hint="eastAsia" w:ascii="方正仿宋_GBK" w:hAnsi="方正仿宋_GBK" w:eastAsia="方正仿宋_GBK" w:cs="方正仿宋_GBK"/>
                <w:sz w:val="21"/>
                <w:szCs w:val="21"/>
                <w:lang w:eastAsia="zh-CN"/>
              </w:rPr>
              <w:t>市税务局开发的</w:t>
            </w:r>
            <w:r>
              <w:rPr>
                <w:rFonts w:hint="eastAsia" w:ascii="方正仿宋_GBK" w:hAnsi="方正仿宋_GBK" w:eastAsia="方正仿宋_GBK" w:cs="方正仿宋_GBK"/>
                <w:sz w:val="21"/>
                <w:szCs w:val="21"/>
              </w:rPr>
              <w:t>电子税务局、手机客户端、微信公众号等移动办税渠道，推进增值税、企业所得税、财产行为税分税种的集成申报。</w:t>
            </w:r>
          </w:p>
        </w:tc>
        <w:tc>
          <w:tcPr>
            <w:tcW w:w="1064" w:type="dxa"/>
            <w:noWrap w:val="0"/>
            <w:tcMar>
              <w:top w:w="0" w:type="dxa"/>
              <w:left w:w="17" w:type="dxa"/>
              <w:bottom w:w="0" w:type="dxa"/>
              <w:right w:w="17" w:type="dxa"/>
            </w:tcMar>
            <w:vAlign w:val="center"/>
          </w:tcPr>
          <w:p w14:paraId="3DA2FB20">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区税务局</w:t>
            </w:r>
          </w:p>
        </w:tc>
        <w:tc>
          <w:tcPr>
            <w:tcW w:w="1302" w:type="dxa"/>
            <w:noWrap w:val="0"/>
            <w:tcMar>
              <w:top w:w="0" w:type="dxa"/>
              <w:left w:w="17" w:type="dxa"/>
              <w:bottom w:w="0" w:type="dxa"/>
              <w:right w:w="17" w:type="dxa"/>
            </w:tcMar>
            <w:vAlign w:val="center"/>
          </w:tcPr>
          <w:p w14:paraId="76048051">
            <w:pPr>
              <w:spacing w:line="298" w:lineRule="exact"/>
              <w:rPr>
                <w:rFonts w:hint="eastAsia" w:ascii="方正仿宋_GBK" w:hAnsi="方正仿宋_GBK" w:eastAsia="方正仿宋_GBK" w:cs="方正仿宋_GBK"/>
                <w:sz w:val="21"/>
                <w:szCs w:val="21"/>
              </w:rPr>
            </w:pPr>
          </w:p>
        </w:tc>
      </w:tr>
      <w:tr w14:paraId="0EB4BA6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92BE14A">
            <w:pPr>
              <w:spacing w:line="298" w:lineRule="exact"/>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419AE9BB">
            <w:pPr>
              <w:spacing w:line="298" w:lineRule="exact"/>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417EFEB">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（2）加快推广住房公积金缴存业务在</w:t>
            </w:r>
            <w:bookmarkStart w:id="0" w:name="_GoBack"/>
            <w:bookmarkEnd w:id="0"/>
            <w:r>
              <w:rPr>
                <w:rFonts w:hint="eastAsia" w:ascii="方正仿宋_GBK" w:hAnsi="方正仿宋_GBK" w:eastAsia="方正仿宋_GBK" w:cs="方正仿宋_GBK"/>
                <w:sz w:val="21"/>
                <w:szCs w:val="21"/>
              </w:rPr>
              <w:t>线办理等便民利民措施，2019年10月底前向全部缴存单位提供缴存业务在线办理服务。</w:t>
            </w:r>
          </w:p>
        </w:tc>
        <w:tc>
          <w:tcPr>
            <w:tcW w:w="1064" w:type="dxa"/>
            <w:noWrap w:val="0"/>
            <w:tcMar>
              <w:top w:w="0" w:type="dxa"/>
              <w:left w:w="17" w:type="dxa"/>
              <w:bottom w:w="0" w:type="dxa"/>
              <w:right w:w="17" w:type="dxa"/>
            </w:tcMar>
            <w:vAlign w:val="center"/>
          </w:tcPr>
          <w:p w14:paraId="4C775195">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住房公积金管理中心</w:t>
            </w:r>
          </w:p>
        </w:tc>
        <w:tc>
          <w:tcPr>
            <w:tcW w:w="1302" w:type="dxa"/>
            <w:noWrap w:val="0"/>
            <w:tcMar>
              <w:top w:w="0" w:type="dxa"/>
              <w:left w:w="17" w:type="dxa"/>
              <w:bottom w:w="0" w:type="dxa"/>
              <w:right w:w="17" w:type="dxa"/>
            </w:tcMar>
            <w:vAlign w:val="center"/>
          </w:tcPr>
          <w:p w14:paraId="3FB730F1">
            <w:pPr>
              <w:spacing w:line="298" w:lineRule="exact"/>
              <w:rPr>
                <w:rFonts w:hint="eastAsia" w:ascii="方正仿宋_GBK" w:hAnsi="方正仿宋_GBK" w:eastAsia="方正仿宋_GBK" w:cs="方正仿宋_GBK"/>
                <w:sz w:val="21"/>
                <w:szCs w:val="21"/>
              </w:rPr>
            </w:pPr>
          </w:p>
        </w:tc>
      </w:tr>
      <w:tr w14:paraId="6CA3E46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11CF76FA">
            <w:pPr>
              <w:spacing w:line="298" w:lineRule="exact"/>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0D1B7174">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34．压减纳税时间</w:t>
            </w:r>
          </w:p>
        </w:tc>
        <w:tc>
          <w:tcPr>
            <w:tcW w:w="5077" w:type="dxa"/>
            <w:noWrap w:val="0"/>
            <w:tcMar>
              <w:top w:w="0" w:type="dxa"/>
              <w:left w:w="17" w:type="dxa"/>
              <w:bottom w:w="0" w:type="dxa"/>
              <w:right w:w="17" w:type="dxa"/>
            </w:tcMar>
            <w:vAlign w:val="center"/>
          </w:tcPr>
          <w:p w14:paraId="7CA9B3FE">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（1）房产交易涉税业务“一窗式”办理。推动房产、土地、婚姻登记、人口信息数据共享，2019年底前实现“一窗式”办理房产交易涉税业务。</w:t>
            </w:r>
          </w:p>
        </w:tc>
        <w:tc>
          <w:tcPr>
            <w:tcW w:w="1064" w:type="dxa"/>
            <w:noWrap w:val="0"/>
            <w:tcMar>
              <w:top w:w="0" w:type="dxa"/>
              <w:left w:w="17" w:type="dxa"/>
              <w:bottom w:w="0" w:type="dxa"/>
              <w:right w:w="17" w:type="dxa"/>
            </w:tcMar>
            <w:vAlign w:val="center"/>
          </w:tcPr>
          <w:p w14:paraId="42D9ED25">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区税务局</w:t>
            </w:r>
          </w:p>
        </w:tc>
        <w:tc>
          <w:tcPr>
            <w:tcW w:w="1302" w:type="dxa"/>
            <w:noWrap w:val="0"/>
            <w:tcMar>
              <w:top w:w="0" w:type="dxa"/>
              <w:left w:w="17" w:type="dxa"/>
              <w:bottom w:w="0" w:type="dxa"/>
              <w:right w:w="17" w:type="dxa"/>
            </w:tcMar>
            <w:vAlign w:val="center"/>
          </w:tcPr>
          <w:p w14:paraId="7CD9A833">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民政局、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公安局</w:t>
            </w:r>
          </w:p>
        </w:tc>
      </w:tr>
      <w:tr w14:paraId="73E7307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F2ED352">
            <w:pPr>
              <w:spacing w:line="298" w:lineRule="exact"/>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7DFF92C5">
            <w:pPr>
              <w:spacing w:line="298" w:lineRule="exact"/>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5C507051">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（2）压缩住房公积金办理时限。拓展住房公积金缴存业务在线办理覆盖面，推行个人开户、专户转移、封存启封、基数调整、汇补缴等缴存业务在线办理，大力压缩住房公积金办理时限。</w:t>
            </w:r>
          </w:p>
        </w:tc>
        <w:tc>
          <w:tcPr>
            <w:tcW w:w="1064" w:type="dxa"/>
            <w:noWrap w:val="0"/>
            <w:tcMar>
              <w:top w:w="0" w:type="dxa"/>
              <w:left w:w="17" w:type="dxa"/>
              <w:bottom w:w="0" w:type="dxa"/>
              <w:right w:w="17" w:type="dxa"/>
            </w:tcMar>
            <w:vAlign w:val="center"/>
          </w:tcPr>
          <w:p w14:paraId="78ADF1D9">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住房公积金管理中心</w:t>
            </w:r>
          </w:p>
        </w:tc>
        <w:tc>
          <w:tcPr>
            <w:tcW w:w="1302" w:type="dxa"/>
            <w:noWrap w:val="0"/>
            <w:tcMar>
              <w:top w:w="0" w:type="dxa"/>
              <w:left w:w="17" w:type="dxa"/>
              <w:bottom w:w="0" w:type="dxa"/>
              <w:right w:w="17" w:type="dxa"/>
            </w:tcMar>
            <w:vAlign w:val="center"/>
          </w:tcPr>
          <w:p w14:paraId="6A48A14D">
            <w:pPr>
              <w:spacing w:line="298" w:lineRule="exact"/>
              <w:rPr>
                <w:rFonts w:hint="eastAsia" w:ascii="方正仿宋_GBK" w:hAnsi="方正仿宋_GBK" w:eastAsia="方正仿宋_GBK" w:cs="方正仿宋_GBK"/>
                <w:sz w:val="21"/>
                <w:szCs w:val="21"/>
              </w:rPr>
            </w:pPr>
          </w:p>
        </w:tc>
      </w:tr>
      <w:tr w14:paraId="6B3B244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3E1D3181">
            <w:pPr>
              <w:spacing w:line="298" w:lineRule="exact"/>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1C712F1A">
            <w:pPr>
              <w:spacing w:line="298" w:lineRule="exact"/>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654F73F2">
            <w:pPr>
              <w:spacing w:line="298" w:lineRule="exact"/>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（3）构建智能化电子税务局。推进“互联网+税务”建设，大力发展自助办税、移动办税，不断完善电子税务局业务功能，提高电子税务局业务办理替代率，缩减纳税人平均办税时间。</w:t>
            </w:r>
          </w:p>
        </w:tc>
        <w:tc>
          <w:tcPr>
            <w:tcW w:w="1064" w:type="dxa"/>
            <w:noWrap w:val="0"/>
            <w:tcMar>
              <w:top w:w="0" w:type="dxa"/>
              <w:left w:w="17" w:type="dxa"/>
              <w:bottom w:w="0" w:type="dxa"/>
              <w:right w:w="17" w:type="dxa"/>
            </w:tcMar>
            <w:vAlign w:val="center"/>
          </w:tcPr>
          <w:p w14:paraId="39B5F8F3">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区税务局</w:t>
            </w:r>
          </w:p>
        </w:tc>
        <w:tc>
          <w:tcPr>
            <w:tcW w:w="1302" w:type="dxa"/>
            <w:noWrap w:val="0"/>
            <w:tcMar>
              <w:top w:w="0" w:type="dxa"/>
              <w:left w:w="17" w:type="dxa"/>
              <w:bottom w:w="0" w:type="dxa"/>
              <w:right w:w="17" w:type="dxa"/>
            </w:tcMar>
            <w:vAlign w:val="center"/>
          </w:tcPr>
          <w:p w14:paraId="3F18C9C9">
            <w:pPr>
              <w:spacing w:line="298" w:lineRule="exact"/>
              <w:rPr>
                <w:rFonts w:hint="eastAsia" w:ascii="方正仿宋_GBK" w:hAnsi="方正仿宋_GBK" w:eastAsia="方正仿宋_GBK" w:cs="方正仿宋_GBK"/>
                <w:sz w:val="21"/>
                <w:szCs w:val="21"/>
              </w:rPr>
            </w:pPr>
          </w:p>
        </w:tc>
      </w:tr>
      <w:tr w14:paraId="25BB5C8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9BA1CAF">
            <w:pPr>
              <w:spacing w:line="298" w:lineRule="exact"/>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649FF959">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35．降低总税收和缴费率</w:t>
            </w:r>
          </w:p>
        </w:tc>
        <w:tc>
          <w:tcPr>
            <w:tcW w:w="5077" w:type="dxa"/>
            <w:noWrap w:val="0"/>
            <w:tcMar>
              <w:top w:w="0" w:type="dxa"/>
              <w:left w:w="17" w:type="dxa"/>
              <w:bottom w:w="0" w:type="dxa"/>
              <w:right w:w="17" w:type="dxa"/>
            </w:tcMar>
            <w:vAlign w:val="center"/>
          </w:tcPr>
          <w:p w14:paraId="6FCBE6F7">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对增值税小规模纳税人减按50%征收资源税、城市维护建设税、房产税、城镇土地使用税、印花税（不含证券交易印花税）、耕地占用税和教育费附加、地方教育附加。</w:t>
            </w:r>
          </w:p>
        </w:tc>
        <w:tc>
          <w:tcPr>
            <w:tcW w:w="1064" w:type="dxa"/>
            <w:noWrap w:val="0"/>
            <w:tcMar>
              <w:top w:w="0" w:type="dxa"/>
              <w:left w:w="17" w:type="dxa"/>
              <w:bottom w:w="0" w:type="dxa"/>
              <w:right w:w="17" w:type="dxa"/>
            </w:tcMar>
            <w:vAlign w:val="center"/>
          </w:tcPr>
          <w:p w14:paraId="05F7D9C0">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p>
        </w:tc>
        <w:tc>
          <w:tcPr>
            <w:tcW w:w="1302" w:type="dxa"/>
            <w:noWrap w:val="0"/>
            <w:tcMar>
              <w:top w:w="0" w:type="dxa"/>
              <w:left w:w="17" w:type="dxa"/>
              <w:bottom w:w="0" w:type="dxa"/>
              <w:right w:w="17" w:type="dxa"/>
            </w:tcMar>
            <w:vAlign w:val="center"/>
          </w:tcPr>
          <w:p w14:paraId="5D328BAD">
            <w:pPr>
              <w:spacing w:line="298"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区税务局</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r>
              <w:rPr>
                <w:rFonts w:hint="eastAsia" w:ascii="方正仿宋_GBK" w:hAnsi="方正仿宋_GBK" w:eastAsia="方正仿宋_GBK" w:cs="方正仿宋_GBK"/>
                <w:color w:val="auto"/>
                <w:sz w:val="21"/>
                <w:szCs w:val="21"/>
                <w:lang w:eastAsia="zh-CN"/>
              </w:rPr>
              <w:t>区医疗保障</w:t>
            </w:r>
            <w:r>
              <w:rPr>
                <w:rFonts w:hint="eastAsia" w:ascii="方正仿宋_GBK" w:hAnsi="方正仿宋_GBK" w:eastAsia="方正仿宋_GBK" w:cs="方正仿宋_GBK"/>
                <w:color w:val="auto"/>
                <w:sz w:val="21"/>
                <w:szCs w:val="21"/>
              </w:rPr>
              <w:t>局</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住房公积金管理中心</w:t>
            </w:r>
          </w:p>
        </w:tc>
      </w:tr>
      <w:tr w14:paraId="30A46DA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719ACF2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八、纳税</w:t>
            </w:r>
          </w:p>
        </w:tc>
        <w:tc>
          <w:tcPr>
            <w:tcW w:w="1147" w:type="dxa"/>
            <w:vMerge w:val="restart"/>
            <w:noWrap w:val="0"/>
            <w:tcMar>
              <w:top w:w="0" w:type="dxa"/>
              <w:left w:w="17" w:type="dxa"/>
              <w:bottom w:w="0" w:type="dxa"/>
              <w:right w:w="17" w:type="dxa"/>
            </w:tcMar>
            <w:vAlign w:val="center"/>
          </w:tcPr>
          <w:p w14:paraId="309F754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36．优化报税后流程指数</w:t>
            </w:r>
          </w:p>
        </w:tc>
        <w:tc>
          <w:tcPr>
            <w:tcW w:w="5077" w:type="dxa"/>
            <w:noWrap w:val="0"/>
            <w:tcMar>
              <w:top w:w="0" w:type="dxa"/>
              <w:left w:w="17" w:type="dxa"/>
              <w:bottom w:w="0" w:type="dxa"/>
              <w:right w:w="17" w:type="dxa"/>
            </w:tcMar>
            <w:vAlign w:val="center"/>
          </w:tcPr>
          <w:p w14:paraId="3FD9D54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（1）企业所得税网上更正申报。依托</w:t>
            </w:r>
            <w:r>
              <w:rPr>
                <w:rFonts w:hint="eastAsia" w:ascii="方正仿宋_GBK" w:hAnsi="方正仿宋_GBK" w:eastAsia="方正仿宋_GBK" w:cs="方正仿宋_GBK"/>
                <w:sz w:val="21"/>
                <w:szCs w:val="21"/>
                <w:lang w:eastAsia="zh-CN"/>
              </w:rPr>
              <w:t>市税务局开发的</w:t>
            </w:r>
            <w:r>
              <w:rPr>
                <w:rFonts w:hint="eastAsia" w:ascii="方正仿宋_GBK" w:hAnsi="方正仿宋_GBK" w:eastAsia="方正仿宋_GBK" w:cs="方正仿宋_GBK"/>
                <w:sz w:val="21"/>
                <w:szCs w:val="21"/>
              </w:rPr>
              <w:t>电子税务局，实现纳税人对企业所得税申报、预缴、汇算清缴数据进行网上更正和补缴相应税款。</w:t>
            </w:r>
          </w:p>
        </w:tc>
        <w:tc>
          <w:tcPr>
            <w:tcW w:w="1064" w:type="dxa"/>
            <w:noWrap w:val="0"/>
            <w:tcMar>
              <w:top w:w="0" w:type="dxa"/>
              <w:left w:w="17" w:type="dxa"/>
              <w:bottom w:w="0" w:type="dxa"/>
              <w:right w:w="17" w:type="dxa"/>
            </w:tcMar>
            <w:vAlign w:val="center"/>
          </w:tcPr>
          <w:p w14:paraId="53A9C6F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区税务局</w:t>
            </w:r>
          </w:p>
        </w:tc>
        <w:tc>
          <w:tcPr>
            <w:tcW w:w="1302" w:type="dxa"/>
            <w:noWrap w:val="0"/>
            <w:tcMar>
              <w:top w:w="0" w:type="dxa"/>
              <w:left w:w="17" w:type="dxa"/>
              <w:bottom w:w="0" w:type="dxa"/>
              <w:right w:w="17" w:type="dxa"/>
            </w:tcMar>
            <w:vAlign w:val="center"/>
          </w:tcPr>
          <w:p w14:paraId="21603F5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人行万州中心支行</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海关</w:t>
            </w:r>
          </w:p>
        </w:tc>
      </w:tr>
      <w:tr w14:paraId="13FACC1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5012B7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2F2F614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604C6C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（2）推行全程电子退税。推进退税电子化，2019年底前实现退税审核、退库业务全流程网上办理，有效缩减退库办理时间。</w:t>
            </w:r>
          </w:p>
        </w:tc>
        <w:tc>
          <w:tcPr>
            <w:tcW w:w="1064" w:type="dxa"/>
            <w:noWrap w:val="0"/>
            <w:tcMar>
              <w:top w:w="0" w:type="dxa"/>
              <w:left w:w="17" w:type="dxa"/>
              <w:bottom w:w="0" w:type="dxa"/>
              <w:right w:w="17" w:type="dxa"/>
            </w:tcMar>
            <w:vAlign w:val="center"/>
          </w:tcPr>
          <w:p w14:paraId="217FF5B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区税务局</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人行万州中心支行</w:t>
            </w:r>
          </w:p>
        </w:tc>
        <w:tc>
          <w:tcPr>
            <w:tcW w:w="1302" w:type="dxa"/>
            <w:noWrap w:val="0"/>
            <w:tcMar>
              <w:top w:w="0" w:type="dxa"/>
              <w:left w:w="17" w:type="dxa"/>
              <w:bottom w:w="0" w:type="dxa"/>
              <w:right w:w="17" w:type="dxa"/>
            </w:tcMar>
            <w:vAlign w:val="center"/>
          </w:tcPr>
          <w:p w14:paraId="2FB4A9B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648B5A4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7433731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九、跨境贸易</w:t>
            </w:r>
          </w:p>
        </w:tc>
        <w:tc>
          <w:tcPr>
            <w:tcW w:w="1147" w:type="dxa"/>
            <w:vMerge w:val="restart"/>
            <w:noWrap w:val="0"/>
            <w:tcMar>
              <w:top w:w="0" w:type="dxa"/>
              <w:left w:w="17" w:type="dxa"/>
              <w:bottom w:w="0" w:type="dxa"/>
              <w:right w:w="17" w:type="dxa"/>
            </w:tcMar>
            <w:vAlign w:val="center"/>
          </w:tcPr>
          <w:p w14:paraId="16581DF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37．压减出口边境审核耗时</w:t>
            </w:r>
          </w:p>
        </w:tc>
        <w:tc>
          <w:tcPr>
            <w:tcW w:w="5077" w:type="dxa"/>
            <w:noWrap w:val="0"/>
            <w:tcMar>
              <w:top w:w="0" w:type="dxa"/>
              <w:left w:w="17" w:type="dxa"/>
              <w:bottom w:w="0" w:type="dxa"/>
              <w:right w:w="17" w:type="dxa"/>
            </w:tcMar>
            <w:vAlign w:val="center"/>
          </w:tcPr>
          <w:p w14:paraId="0F2B79C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（1）推行口岸作业单证电子化流转。依托</w:t>
            </w:r>
            <w:r>
              <w:rPr>
                <w:rFonts w:hint="eastAsia" w:ascii="方正仿宋_GBK" w:hAnsi="方正仿宋_GBK" w:eastAsia="方正仿宋_GBK" w:cs="方正仿宋_GBK"/>
                <w:sz w:val="21"/>
                <w:szCs w:val="21"/>
                <w:lang w:eastAsia="zh-CN"/>
              </w:rPr>
              <w:t>重庆</w:t>
            </w:r>
            <w:r>
              <w:rPr>
                <w:rFonts w:hint="eastAsia" w:ascii="方正仿宋_GBK" w:hAnsi="方正仿宋_GBK" w:eastAsia="方正仿宋_GBK" w:cs="方正仿宋_GBK"/>
                <w:sz w:val="21"/>
                <w:szCs w:val="21"/>
              </w:rPr>
              <w:t>国际贸易“单一窗口”等信息平台，以电子化方式传输和接收飞机起降、车船到发等各环节需要提交、申报、交换的单证（有特殊需求必须提供纸质单证的除外）。通过系统及时向进出口企业、货代、报关行、口岸作业场站推送查验通知，增强通关时效的可预期性。</w:t>
            </w:r>
          </w:p>
        </w:tc>
        <w:tc>
          <w:tcPr>
            <w:tcW w:w="1064" w:type="dxa"/>
            <w:noWrap w:val="0"/>
            <w:tcMar>
              <w:top w:w="0" w:type="dxa"/>
              <w:left w:w="17" w:type="dxa"/>
              <w:bottom w:w="0" w:type="dxa"/>
              <w:right w:w="17" w:type="dxa"/>
            </w:tcMar>
            <w:vAlign w:val="center"/>
          </w:tcPr>
          <w:p w14:paraId="3923CE3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物流办、</w:t>
            </w: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海关</w:t>
            </w:r>
          </w:p>
        </w:tc>
        <w:tc>
          <w:tcPr>
            <w:tcW w:w="1302" w:type="dxa"/>
            <w:noWrap w:val="0"/>
            <w:tcMar>
              <w:top w:w="0" w:type="dxa"/>
              <w:left w:w="17" w:type="dxa"/>
              <w:bottom w:w="0" w:type="dxa"/>
              <w:right w:w="17" w:type="dxa"/>
            </w:tcMar>
            <w:vAlign w:val="center"/>
          </w:tcPr>
          <w:p w14:paraId="583D2EB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7972075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8E1CAD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40D2974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0F5EAEF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（2）公开口岸物流作业时限。制定并公开口岸经营服务企业场内转运、吊箱移位、掏箱和货方提箱等操作时限标准。</w:t>
            </w:r>
          </w:p>
        </w:tc>
        <w:tc>
          <w:tcPr>
            <w:tcW w:w="1064" w:type="dxa"/>
            <w:noWrap w:val="0"/>
            <w:tcMar>
              <w:top w:w="0" w:type="dxa"/>
              <w:left w:w="17" w:type="dxa"/>
              <w:bottom w:w="0" w:type="dxa"/>
              <w:right w:w="17" w:type="dxa"/>
            </w:tcMar>
            <w:vAlign w:val="center"/>
          </w:tcPr>
          <w:p w14:paraId="58AA84E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物流办</w:t>
            </w:r>
          </w:p>
        </w:tc>
        <w:tc>
          <w:tcPr>
            <w:tcW w:w="1302" w:type="dxa"/>
            <w:noWrap w:val="0"/>
            <w:tcMar>
              <w:top w:w="0" w:type="dxa"/>
              <w:left w:w="17" w:type="dxa"/>
              <w:bottom w:w="0" w:type="dxa"/>
              <w:right w:w="17" w:type="dxa"/>
            </w:tcMar>
            <w:vAlign w:val="center"/>
          </w:tcPr>
          <w:p w14:paraId="14489BC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海关</w:t>
            </w:r>
          </w:p>
        </w:tc>
      </w:tr>
      <w:tr w14:paraId="73837DE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797F2B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7F1F9E4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38．降低进出口边境审核费用</w:t>
            </w:r>
          </w:p>
        </w:tc>
        <w:tc>
          <w:tcPr>
            <w:tcW w:w="5077" w:type="dxa"/>
            <w:noWrap w:val="0"/>
            <w:tcMar>
              <w:top w:w="0" w:type="dxa"/>
              <w:left w:w="17" w:type="dxa"/>
              <w:bottom w:w="0" w:type="dxa"/>
              <w:right w:w="17" w:type="dxa"/>
            </w:tcMar>
            <w:vAlign w:val="center"/>
          </w:tcPr>
          <w:p w14:paraId="303176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（1）降低集装箱进出口环节合规成本。持续推动降低报关、货代、船代、物流、仓储、场站服务等环节经营服务性收费。</w:t>
            </w:r>
          </w:p>
        </w:tc>
        <w:tc>
          <w:tcPr>
            <w:tcW w:w="1064" w:type="dxa"/>
            <w:noWrap w:val="0"/>
            <w:tcMar>
              <w:top w:w="0" w:type="dxa"/>
              <w:left w:w="17" w:type="dxa"/>
              <w:bottom w:w="0" w:type="dxa"/>
              <w:right w:w="17" w:type="dxa"/>
            </w:tcMar>
            <w:vAlign w:val="center"/>
          </w:tcPr>
          <w:p w14:paraId="2026A00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物流办、</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p>
        </w:tc>
        <w:tc>
          <w:tcPr>
            <w:tcW w:w="1302" w:type="dxa"/>
            <w:noWrap w:val="0"/>
            <w:tcMar>
              <w:top w:w="0" w:type="dxa"/>
              <w:left w:w="17" w:type="dxa"/>
              <w:bottom w:w="0" w:type="dxa"/>
              <w:right w:w="17" w:type="dxa"/>
            </w:tcMar>
            <w:vAlign w:val="center"/>
          </w:tcPr>
          <w:p w14:paraId="0A2587F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r>
      <w:tr w14:paraId="6FCE6F0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92C639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4E224A3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F2C311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（2）规范口岸经营服务性收费。《</w:t>
            </w:r>
            <w:r>
              <w:rPr>
                <w:rFonts w:hint="eastAsia" w:ascii="方正仿宋_GBK" w:hAnsi="方正仿宋_GBK" w:eastAsia="方正仿宋_GBK" w:cs="方正仿宋_GBK"/>
                <w:sz w:val="21"/>
                <w:szCs w:val="21"/>
                <w:lang w:eastAsia="zh-CN"/>
              </w:rPr>
              <w:t>重庆</w:t>
            </w:r>
            <w:r>
              <w:rPr>
                <w:rFonts w:hint="eastAsia" w:ascii="方正仿宋_GBK" w:hAnsi="方正仿宋_GBK" w:eastAsia="方正仿宋_GBK" w:cs="方正仿宋_GBK"/>
                <w:sz w:val="21"/>
                <w:szCs w:val="21"/>
              </w:rPr>
              <w:t>口岸进出口收费目录清单》以外的项目一律不得收费。</w:t>
            </w:r>
            <w:r>
              <w:rPr>
                <w:rFonts w:hint="eastAsia" w:ascii="方正仿宋_GBK" w:hAnsi="方正仿宋_GBK" w:eastAsia="方正仿宋_GBK" w:cs="方正仿宋_GBK"/>
                <w:sz w:val="21"/>
                <w:szCs w:val="21"/>
                <w:lang w:eastAsia="zh-CN"/>
              </w:rPr>
              <w:t>及时执行市级</w:t>
            </w:r>
            <w:r>
              <w:rPr>
                <w:rFonts w:hint="eastAsia" w:ascii="方正仿宋_GBK" w:hAnsi="方正仿宋_GBK" w:eastAsia="方正仿宋_GBK" w:cs="方正仿宋_GBK"/>
                <w:sz w:val="21"/>
                <w:szCs w:val="21"/>
              </w:rPr>
              <w:t>动态调整口岸收费目录清单，并及时向社会公布。</w:t>
            </w:r>
          </w:p>
        </w:tc>
        <w:tc>
          <w:tcPr>
            <w:tcW w:w="1064" w:type="dxa"/>
            <w:noWrap w:val="0"/>
            <w:tcMar>
              <w:top w:w="0" w:type="dxa"/>
              <w:left w:w="17" w:type="dxa"/>
              <w:bottom w:w="0" w:type="dxa"/>
              <w:right w:w="17" w:type="dxa"/>
            </w:tcMar>
            <w:vAlign w:val="center"/>
          </w:tcPr>
          <w:p w14:paraId="0CB452D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物流办</w:t>
            </w:r>
          </w:p>
        </w:tc>
        <w:tc>
          <w:tcPr>
            <w:tcW w:w="1302" w:type="dxa"/>
            <w:noWrap w:val="0"/>
            <w:tcMar>
              <w:top w:w="0" w:type="dxa"/>
              <w:left w:w="17" w:type="dxa"/>
              <w:bottom w:w="0" w:type="dxa"/>
              <w:right w:w="17" w:type="dxa"/>
            </w:tcMar>
            <w:vAlign w:val="center"/>
          </w:tcPr>
          <w:p w14:paraId="19A15F5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r>
      <w:tr w14:paraId="6BA126F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3AE1EE3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0CD3389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39．压减进出口单证审核耗时</w:t>
            </w:r>
          </w:p>
        </w:tc>
        <w:tc>
          <w:tcPr>
            <w:tcW w:w="5077" w:type="dxa"/>
            <w:noWrap w:val="0"/>
            <w:tcMar>
              <w:top w:w="0" w:type="dxa"/>
              <w:left w:w="17" w:type="dxa"/>
              <w:bottom w:w="0" w:type="dxa"/>
              <w:right w:w="17" w:type="dxa"/>
            </w:tcMar>
            <w:vAlign w:val="center"/>
          </w:tcPr>
          <w:p w14:paraId="4C6A0CF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（1）推行</w:t>
            </w: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口岸7×24小时通关全覆盖</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做到全天候实时通关。</w:t>
            </w:r>
          </w:p>
        </w:tc>
        <w:tc>
          <w:tcPr>
            <w:tcW w:w="1064" w:type="dxa"/>
            <w:noWrap w:val="0"/>
            <w:tcMar>
              <w:top w:w="0" w:type="dxa"/>
              <w:left w:w="17" w:type="dxa"/>
              <w:bottom w:w="0" w:type="dxa"/>
              <w:right w:w="17" w:type="dxa"/>
            </w:tcMar>
            <w:vAlign w:val="center"/>
          </w:tcPr>
          <w:p w14:paraId="217A013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物流办</w:t>
            </w:r>
          </w:p>
        </w:tc>
        <w:tc>
          <w:tcPr>
            <w:tcW w:w="1302" w:type="dxa"/>
            <w:noWrap w:val="0"/>
            <w:tcMar>
              <w:top w:w="0" w:type="dxa"/>
              <w:left w:w="17" w:type="dxa"/>
              <w:bottom w:w="0" w:type="dxa"/>
              <w:right w:w="17" w:type="dxa"/>
            </w:tcMar>
            <w:vAlign w:val="center"/>
          </w:tcPr>
          <w:p w14:paraId="00E655E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海关</w:t>
            </w:r>
          </w:p>
        </w:tc>
      </w:tr>
      <w:tr w14:paraId="67F3514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093A47D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061400D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0E7408D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（2）大力推广“提前申报”。引导企业提前办理单证审核和货物运输作业，货物运抵口岸或海关监管区时即可办理查验放行手续。压缩整体通关时间，2019年底前实现口岸整体通关时间在2017年基础上压缩60%。</w:t>
            </w:r>
          </w:p>
        </w:tc>
        <w:tc>
          <w:tcPr>
            <w:tcW w:w="1064" w:type="dxa"/>
            <w:noWrap w:val="0"/>
            <w:tcMar>
              <w:top w:w="0" w:type="dxa"/>
              <w:left w:w="17" w:type="dxa"/>
              <w:bottom w:w="0" w:type="dxa"/>
              <w:right w:w="17" w:type="dxa"/>
            </w:tcMar>
            <w:vAlign w:val="center"/>
          </w:tcPr>
          <w:p w14:paraId="17EFE45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海关</w:t>
            </w:r>
          </w:p>
        </w:tc>
        <w:tc>
          <w:tcPr>
            <w:tcW w:w="1302" w:type="dxa"/>
            <w:noWrap w:val="0"/>
            <w:tcMar>
              <w:top w:w="0" w:type="dxa"/>
              <w:left w:w="17" w:type="dxa"/>
              <w:bottom w:w="0" w:type="dxa"/>
              <w:right w:w="17" w:type="dxa"/>
            </w:tcMar>
            <w:vAlign w:val="center"/>
          </w:tcPr>
          <w:p w14:paraId="2E27CEF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物流办</w:t>
            </w:r>
          </w:p>
        </w:tc>
      </w:tr>
      <w:tr w14:paraId="5E1B7AA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BA37FD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7BCFC8B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40．降低进出口单证审核费用</w:t>
            </w:r>
          </w:p>
        </w:tc>
        <w:tc>
          <w:tcPr>
            <w:tcW w:w="5077" w:type="dxa"/>
            <w:noWrap w:val="0"/>
            <w:tcMar>
              <w:top w:w="0" w:type="dxa"/>
              <w:left w:w="17" w:type="dxa"/>
              <w:bottom w:w="0" w:type="dxa"/>
              <w:right w:w="17" w:type="dxa"/>
            </w:tcMar>
            <w:vAlign w:val="center"/>
          </w:tcPr>
          <w:p w14:paraId="71D3E5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除企业自理报关外，进出口单证均为电子数据上传和零费用。进出口环节验核的监管证件由86种减至46种，除安全保密需要等特殊情况外，全部实现在通关环节联网比对核查。</w:t>
            </w:r>
          </w:p>
        </w:tc>
        <w:tc>
          <w:tcPr>
            <w:tcW w:w="1064" w:type="dxa"/>
            <w:noWrap w:val="0"/>
            <w:tcMar>
              <w:top w:w="0" w:type="dxa"/>
              <w:left w:w="17" w:type="dxa"/>
              <w:bottom w:w="0" w:type="dxa"/>
              <w:right w:w="17" w:type="dxa"/>
            </w:tcMar>
            <w:vAlign w:val="center"/>
          </w:tcPr>
          <w:p w14:paraId="17FD1EF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海关</w:t>
            </w:r>
          </w:p>
        </w:tc>
        <w:tc>
          <w:tcPr>
            <w:tcW w:w="1302" w:type="dxa"/>
            <w:noWrap w:val="0"/>
            <w:tcMar>
              <w:top w:w="0" w:type="dxa"/>
              <w:left w:w="17" w:type="dxa"/>
              <w:bottom w:w="0" w:type="dxa"/>
              <w:right w:w="17" w:type="dxa"/>
            </w:tcMar>
            <w:vAlign w:val="center"/>
          </w:tcPr>
          <w:p w14:paraId="3592969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物流办、</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商务委</w:t>
            </w:r>
          </w:p>
        </w:tc>
      </w:tr>
      <w:tr w14:paraId="6D32DCA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0837BEC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0F0C3CF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41．提高跨境贸易便利度</w:t>
            </w:r>
          </w:p>
        </w:tc>
        <w:tc>
          <w:tcPr>
            <w:tcW w:w="5077" w:type="dxa"/>
            <w:noWrap w:val="0"/>
            <w:tcMar>
              <w:top w:w="0" w:type="dxa"/>
              <w:left w:w="17" w:type="dxa"/>
              <w:bottom w:w="0" w:type="dxa"/>
              <w:right w:w="17" w:type="dxa"/>
            </w:tcMar>
            <w:vAlign w:val="center"/>
          </w:tcPr>
          <w:p w14:paraId="717C4DF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根据全市智慧口岸建设统一要求，</w:t>
            </w:r>
            <w:r>
              <w:rPr>
                <w:rFonts w:hint="eastAsia" w:ascii="方正仿宋_GBK" w:hAnsi="方正仿宋_GBK" w:eastAsia="方正仿宋_GBK" w:cs="方正仿宋_GBK"/>
                <w:sz w:val="21"/>
                <w:szCs w:val="21"/>
              </w:rPr>
              <w:t>推动口岸基础设施建设和信息系统互联互通，实现“隐形监管”“顺势监管”和无感通关，便利人员和货物快速通关。</w:t>
            </w:r>
          </w:p>
        </w:tc>
        <w:tc>
          <w:tcPr>
            <w:tcW w:w="1064" w:type="dxa"/>
            <w:noWrap w:val="0"/>
            <w:tcMar>
              <w:top w:w="0" w:type="dxa"/>
              <w:left w:w="17" w:type="dxa"/>
              <w:bottom w:w="0" w:type="dxa"/>
              <w:right w:w="17" w:type="dxa"/>
            </w:tcMar>
            <w:vAlign w:val="center"/>
          </w:tcPr>
          <w:p w14:paraId="7502336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物流办</w:t>
            </w:r>
          </w:p>
        </w:tc>
        <w:tc>
          <w:tcPr>
            <w:tcW w:w="1302" w:type="dxa"/>
            <w:noWrap w:val="0"/>
            <w:tcMar>
              <w:top w:w="0" w:type="dxa"/>
              <w:left w:w="17" w:type="dxa"/>
              <w:bottom w:w="0" w:type="dxa"/>
              <w:right w:w="17" w:type="dxa"/>
            </w:tcMar>
            <w:vAlign w:val="center"/>
          </w:tcPr>
          <w:p w14:paraId="30367F5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海关</w:t>
            </w:r>
          </w:p>
        </w:tc>
      </w:tr>
      <w:tr w14:paraId="2D8D283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DC0F5E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08B54E7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17753F2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（2）深</w:t>
            </w:r>
            <w:r>
              <w:rPr>
                <w:rFonts w:hint="eastAsia" w:ascii="方正仿宋_GBK" w:hAnsi="方正仿宋_GBK" w:eastAsia="方正仿宋_GBK" w:cs="方正仿宋_GBK"/>
                <w:sz w:val="21"/>
                <w:szCs w:val="21"/>
                <w:lang w:eastAsia="zh-CN"/>
              </w:rPr>
              <w:t>入推广、宣传</w:t>
            </w:r>
            <w:r>
              <w:rPr>
                <w:rFonts w:hint="eastAsia" w:ascii="方正仿宋_GBK" w:hAnsi="方正仿宋_GBK" w:eastAsia="方正仿宋_GBK" w:cs="方正仿宋_GBK"/>
                <w:sz w:val="21"/>
                <w:szCs w:val="21"/>
              </w:rPr>
              <w:t>“单一窗口”功能。2019年底前“单一窗口”主要业务（货物、舱单、运输工具申报）应用率达到100%。</w:t>
            </w:r>
          </w:p>
        </w:tc>
        <w:tc>
          <w:tcPr>
            <w:tcW w:w="1064" w:type="dxa"/>
            <w:noWrap w:val="0"/>
            <w:tcMar>
              <w:top w:w="0" w:type="dxa"/>
              <w:left w:w="17" w:type="dxa"/>
              <w:bottom w:w="0" w:type="dxa"/>
              <w:right w:w="17" w:type="dxa"/>
            </w:tcMar>
            <w:vAlign w:val="center"/>
          </w:tcPr>
          <w:p w14:paraId="18DC3D2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物流办</w:t>
            </w:r>
          </w:p>
        </w:tc>
        <w:tc>
          <w:tcPr>
            <w:tcW w:w="1302" w:type="dxa"/>
            <w:noWrap w:val="0"/>
            <w:tcMar>
              <w:top w:w="0" w:type="dxa"/>
              <w:left w:w="17" w:type="dxa"/>
              <w:bottom w:w="0" w:type="dxa"/>
              <w:right w:w="17" w:type="dxa"/>
            </w:tcMar>
            <w:vAlign w:val="center"/>
          </w:tcPr>
          <w:p w14:paraId="2349993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海关、</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r>
      <w:tr w14:paraId="3095EE1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124D72A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十、办理破产</w:t>
            </w:r>
          </w:p>
        </w:tc>
        <w:tc>
          <w:tcPr>
            <w:tcW w:w="1147" w:type="dxa"/>
            <w:noWrap w:val="0"/>
            <w:tcMar>
              <w:top w:w="0" w:type="dxa"/>
              <w:left w:w="17" w:type="dxa"/>
              <w:bottom w:w="0" w:type="dxa"/>
              <w:right w:w="17" w:type="dxa"/>
            </w:tcMar>
            <w:vAlign w:val="center"/>
          </w:tcPr>
          <w:p w14:paraId="749728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42．压减收回债务所需的时间</w:t>
            </w:r>
          </w:p>
        </w:tc>
        <w:tc>
          <w:tcPr>
            <w:tcW w:w="5077" w:type="dxa"/>
            <w:noWrap w:val="0"/>
            <w:tcMar>
              <w:top w:w="0" w:type="dxa"/>
              <w:left w:w="17" w:type="dxa"/>
              <w:bottom w:w="0" w:type="dxa"/>
              <w:right w:w="17" w:type="dxa"/>
            </w:tcMar>
            <w:vAlign w:val="center"/>
          </w:tcPr>
          <w:p w14:paraId="1A60F86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加快债权债务清理、破产财产审计评估速度，推进破产案件繁简分流，</w:t>
            </w:r>
            <w:r>
              <w:rPr>
                <w:rFonts w:hint="eastAsia" w:ascii="方正仿宋_GBK" w:hAnsi="方正仿宋_GBK" w:eastAsia="方正仿宋_GBK" w:cs="方正仿宋_GBK"/>
                <w:sz w:val="21"/>
                <w:szCs w:val="21"/>
                <w:lang w:eastAsia="zh-CN"/>
              </w:rPr>
              <w:t>及时贯彻</w:t>
            </w:r>
            <w:r>
              <w:rPr>
                <w:rFonts w:hint="eastAsia" w:ascii="方正仿宋_GBK" w:hAnsi="方正仿宋_GBK" w:eastAsia="方正仿宋_GBK" w:cs="方正仿宋_GBK"/>
                <w:sz w:val="21"/>
                <w:szCs w:val="21"/>
              </w:rPr>
              <w:t>2019年底前出台</w:t>
            </w:r>
            <w:r>
              <w:rPr>
                <w:rFonts w:hint="eastAsia" w:ascii="方正仿宋_GBK" w:hAnsi="方正仿宋_GBK" w:eastAsia="方正仿宋_GBK" w:cs="方正仿宋_GBK"/>
                <w:sz w:val="21"/>
                <w:szCs w:val="21"/>
                <w:lang w:eastAsia="zh-CN"/>
              </w:rPr>
              <w:t>的</w:t>
            </w:r>
            <w:r>
              <w:rPr>
                <w:rFonts w:hint="eastAsia" w:ascii="方正仿宋_GBK" w:hAnsi="方正仿宋_GBK" w:eastAsia="方正仿宋_GBK" w:cs="方正仿宋_GBK"/>
                <w:sz w:val="21"/>
                <w:szCs w:val="21"/>
              </w:rPr>
              <w:t>破产案件简化审理工作机制。</w:t>
            </w:r>
          </w:p>
        </w:tc>
        <w:tc>
          <w:tcPr>
            <w:tcW w:w="1064" w:type="dxa"/>
            <w:noWrap w:val="0"/>
            <w:tcMar>
              <w:top w:w="0" w:type="dxa"/>
              <w:left w:w="17" w:type="dxa"/>
              <w:bottom w:w="0" w:type="dxa"/>
              <w:right w:w="17" w:type="dxa"/>
            </w:tcMar>
            <w:vAlign w:val="center"/>
          </w:tcPr>
          <w:p w14:paraId="639D68C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p>
        </w:tc>
        <w:tc>
          <w:tcPr>
            <w:tcW w:w="1302" w:type="dxa"/>
            <w:noWrap w:val="0"/>
            <w:tcMar>
              <w:top w:w="0" w:type="dxa"/>
              <w:left w:w="17" w:type="dxa"/>
              <w:bottom w:w="0" w:type="dxa"/>
              <w:right w:w="17" w:type="dxa"/>
            </w:tcMar>
            <w:vAlign w:val="center"/>
          </w:tcPr>
          <w:p w14:paraId="75236D7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r>
      <w:tr w14:paraId="5069FFD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595" w:hRule="atLeast"/>
          <w:jc w:val="center"/>
        </w:trPr>
        <w:tc>
          <w:tcPr>
            <w:tcW w:w="915" w:type="dxa"/>
            <w:vMerge w:val="continue"/>
            <w:noWrap w:val="0"/>
            <w:tcMar>
              <w:top w:w="0" w:type="dxa"/>
              <w:left w:w="17" w:type="dxa"/>
              <w:bottom w:w="0" w:type="dxa"/>
              <w:right w:w="17" w:type="dxa"/>
            </w:tcMar>
            <w:vAlign w:val="center"/>
          </w:tcPr>
          <w:p w14:paraId="1DE3A5E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365FC3C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43．降低收回债务所需的成本</w:t>
            </w:r>
          </w:p>
        </w:tc>
        <w:tc>
          <w:tcPr>
            <w:tcW w:w="5077" w:type="dxa"/>
            <w:noWrap w:val="0"/>
            <w:tcMar>
              <w:top w:w="0" w:type="dxa"/>
              <w:left w:w="17" w:type="dxa"/>
              <w:bottom w:w="0" w:type="dxa"/>
              <w:right w:w="17" w:type="dxa"/>
            </w:tcMar>
            <w:vAlign w:val="center"/>
          </w:tcPr>
          <w:p w14:paraId="2001E1A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（1）积极研究企业“无产可破”案件的破产费用纾解措施。本着互助原则，支持从管理人报酬中提取一定比例的资金作为“无产可破”企业的破产费用基金；</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级行业主管部门可统筹专项资金，对已建立破产启动费用和破产费用基金的企业，给予不超过20%的政府补助，支持国有企业和民营企业完善企业破产清算配套制度。</w:t>
            </w:r>
          </w:p>
          <w:p w14:paraId="0EC40C7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（2）“有产可破”的企业应严格执行《中华人民共和国</w:t>
            </w:r>
            <w:r>
              <w:rPr>
                <w:rFonts w:hint="eastAsia" w:ascii="方正仿宋_GBK" w:hAnsi="方正仿宋_GBK" w:eastAsia="方正仿宋_GBK" w:cs="方正仿宋_GBK"/>
                <w:sz w:val="21"/>
                <w:szCs w:val="21"/>
                <w:lang w:eastAsia="zh-CN"/>
              </w:rPr>
              <w:t>企业</w:t>
            </w:r>
            <w:r>
              <w:rPr>
                <w:rFonts w:hint="eastAsia" w:ascii="方正仿宋_GBK" w:hAnsi="方正仿宋_GBK" w:eastAsia="方正仿宋_GBK" w:cs="方正仿宋_GBK"/>
                <w:sz w:val="21"/>
                <w:szCs w:val="21"/>
              </w:rPr>
              <w:t>破产法》有关规定，履行主体责任，积极解决企业破产相关的必要费用。</w:t>
            </w:r>
          </w:p>
        </w:tc>
        <w:tc>
          <w:tcPr>
            <w:tcW w:w="1064" w:type="dxa"/>
            <w:noWrap w:val="0"/>
            <w:tcMar>
              <w:top w:w="0" w:type="dxa"/>
              <w:left w:w="17" w:type="dxa"/>
              <w:bottom w:w="0" w:type="dxa"/>
              <w:right w:w="17" w:type="dxa"/>
            </w:tcMar>
            <w:vAlign w:val="center"/>
          </w:tcPr>
          <w:p w14:paraId="3987247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p>
        </w:tc>
        <w:tc>
          <w:tcPr>
            <w:tcW w:w="1302" w:type="dxa"/>
            <w:noWrap w:val="0"/>
            <w:tcMar>
              <w:top w:w="0" w:type="dxa"/>
              <w:left w:w="17" w:type="dxa"/>
              <w:bottom w:w="0" w:type="dxa"/>
              <w:right w:w="17" w:type="dxa"/>
            </w:tcMar>
            <w:vAlign w:val="center"/>
          </w:tcPr>
          <w:p w14:paraId="2DC2115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区税务局</w:t>
            </w:r>
          </w:p>
        </w:tc>
      </w:tr>
      <w:tr w14:paraId="412725D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488" w:hRule="atLeast"/>
          <w:jc w:val="center"/>
        </w:trPr>
        <w:tc>
          <w:tcPr>
            <w:tcW w:w="915" w:type="dxa"/>
            <w:vMerge w:val="continue"/>
            <w:noWrap w:val="0"/>
            <w:tcMar>
              <w:top w:w="0" w:type="dxa"/>
              <w:left w:w="17" w:type="dxa"/>
              <w:bottom w:w="0" w:type="dxa"/>
              <w:right w:w="17" w:type="dxa"/>
            </w:tcMar>
            <w:vAlign w:val="center"/>
          </w:tcPr>
          <w:p w14:paraId="2FD563C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66F0D5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44．提高债权人回收率</w:t>
            </w:r>
          </w:p>
        </w:tc>
        <w:tc>
          <w:tcPr>
            <w:tcW w:w="5077" w:type="dxa"/>
            <w:noWrap w:val="0"/>
            <w:tcMar>
              <w:top w:w="0" w:type="dxa"/>
              <w:left w:w="17" w:type="dxa"/>
              <w:bottom w:w="0" w:type="dxa"/>
              <w:right w:w="17" w:type="dxa"/>
            </w:tcMar>
            <w:vAlign w:val="center"/>
          </w:tcPr>
          <w:p w14:paraId="75313A8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（1）完善破产立案听证审查机制，提高债权人参与程度。强化债权人知情权，建立债务人信息公开平台。</w:t>
            </w:r>
          </w:p>
          <w:p w14:paraId="59AF2B9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（2）加强人民法院与政府职能部门的沟通协调，实现府院协调机制常态化、规范化运转，协助重整企业修复信用记录，促使企业恢复正常生产经营。</w:t>
            </w:r>
          </w:p>
          <w:p w14:paraId="7969FED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（3）推动破产财产网络拍卖，提高财产变现价值。</w:t>
            </w:r>
          </w:p>
        </w:tc>
        <w:tc>
          <w:tcPr>
            <w:tcW w:w="1064" w:type="dxa"/>
            <w:noWrap w:val="0"/>
            <w:tcMar>
              <w:top w:w="0" w:type="dxa"/>
              <w:left w:w="17" w:type="dxa"/>
              <w:bottom w:w="0" w:type="dxa"/>
              <w:right w:w="17" w:type="dxa"/>
            </w:tcMar>
            <w:vAlign w:val="center"/>
          </w:tcPr>
          <w:p w14:paraId="2058739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政府办公</w:t>
            </w:r>
            <w:r>
              <w:rPr>
                <w:rFonts w:hint="eastAsia" w:ascii="方正仿宋_GBK" w:hAnsi="方正仿宋_GBK" w:eastAsia="方正仿宋_GBK" w:cs="方正仿宋_GBK"/>
                <w:sz w:val="21"/>
                <w:szCs w:val="21"/>
                <w:lang w:eastAsia="zh-CN"/>
              </w:rPr>
              <w:t>室</w:t>
            </w:r>
          </w:p>
        </w:tc>
        <w:tc>
          <w:tcPr>
            <w:tcW w:w="1302" w:type="dxa"/>
            <w:noWrap w:val="0"/>
            <w:tcMar>
              <w:top w:w="0" w:type="dxa"/>
              <w:left w:w="17" w:type="dxa"/>
              <w:bottom w:w="0" w:type="dxa"/>
              <w:right w:w="17" w:type="dxa"/>
            </w:tcMar>
            <w:vAlign w:val="center"/>
          </w:tcPr>
          <w:p w14:paraId="7B5CAE8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人行万州中心支行</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r>
              <w:rPr>
                <w:rFonts w:hint="eastAsia" w:ascii="方正仿宋_GBK" w:hAnsi="方正仿宋_GBK" w:eastAsia="方正仿宋_GBK" w:cs="方正仿宋_GBK"/>
                <w:sz w:val="21"/>
                <w:szCs w:val="21"/>
                <w:lang w:eastAsia="zh-CN"/>
              </w:rPr>
              <w:t>区税务局</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r>
      <w:tr w14:paraId="544F4BB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155" w:hRule="atLeast"/>
          <w:jc w:val="center"/>
        </w:trPr>
        <w:tc>
          <w:tcPr>
            <w:tcW w:w="915" w:type="dxa"/>
            <w:vMerge w:val="continue"/>
            <w:noWrap w:val="0"/>
            <w:tcMar>
              <w:top w:w="0" w:type="dxa"/>
              <w:left w:w="17" w:type="dxa"/>
              <w:bottom w:w="0" w:type="dxa"/>
              <w:right w:w="17" w:type="dxa"/>
            </w:tcMar>
            <w:vAlign w:val="center"/>
          </w:tcPr>
          <w:p w14:paraId="773EFE8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078B050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45．优化破产法律框架质量指数</w:t>
            </w:r>
          </w:p>
        </w:tc>
        <w:tc>
          <w:tcPr>
            <w:tcW w:w="5077" w:type="dxa"/>
            <w:noWrap w:val="0"/>
            <w:tcMar>
              <w:top w:w="0" w:type="dxa"/>
              <w:left w:w="17" w:type="dxa"/>
              <w:bottom w:w="0" w:type="dxa"/>
              <w:right w:w="17" w:type="dxa"/>
            </w:tcMar>
            <w:vAlign w:val="center"/>
          </w:tcPr>
          <w:p w14:paraId="70E24E3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（1）根据全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破产案件数量，探索建立破产审判机制，在全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相对固定的</w:t>
            </w:r>
            <w:r>
              <w:rPr>
                <w:rFonts w:hint="eastAsia" w:ascii="方正仿宋_GBK" w:hAnsi="方正仿宋_GBK" w:eastAsia="方正仿宋_GBK" w:cs="方正仿宋_GBK"/>
                <w:color w:val="000000"/>
                <w:sz w:val="21"/>
                <w:szCs w:val="21"/>
              </w:rPr>
              <w:t>三级</w:t>
            </w:r>
            <w:r>
              <w:rPr>
                <w:rFonts w:hint="eastAsia" w:ascii="方正仿宋_GBK" w:hAnsi="方正仿宋_GBK" w:eastAsia="方正仿宋_GBK" w:cs="方正仿宋_GBK"/>
                <w:sz w:val="21"/>
                <w:szCs w:val="21"/>
              </w:rPr>
              <w:t>法院组建相对固定的破产合议庭并合理配备破产审判力量。</w:t>
            </w:r>
          </w:p>
        </w:tc>
        <w:tc>
          <w:tcPr>
            <w:tcW w:w="1064" w:type="dxa"/>
            <w:noWrap w:val="0"/>
            <w:tcMar>
              <w:top w:w="0" w:type="dxa"/>
              <w:left w:w="17" w:type="dxa"/>
              <w:bottom w:w="0" w:type="dxa"/>
              <w:right w:w="17" w:type="dxa"/>
            </w:tcMar>
            <w:vAlign w:val="center"/>
          </w:tcPr>
          <w:p w14:paraId="4D2099A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p>
        </w:tc>
        <w:tc>
          <w:tcPr>
            <w:tcW w:w="1302" w:type="dxa"/>
            <w:noWrap w:val="0"/>
            <w:tcMar>
              <w:top w:w="0" w:type="dxa"/>
              <w:left w:w="17" w:type="dxa"/>
              <w:bottom w:w="0" w:type="dxa"/>
              <w:right w:w="17" w:type="dxa"/>
            </w:tcMar>
            <w:vAlign w:val="center"/>
          </w:tcPr>
          <w:p w14:paraId="44C7ACC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委编办</w:t>
            </w:r>
          </w:p>
        </w:tc>
      </w:tr>
      <w:tr w14:paraId="5737362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3FDD62A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76F2469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D9E2D8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（2）完善管理人制度，动态调整管理人名册。引进有竞争力的</w:t>
            </w:r>
            <w:r>
              <w:rPr>
                <w:rFonts w:hint="eastAsia" w:ascii="方正仿宋_GBK" w:hAnsi="方正仿宋_GBK" w:eastAsia="方正仿宋_GBK" w:cs="方正仿宋_GBK"/>
                <w:sz w:val="21"/>
                <w:szCs w:val="21"/>
                <w:lang w:eastAsia="zh-CN"/>
              </w:rPr>
              <w:t>区外</w:t>
            </w:r>
            <w:r>
              <w:rPr>
                <w:rFonts w:hint="eastAsia" w:ascii="方正仿宋_GBK" w:hAnsi="方正仿宋_GBK" w:eastAsia="方正仿宋_GBK" w:cs="方正仿宋_GBK"/>
                <w:sz w:val="21"/>
                <w:szCs w:val="21"/>
              </w:rPr>
              <w:t>管理人在重大或疑难复杂案件实行管理人竞争性选任。加强对管理人协会的交流和指导，强化自治管理。</w:t>
            </w:r>
          </w:p>
        </w:tc>
        <w:tc>
          <w:tcPr>
            <w:tcW w:w="1064" w:type="dxa"/>
            <w:noWrap w:val="0"/>
            <w:tcMar>
              <w:top w:w="0" w:type="dxa"/>
              <w:left w:w="17" w:type="dxa"/>
              <w:bottom w:w="0" w:type="dxa"/>
              <w:right w:w="17" w:type="dxa"/>
            </w:tcMar>
            <w:vAlign w:val="center"/>
          </w:tcPr>
          <w:p w14:paraId="533CFAC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p>
        </w:tc>
        <w:tc>
          <w:tcPr>
            <w:tcW w:w="1302" w:type="dxa"/>
            <w:noWrap w:val="0"/>
            <w:tcMar>
              <w:top w:w="0" w:type="dxa"/>
              <w:left w:w="17" w:type="dxa"/>
              <w:bottom w:w="0" w:type="dxa"/>
              <w:right w:w="17" w:type="dxa"/>
            </w:tcMar>
            <w:vAlign w:val="center"/>
          </w:tcPr>
          <w:p w14:paraId="4B8DA07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r>
      <w:tr w14:paraId="1846A04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AC8A54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6C677C1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1B0FE01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完善庭外兼并重组与庭内破产程序衔接机制。在企业进入重整程序之前，可由债权人与债务人、出资人等利害关系人通过庭外商业谈判，拟定重组方案。重整程序启动后，可以重组方案为依据拟定重整计划草案提交人民法院依法审查批准。</w:t>
            </w:r>
          </w:p>
        </w:tc>
        <w:tc>
          <w:tcPr>
            <w:tcW w:w="1064" w:type="dxa"/>
            <w:vMerge w:val="restart"/>
            <w:noWrap w:val="0"/>
            <w:tcMar>
              <w:top w:w="0" w:type="dxa"/>
              <w:left w:w="17" w:type="dxa"/>
              <w:bottom w:w="0" w:type="dxa"/>
              <w:right w:w="17" w:type="dxa"/>
            </w:tcMar>
            <w:vAlign w:val="center"/>
          </w:tcPr>
          <w:p w14:paraId="4204D8E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p>
        </w:tc>
        <w:tc>
          <w:tcPr>
            <w:tcW w:w="1302" w:type="dxa"/>
            <w:vMerge w:val="restart"/>
            <w:noWrap w:val="0"/>
            <w:tcMar>
              <w:top w:w="0" w:type="dxa"/>
              <w:left w:w="17" w:type="dxa"/>
              <w:bottom w:w="0" w:type="dxa"/>
              <w:right w:w="17" w:type="dxa"/>
            </w:tcMar>
            <w:vAlign w:val="center"/>
          </w:tcPr>
          <w:p w14:paraId="667B509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国资委、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r>
      <w:tr w14:paraId="647DDA4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855" w:hRule="atLeast"/>
          <w:jc w:val="center"/>
        </w:trPr>
        <w:tc>
          <w:tcPr>
            <w:tcW w:w="915" w:type="dxa"/>
            <w:vMerge w:val="continue"/>
            <w:noWrap w:val="0"/>
            <w:tcMar>
              <w:top w:w="0" w:type="dxa"/>
              <w:left w:w="17" w:type="dxa"/>
              <w:bottom w:w="0" w:type="dxa"/>
              <w:right w:w="17" w:type="dxa"/>
            </w:tcMar>
            <w:vAlign w:val="center"/>
          </w:tcPr>
          <w:p w14:paraId="78F3EDF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59BBE41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619067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eastAsia="zh-CN"/>
              </w:rPr>
              <w:t>及时贯彻</w:t>
            </w:r>
            <w:r>
              <w:rPr>
                <w:rFonts w:hint="eastAsia" w:ascii="方正仿宋_GBK" w:hAnsi="方正仿宋_GBK" w:eastAsia="方正仿宋_GBK" w:cs="方正仿宋_GBK"/>
                <w:sz w:val="21"/>
                <w:szCs w:val="21"/>
              </w:rPr>
              <w:t>2019年底前出台</w:t>
            </w:r>
            <w:r>
              <w:rPr>
                <w:rFonts w:hint="eastAsia" w:ascii="方正仿宋_GBK" w:hAnsi="方正仿宋_GBK" w:eastAsia="方正仿宋_GBK" w:cs="方正仿宋_GBK"/>
                <w:sz w:val="21"/>
                <w:szCs w:val="21"/>
                <w:lang w:eastAsia="zh-CN"/>
              </w:rPr>
              <w:t>的</w:t>
            </w:r>
            <w:r>
              <w:rPr>
                <w:rFonts w:hint="eastAsia" w:ascii="方正仿宋_GBK" w:hAnsi="方正仿宋_GBK" w:eastAsia="方正仿宋_GBK" w:cs="方正仿宋_GBK"/>
                <w:sz w:val="21"/>
                <w:szCs w:val="21"/>
              </w:rPr>
              <w:t>关于破产企业注销相关问题的会商纪要，完善破产企业注销工作机制。</w:t>
            </w:r>
          </w:p>
        </w:tc>
        <w:tc>
          <w:tcPr>
            <w:tcW w:w="1064" w:type="dxa"/>
            <w:vMerge w:val="continue"/>
            <w:noWrap w:val="0"/>
            <w:tcMar>
              <w:top w:w="0" w:type="dxa"/>
              <w:left w:w="17" w:type="dxa"/>
              <w:bottom w:w="0" w:type="dxa"/>
              <w:right w:w="17" w:type="dxa"/>
            </w:tcMar>
            <w:vAlign w:val="center"/>
          </w:tcPr>
          <w:p w14:paraId="7F87659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302" w:type="dxa"/>
            <w:vMerge w:val="continue"/>
            <w:noWrap w:val="0"/>
            <w:tcMar>
              <w:top w:w="0" w:type="dxa"/>
              <w:left w:w="17" w:type="dxa"/>
              <w:bottom w:w="0" w:type="dxa"/>
              <w:right w:w="17" w:type="dxa"/>
            </w:tcMar>
            <w:vAlign w:val="center"/>
          </w:tcPr>
          <w:p w14:paraId="6DAD899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4AF42C6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7B76AF8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十一、获得信贷</w:t>
            </w:r>
          </w:p>
        </w:tc>
        <w:tc>
          <w:tcPr>
            <w:tcW w:w="1147" w:type="dxa"/>
            <w:noWrap w:val="0"/>
            <w:tcMar>
              <w:top w:w="0" w:type="dxa"/>
              <w:left w:w="17" w:type="dxa"/>
              <w:bottom w:w="0" w:type="dxa"/>
              <w:right w:w="17" w:type="dxa"/>
            </w:tcMar>
            <w:vAlign w:val="center"/>
          </w:tcPr>
          <w:p w14:paraId="0930EA1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46．优化合法权利度指数</w:t>
            </w:r>
          </w:p>
        </w:tc>
        <w:tc>
          <w:tcPr>
            <w:tcW w:w="5077" w:type="dxa"/>
            <w:noWrap w:val="0"/>
            <w:tcMar>
              <w:top w:w="0" w:type="dxa"/>
              <w:left w:w="17" w:type="dxa"/>
              <w:bottom w:w="0" w:type="dxa"/>
              <w:right w:w="17" w:type="dxa"/>
            </w:tcMar>
            <w:vAlign w:val="center"/>
          </w:tcPr>
          <w:p w14:paraId="0A28DA5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（1）建立健全财产登记确权制度，简化动产抵押登记程序，方便当事人就近办理。</w:t>
            </w:r>
          </w:p>
          <w:p w14:paraId="18CF4E1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（2）优化和推广动产抵押登记业务系统和动产融资统一登记系统，服务市场主体融资需求。</w:t>
            </w:r>
          </w:p>
        </w:tc>
        <w:tc>
          <w:tcPr>
            <w:tcW w:w="1064" w:type="dxa"/>
            <w:noWrap w:val="0"/>
            <w:tcMar>
              <w:top w:w="0" w:type="dxa"/>
              <w:left w:w="17" w:type="dxa"/>
              <w:bottom w:w="0" w:type="dxa"/>
              <w:right w:w="17" w:type="dxa"/>
            </w:tcMar>
            <w:vAlign w:val="center"/>
          </w:tcPr>
          <w:p w14:paraId="33DC4D7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人行万州中心支行</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7FF694C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交通局、</w:t>
            </w:r>
            <w:r>
              <w:rPr>
                <w:rFonts w:hint="eastAsia" w:ascii="方正仿宋_GBK" w:hAnsi="方正仿宋_GBK" w:eastAsia="方正仿宋_GBK" w:cs="方正仿宋_GBK"/>
                <w:sz w:val="21"/>
                <w:szCs w:val="21"/>
                <w:lang w:eastAsia="zh-CN"/>
              </w:rPr>
              <w:t>万州</w:t>
            </w:r>
            <w:r>
              <w:rPr>
                <w:rFonts w:hint="eastAsia" w:ascii="方正仿宋_GBK" w:hAnsi="方正仿宋_GBK" w:eastAsia="方正仿宋_GBK" w:cs="方正仿宋_GBK"/>
                <w:sz w:val="21"/>
                <w:szCs w:val="21"/>
              </w:rPr>
              <w:t>海事</w:t>
            </w:r>
            <w:r>
              <w:rPr>
                <w:rFonts w:hint="eastAsia" w:ascii="方正仿宋_GBK" w:hAnsi="方正仿宋_GBK" w:eastAsia="方正仿宋_GBK" w:cs="方正仿宋_GBK"/>
                <w:sz w:val="21"/>
                <w:szCs w:val="21"/>
                <w:lang w:eastAsia="zh-CN"/>
              </w:rPr>
              <w:t>处</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color w:val="auto"/>
                <w:sz w:val="21"/>
                <w:szCs w:val="21"/>
                <w:lang w:eastAsia="zh-CN"/>
              </w:rPr>
              <w:t>区政务服务</w:t>
            </w:r>
            <w:r>
              <w:rPr>
                <w:rFonts w:hint="eastAsia" w:ascii="方正仿宋_GBK" w:hAnsi="方正仿宋_GBK" w:eastAsia="方正仿宋_GBK" w:cs="方正仿宋_GBK"/>
                <w:color w:val="auto"/>
                <w:sz w:val="21"/>
                <w:szCs w:val="21"/>
              </w:rPr>
              <w:t>办</w:t>
            </w:r>
          </w:p>
        </w:tc>
      </w:tr>
      <w:tr w14:paraId="402F519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2275" w:hRule="atLeast"/>
          <w:jc w:val="center"/>
        </w:trPr>
        <w:tc>
          <w:tcPr>
            <w:tcW w:w="915" w:type="dxa"/>
            <w:vMerge w:val="continue"/>
            <w:noWrap w:val="0"/>
            <w:tcMar>
              <w:top w:w="0" w:type="dxa"/>
              <w:left w:w="17" w:type="dxa"/>
              <w:bottom w:w="0" w:type="dxa"/>
              <w:right w:w="17" w:type="dxa"/>
            </w:tcMar>
            <w:vAlign w:val="center"/>
          </w:tcPr>
          <w:p w14:paraId="624EF77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053059C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47．优化信用信息深度指数</w:t>
            </w:r>
          </w:p>
        </w:tc>
        <w:tc>
          <w:tcPr>
            <w:tcW w:w="5077" w:type="dxa"/>
            <w:noWrap w:val="0"/>
            <w:tcMar>
              <w:top w:w="0" w:type="dxa"/>
              <w:left w:w="17" w:type="dxa"/>
              <w:bottom w:w="0" w:type="dxa"/>
              <w:right w:w="17" w:type="dxa"/>
            </w:tcMar>
            <w:vAlign w:val="center"/>
          </w:tcPr>
          <w:p w14:paraId="5E38000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（1）建设城市大数据资源中心，归集企业用水、用电、用气等信息，为公共信用、金融授信提供参考。</w:t>
            </w:r>
          </w:p>
          <w:p w14:paraId="498CB02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（2）引导征信机构参与小微企业信用体系建设，完善企业信息采集、评价和使用。</w:t>
            </w:r>
          </w:p>
          <w:p w14:paraId="6A4127B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（3）利用</w:t>
            </w:r>
            <w:r>
              <w:rPr>
                <w:rFonts w:hint="eastAsia" w:ascii="方正仿宋_GBK" w:hAnsi="方正仿宋_GBK" w:eastAsia="方正仿宋_GBK" w:cs="方正仿宋_GBK"/>
                <w:sz w:val="21"/>
                <w:szCs w:val="21"/>
                <w:lang w:eastAsia="zh-CN"/>
              </w:rPr>
              <w:t>市</w:t>
            </w:r>
            <w:r>
              <w:rPr>
                <w:rFonts w:hint="eastAsia" w:ascii="方正仿宋_GBK" w:hAnsi="方正仿宋_GBK" w:eastAsia="方正仿宋_GBK" w:cs="方正仿宋_GBK"/>
                <w:sz w:val="21"/>
                <w:szCs w:val="21"/>
              </w:rPr>
              <w:t>信用公共平台，向金融机构开放高价值信息，为小微企业和农村经济组织融资提供便利。</w:t>
            </w:r>
          </w:p>
        </w:tc>
        <w:tc>
          <w:tcPr>
            <w:tcW w:w="1064" w:type="dxa"/>
            <w:noWrap w:val="0"/>
            <w:tcMar>
              <w:top w:w="0" w:type="dxa"/>
              <w:left w:w="17" w:type="dxa"/>
              <w:bottom w:w="0" w:type="dxa"/>
              <w:right w:w="17" w:type="dxa"/>
            </w:tcMar>
            <w:vAlign w:val="center"/>
          </w:tcPr>
          <w:p w14:paraId="0EB7475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r>
              <w:rPr>
                <w:rFonts w:hint="eastAsia" w:ascii="方正仿宋_GBK" w:hAnsi="方正仿宋_GBK" w:eastAsia="方正仿宋_GBK" w:cs="方正仿宋_GBK"/>
                <w:sz w:val="21"/>
                <w:szCs w:val="21"/>
                <w:lang w:eastAsia="zh-CN"/>
              </w:rPr>
              <w:t>人行万州中心支行</w:t>
            </w:r>
          </w:p>
        </w:tc>
        <w:tc>
          <w:tcPr>
            <w:tcW w:w="1302" w:type="dxa"/>
            <w:noWrap w:val="0"/>
            <w:tcMar>
              <w:top w:w="0" w:type="dxa"/>
              <w:left w:w="17" w:type="dxa"/>
              <w:bottom w:w="0" w:type="dxa"/>
              <w:right w:w="17" w:type="dxa"/>
            </w:tcMar>
            <w:vAlign w:val="center"/>
          </w:tcPr>
          <w:p w14:paraId="307F5A6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r>
      <w:tr w14:paraId="3E21887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7A2AC2C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十一、获得信贷</w:t>
            </w:r>
          </w:p>
        </w:tc>
        <w:tc>
          <w:tcPr>
            <w:tcW w:w="1147" w:type="dxa"/>
            <w:noWrap w:val="0"/>
            <w:tcMar>
              <w:top w:w="0" w:type="dxa"/>
              <w:left w:w="17" w:type="dxa"/>
              <w:bottom w:w="0" w:type="dxa"/>
              <w:right w:w="17" w:type="dxa"/>
            </w:tcMar>
            <w:vAlign w:val="center"/>
          </w:tcPr>
          <w:p w14:paraId="06937F7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48．扩大银行征信系统覆盖面</w:t>
            </w:r>
          </w:p>
        </w:tc>
        <w:tc>
          <w:tcPr>
            <w:tcW w:w="5077" w:type="dxa"/>
            <w:noWrap w:val="0"/>
            <w:tcMar>
              <w:top w:w="0" w:type="dxa"/>
              <w:left w:w="17" w:type="dxa"/>
              <w:bottom w:w="0" w:type="dxa"/>
              <w:right w:w="17" w:type="dxa"/>
            </w:tcMar>
            <w:vAlign w:val="center"/>
          </w:tcPr>
          <w:p w14:paraId="057FFDF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加强金融信用信息基础数据库建设，推进征信系统基本覆盖全辖区所有持牌金融机构，在群众查询需求较大的区域增设代理点，优化自助查询网点布局。</w:t>
            </w:r>
          </w:p>
        </w:tc>
        <w:tc>
          <w:tcPr>
            <w:tcW w:w="1064" w:type="dxa"/>
            <w:noWrap w:val="0"/>
            <w:tcMar>
              <w:top w:w="0" w:type="dxa"/>
              <w:left w:w="17" w:type="dxa"/>
              <w:bottom w:w="0" w:type="dxa"/>
              <w:right w:w="17" w:type="dxa"/>
            </w:tcMar>
            <w:vAlign w:val="center"/>
          </w:tcPr>
          <w:p w14:paraId="5CFEFCF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人行万州中心支行</w:t>
            </w:r>
          </w:p>
        </w:tc>
        <w:tc>
          <w:tcPr>
            <w:tcW w:w="1302" w:type="dxa"/>
            <w:noWrap w:val="0"/>
            <w:tcMar>
              <w:top w:w="0" w:type="dxa"/>
              <w:left w:w="17" w:type="dxa"/>
              <w:bottom w:w="0" w:type="dxa"/>
              <w:right w:w="17" w:type="dxa"/>
            </w:tcMar>
            <w:vAlign w:val="center"/>
          </w:tcPr>
          <w:p w14:paraId="18F0FBB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万州银保监分局</w:t>
            </w:r>
          </w:p>
        </w:tc>
      </w:tr>
      <w:tr w14:paraId="4937E34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9FC1A4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266CF3E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49．提高企业融资便利度</w:t>
            </w:r>
          </w:p>
        </w:tc>
        <w:tc>
          <w:tcPr>
            <w:tcW w:w="5077" w:type="dxa"/>
            <w:noWrap w:val="0"/>
            <w:tcMar>
              <w:top w:w="0" w:type="dxa"/>
              <w:left w:w="17" w:type="dxa"/>
              <w:bottom w:w="0" w:type="dxa"/>
              <w:right w:w="17" w:type="dxa"/>
            </w:tcMar>
            <w:vAlign w:val="center"/>
          </w:tcPr>
          <w:p w14:paraId="37DE9E1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pacing w:val="-4"/>
                <w:sz w:val="21"/>
                <w:szCs w:val="21"/>
              </w:rPr>
            </w:pPr>
            <w:r>
              <w:rPr>
                <w:rFonts w:hint="eastAsia" w:ascii="方正仿宋_GBK" w:hAnsi="方正仿宋_GBK" w:eastAsia="方正仿宋_GBK" w:cs="方正仿宋_GBK"/>
                <w:spacing w:val="-4"/>
                <w:sz w:val="21"/>
                <w:szCs w:val="21"/>
              </w:rPr>
              <w:t>（1）督促指导银行机构、小贷机构等建立健全与律师事务所、会计师事务所、第三方评估等中介机构合作的准入制度和质量把控制度，确保公开、公平、公正地选聘专业服务机构。</w:t>
            </w:r>
          </w:p>
        </w:tc>
        <w:tc>
          <w:tcPr>
            <w:tcW w:w="1064" w:type="dxa"/>
            <w:noWrap w:val="0"/>
            <w:tcMar>
              <w:top w:w="0" w:type="dxa"/>
              <w:left w:w="17" w:type="dxa"/>
              <w:bottom w:w="0" w:type="dxa"/>
              <w:right w:w="17" w:type="dxa"/>
            </w:tcMar>
            <w:vAlign w:val="center"/>
          </w:tcPr>
          <w:p w14:paraId="2153E6D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金融</w:t>
            </w:r>
            <w:r>
              <w:rPr>
                <w:rFonts w:hint="eastAsia" w:ascii="方正仿宋_GBK" w:hAnsi="方正仿宋_GBK" w:eastAsia="方正仿宋_GBK" w:cs="方正仿宋_GBK"/>
                <w:sz w:val="21"/>
                <w:szCs w:val="21"/>
                <w:lang w:eastAsia="zh-CN"/>
              </w:rPr>
              <w:t>办</w:t>
            </w:r>
          </w:p>
        </w:tc>
        <w:tc>
          <w:tcPr>
            <w:tcW w:w="1302" w:type="dxa"/>
            <w:noWrap w:val="0"/>
            <w:tcMar>
              <w:top w:w="0" w:type="dxa"/>
              <w:left w:w="17" w:type="dxa"/>
              <w:bottom w:w="0" w:type="dxa"/>
              <w:right w:w="17" w:type="dxa"/>
            </w:tcMar>
            <w:vAlign w:val="center"/>
          </w:tcPr>
          <w:p w14:paraId="7315668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p>
        </w:tc>
      </w:tr>
      <w:tr w14:paraId="707C99D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1DE0E0B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262DD44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8207E4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（2）提高部分贷款类别不良容忍度。将普惠</w:t>
            </w:r>
            <w:r>
              <w:rPr>
                <w:rFonts w:hint="eastAsia" w:ascii="方正仿宋_GBK" w:hAnsi="方正仿宋_GBK" w:eastAsia="方正仿宋_GBK" w:cs="方正仿宋_GBK"/>
                <w:sz w:val="21"/>
                <w:szCs w:val="21"/>
                <w:lang w:eastAsia="zh-CN"/>
              </w:rPr>
              <w:t>型</w:t>
            </w:r>
            <w:r>
              <w:rPr>
                <w:rFonts w:hint="eastAsia" w:ascii="方正仿宋_GBK" w:hAnsi="方正仿宋_GBK" w:eastAsia="方正仿宋_GBK" w:cs="方正仿宋_GBK"/>
                <w:sz w:val="21"/>
                <w:szCs w:val="21"/>
              </w:rPr>
              <w:t>小微企业贷款、普惠型涉农贷款、精准扶贫贷款的不良贷款容忍度从不高于各项贷款不良率2个百分点放宽到3个百分点，建立健全贷款授信尽职免责制度。</w:t>
            </w:r>
          </w:p>
        </w:tc>
        <w:tc>
          <w:tcPr>
            <w:tcW w:w="1064" w:type="dxa"/>
            <w:noWrap w:val="0"/>
            <w:tcMar>
              <w:top w:w="0" w:type="dxa"/>
              <w:left w:w="17" w:type="dxa"/>
              <w:bottom w:w="0" w:type="dxa"/>
              <w:right w:w="17" w:type="dxa"/>
            </w:tcMar>
            <w:vAlign w:val="center"/>
          </w:tcPr>
          <w:p w14:paraId="5A9C93E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万州银保监分局</w:t>
            </w:r>
          </w:p>
        </w:tc>
        <w:tc>
          <w:tcPr>
            <w:tcW w:w="1302" w:type="dxa"/>
            <w:noWrap w:val="0"/>
            <w:tcMar>
              <w:top w:w="0" w:type="dxa"/>
              <w:left w:w="17" w:type="dxa"/>
              <w:bottom w:w="0" w:type="dxa"/>
              <w:right w:w="17" w:type="dxa"/>
            </w:tcMar>
            <w:vAlign w:val="center"/>
          </w:tcPr>
          <w:p w14:paraId="6464E41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人行万州中心支行</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金融</w:t>
            </w:r>
            <w:r>
              <w:rPr>
                <w:rFonts w:hint="eastAsia" w:ascii="方正仿宋_GBK" w:hAnsi="方正仿宋_GBK" w:eastAsia="方正仿宋_GBK" w:cs="方正仿宋_GBK"/>
                <w:sz w:val="21"/>
                <w:szCs w:val="21"/>
                <w:lang w:eastAsia="zh-CN"/>
              </w:rPr>
              <w:t>办</w:t>
            </w:r>
          </w:p>
        </w:tc>
      </w:tr>
      <w:tr w14:paraId="59AA20F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noWrap w:val="0"/>
            <w:tcMar>
              <w:top w:w="0" w:type="dxa"/>
              <w:left w:w="17" w:type="dxa"/>
              <w:bottom w:w="0" w:type="dxa"/>
              <w:right w:w="17" w:type="dxa"/>
            </w:tcMar>
            <w:vAlign w:val="center"/>
          </w:tcPr>
          <w:p w14:paraId="3931716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二</w:t>
            </w:r>
            <w:r>
              <w:rPr>
                <w:rFonts w:hint="eastAsia" w:ascii="方正仿宋_GBK" w:hAnsi="方正仿宋_GBK" w:eastAsia="方正仿宋_GBK" w:cs="方正仿宋_GBK"/>
                <w:sz w:val="21"/>
                <w:szCs w:val="21"/>
              </w:rPr>
              <w:t>、执行合同</w:t>
            </w:r>
          </w:p>
        </w:tc>
        <w:tc>
          <w:tcPr>
            <w:tcW w:w="1147" w:type="dxa"/>
            <w:noWrap w:val="0"/>
            <w:tcMar>
              <w:top w:w="0" w:type="dxa"/>
              <w:left w:w="17" w:type="dxa"/>
              <w:bottom w:w="0" w:type="dxa"/>
              <w:right w:w="17" w:type="dxa"/>
            </w:tcMar>
            <w:vAlign w:val="center"/>
          </w:tcPr>
          <w:p w14:paraId="781242C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．压减解决商业纠纷的耗时</w:t>
            </w:r>
          </w:p>
        </w:tc>
        <w:tc>
          <w:tcPr>
            <w:tcW w:w="5077" w:type="dxa"/>
            <w:noWrap w:val="0"/>
            <w:tcMar>
              <w:top w:w="0" w:type="dxa"/>
              <w:left w:w="17" w:type="dxa"/>
              <w:bottom w:w="0" w:type="dxa"/>
              <w:right w:w="17" w:type="dxa"/>
            </w:tcMar>
            <w:vAlign w:val="center"/>
          </w:tcPr>
          <w:p w14:paraId="61C7199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（1）打造智能辅助办案平台，提升立案、送达、审理效率。</w:t>
            </w:r>
          </w:p>
          <w:p w14:paraId="3D8E91C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执行市高院</w:t>
            </w:r>
            <w:r>
              <w:rPr>
                <w:rFonts w:hint="eastAsia" w:ascii="方正仿宋_GBK" w:hAnsi="方正仿宋_GBK" w:eastAsia="方正仿宋_GBK" w:cs="方正仿宋_GBK"/>
                <w:sz w:val="21"/>
                <w:szCs w:val="21"/>
              </w:rPr>
              <w:t>出台</w:t>
            </w:r>
            <w:r>
              <w:rPr>
                <w:rFonts w:hint="eastAsia" w:ascii="方正仿宋_GBK" w:hAnsi="方正仿宋_GBK" w:eastAsia="方正仿宋_GBK" w:cs="方正仿宋_GBK"/>
                <w:sz w:val="21"/>
                <w:szCs w:val="21"/>
                <w:lang w:eastAsia="zh-CN"/>
              </w:rPr>
              <w:t>的</w:t>
            </w:r>
            <w:r>
              <w:rPr>
                <w:rFonts w:hint="eastAsia" w:ascii="方正仿宋_GBK" w:hAnsi="方正仿宋_GBK" w:eastAsia="方正仿宋_GBK" w:cs="方正仿宋_GBK"/>
                <w:sz w:val="21"/>
                <w:szCs w:val="21"/>
              </w:rPr>
              <w:t>关于严格遵守审限、加强审判时间节点和流程管理的规定。</w:t>
            </w:r>
          </w:p>
          <w:p w14:paraId="6A82C65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（3）加快整合律师、公证等法律服务资源。</w:t>
            </w:r>
          </w:p>
          <w:p w14:paraId="4AEBF5F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（4）完善和推广以易审、易诉、易解、易达四大平台和法智云中心为核心架构的“4+1重庆智慧法院新生态”，</w:t>
            </w:r>
            <w:r>
              <w:rPr>
                <w:rFonts w:hint="eastAsia" w:ascii="方正仿宋_GBK" w:hAnsi="方正仿宋_GBK" w:eastAsia="方正仿宋_GBK" w:cs="方正仿宋_GBK"/>
                <w:sz w:val="21"/>
                <w:szCs w:val="21"/>
                <w:lang w:eastAsia="zh-CN"/>
              </w:rPr>
              <w:t>及时运用</w:t>
            </w:r>
            <w:r>
              <w:rPr>
                <w:rFonts w:hint="eastAsia" w:ascii="方正仿宋_GBK" w:hAnsi="方正仿宋_GBK" w:eastAsia="方正仿宋_GBK" w:cs="方正仿宋_GBK"/>
                <w:sz w:val="21"/>
                <w:szCs w:val="21"/>
              </w:rPr>
              <w:t>“易法院”移动电子诉讼系统。</w:t>
            </w:r>
          </w:p>
          <w:p w14:paraId="7863C46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（5）加强法院与公安、民政等部门联网对接。</w:t>
            </w:r>
          </w:p>
          <w:p w14:paraId="69F46AB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（6）优化司法评估拍卖系统，提高资产处置效率。</w:t>
            </w:r>
          </w:p>
          <w:p w14:paraId="7642A9F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（7）深入推进失信被执行人联合惩戒工作。</w:t>
            </w:r>
          </w:p>
          <w:p w14:paraId="76AC69D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（8）降低当事人收集证据的时间成本，支持律师凭律师调查令依法调查收集证据。</w:t>
            </w:r>
          </w:p>
        </w:tc>
        <w:tc>
          <w:tcPr>
            <w:tcW w:w="1064" w:type="dxa"/>
            <w:noWrap w:val="0"/>
            <w:tcMar>
              <w:top w:w="0" w:type="dxa"/>
              <w:left w:w="17" w:type="dxa"/>
              <w:bottom w:w="0" w:type="dxa"/>
              <w:right w:w="17" w:type="dxa"/>
            </w:tcMar>
            <w:vAlign w:val="center"/>
          </w:tcPr>
          <w:p w14:paraId="6EAA79B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p>
        </w:tc>
        <w:tc>
          <w:tcPr>
            <w:tcW w:w="1302" w:type="dxa"/>
            <w:noWrap w:val="0"/>
            <w:tcMar>
              <w:top w:w="0" w:type="dxa"/>
              <w:left w:w="17" w:type="dxa"/>
              <w:bottom w:w="0" w:type="dxa"/>
              <w:right w:w="17" w:type="dxa"/>
            </w:tcMar>
            <w:vAlign w:val="center"/>
          </w:tcPr>
          <w:p w14:paraId="2717FAB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公安局、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民政局、</w:t>
            </w:r>
            <w:r>
              <w:rPr>
                <w:rFonts w:hint="eastAsia" w:ascii="方正仿宋_GBK" w:hAnsi="方正仿宋_GBK" w:eastAsia="方正仿宋_GBK" w:cs="方正仿宋_GBK"/>
                <w:sz w:val="21"/>
                <w:szCs w:val="21"/>
                <w:lang w:eastAsia="zh-CN"/>
              </w:rPr>
              <w:t>万州银保监分局</w:t>
            </w:r>
          </w:p>
        </w:tc>
      </w:tr>
      <w:tr w14:paraId="10D3416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4EE3FFD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二</w:t>
            </w:r>
            <w:r>
              <w:rPr>
                <w:rFonts w:hint="eastAsia" w:ascii="方正仿宋_GBK" w:hAnsi="方正仿宋_GBK" w:eastAsia="方正仿宋_GBK" w:cs="方正仿宋_GBK"/>
                <w:sz w:val="21"/>
                <w:szCs w:val="21"/>
              </w:rPr>
              <w:t>、执行合同</w:t>
            </w:r>
          </w:p>
        </w:tc>
        <w:tc>
          <w:tcPr>
            <w:tcW w:w="1147" w:type="dxa"/>
            <w:noWrap w:val="0"/>
            <w:tcMar>
              <w:top w:w="0" w:type="dxa"/>
              <w:left w:w="17" w:type="dxa"/>
              <w:bottom w:w="0" w:type="dxa"/>
              <w:right w:w="17" w:type="dxa"/>
            </w:tcMar>
            <w:vAlign w:val="center"/>
          </w:tcPr>
          <w:p w14:paraId="1639785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．降低解决商业纠纷的费用</w:t>
            </w:r>
          </w:p>
        </w:tc>
        <w:tc>
          <w:tcPr>
            <w:tcW w:w="5077" w:type="dxa"/>
            <w:noWrap w:val="0"/>
            <w:tcMar>
              <w:top w:w="0" w:type="dxa"/>
              <w:left w:w="17" w:type="dxa"/>
              <w:bottom w:w="0" w:type="dxa"/>
              <w:right w:w="17" w:type="dxa"/>
            </w:tcMar>
            <w:vAlign w:val="center"/>
          </w:tcPr>
          <w:p w14:paraId="3586DCD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发挥诉讼费的调节分流功能，严格把握诉讼费减、免、缓条件，依法降低商业纠纷的诉讼成本。</w:t>
            </w:r>
          </w:p>
        </w:tc>
        <w:tc>
          <w:tcPr>
            <w:tcW w:w="1064" w:type="dxa"/>
            <w:noWrap w:val="0"/>
            <w:tcMar>
              <w:top w:w="0" w:type="dxa"/>
              <w:left w:w="17" w:type="dxa"/>
              <w:bottom w:w="0" w:type="dxa"/>
              <w:right w:w="17" w:type="dxa"/>
            </w:tcMar>
            <w:vAlign w:val="center"/>
          </w:tcPr>
          <w:p w14:paraId="02E1A3E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p>
        </w:tc>
        <w:tc>
          <w:tcPr>
            <w:tcW w:w="1302" w:type="dxa"/>
            <w:noWrap w:val="0"/>
            <w:tcMar>
              <w:top w:w="0" w:type="dxa"/>
              <w:left w:w="17" w:type="dxa"/>
              <w:bottom w:w="0" w:type="dxa"/>
              <w:right w:w="17" w:type="dxa"/>
            </w:tcMar>
            <w:vAlign w:val="center"/>
          </w:tcPr>
          <w:p w14:paraId="28A911E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p>
        </w:tc>
      </w:tr>
      <w:tr w14:paraId="1069163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C25517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3998E3F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．优化司法程序质量指数</w:t>
            </w:r>
          </w:p>
        </w:tc>
        <w:tc>
          <w:tcPr>
            <w:tcW w:w="5077" w:type="dxa"/>
            <w:noWrap w:val="0"/>
            <w:tcMar>
              <w:top w:w="0" w:type="dxa"/>
              <w:left w:w="17" w:type="dxa"/>
              <w:bottom w:w="0" w:type="dxa"/>
              <w:right w:w="17" w:type="dxa"/>
            </w:tcMar>
            <w:vAlign w:val="center"/>
          </w:tcPr>
          <w:p w14:paraId="50F0086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（1）加强商事审判专业化建设。进一步完善</w:t>
            </w:r>
            <w:r>
              <w:rPr>
                <w:rFonts w:hint="eastAsia" w:ascii="方正仿宋_GBK" w:hAnsi="方正仿宋_GBK" w:eastAsia="方正仿宋_GBK" w:cs="方正仿宋_GBK"/>
                <w:color w:val="000000"/>
                <w:sz w:val="21"/>
                <w:szCs w:val="21"/>
              </w:rPr>
              <w:t>三级</w:t>
            </w:r>
            <w:r>
              <w:rPr>
                <w:rFonts w:hint="eastAsia" w:ascii="方正仿宋_GBK" w:hAnsi="方正仿宋_GBK" w:eastAsia="方正仿宋_GBK" w:cs="方正仿宋_GBK"/>
                <w:sz w:val="21"/>
                <w:szCs w:val="21"/>
              </w:rPr>
              <w:t>法院商事案件归口专门的审判庭、合议庭或商事审判团队审理的工作机制。</w:t>
            </w:r>
          </w:p>
        </w:tc>
        <w:tc>
          <w:tcPr>
            <w:tcW w:w="1064" w:type="dxa"/>
            <w:noWrap w:val="0"/>
            <w:tcMar>
              <w:top w:w="0" w:type="dxa"/>
              <w:left w:w="17" w:type="dxa"/>
              <w:bottom w:w="0" w:type="dxa"/>
              <w:right w:w="17" w:type="dxa"/>
            </w:tcMar>
            <w:vAlign w:val="center"/>
          </w:tcPr>
          <w:p w14:paraId="0789C05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p>
        </w:tc>
        <w:tc>
          <w:tcPr>
            <w:tcW w:w="1302" w:type="dxa"/>
            <w:noWrap w:val="0"/>
            <w:tcMar>
              <w:top w:w="0" w:type="dxa"/>
              <w:left w:w="17" w:type="dxa"/>
              <w:bottom w:w="0" w:type="dxa"/>
              <w:right w:w="17" w:type="dxa"/>
            </w:tcMar>
            <w:vAlign w:val="center"/>
          </w:tcPr>
          <w:p w14:paraId="55C5C6A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7587769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61C2FB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55D3D77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2AF32A9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（2）优化审判管理和诉讼程序。完善全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审判流程管理，优化随机分案等案件管理程序。健全案件繁简分流机制。设置速裁庭或诉裁团队。提升小额诉讼程序适用率。加强审判流程信息公开平台建设。试行跨域立案改革。积极引入社会第三方参与诉讼服务工作。不断完善审判流程公开、庭审活动公开、裁判文书公开、执行信息公开四大平台，深化司法公开。</w:t>
            </w:r>
          </w:p>
        </w:tc>
        <w:tc>
          <w:tcPr>
            <w:tcW w:w="1064" w:type="dxa"/>
            <w:noWrap w:val="0"/>
            <w:tcMar>
              <w:top w:w="0" w:type="dxa"/>
              <w:left w:w="17" w:type="dxa"/>
              <w:bottom w:w="0" w:type="dxa"/>
              <w:right w:w="17" w:type="dxa"/>
            </w:tcMar>
            <w:vAlign w:val="center"/>
          </w:tcPr>
          <w:p w14:paraId="6E5C410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p>
        </w:tc>
        <w:tc>
          <w:tcPr>
            <w:tcW w:w="1302" w:type="dxa"/>
            <w:noWrap w:val="0"/>
            <w:tcMar>
              <w:top w:w="0" w:type="dxa"/>
              <w:left w:w="17" w:type="dxa"/>
              <w:bottom w:w="0" w:type="dxa"/>
              <w:right w:w="17" w:type="dxa"/>
            </w:tcMar>
            <w:vAlign w:val="center"/>
          </w:tcPr>
          <w:p w14:paraId="781FE2C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495C078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32137F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44643B7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585F52B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健全替代性纠纷解决机制。加强外部调解主体引入，综合运用调解、仲裁、诉讼等多种方式，在金融、保险、证券等商事纠纷各领域建立诉调对接平台，建设多元商事纠纷解决机制。全面落实律师调解试点工作，推进律师参与诉前调解、法院司法确认的工作机制。</w:t>
            </w:r>
          </w:p>
        </w:tc>
        <w:tc>
          <w:tcPr>
            <w:tcW w:w="1064" w:type="dxa"/>
            <w:noWrap w:val="0"/>
            <w:tcMar>
              <w:top w:w="0" w:type="dxa"/>
              <w:left w:w="17" w:type="dxa"/>
              <w:bottom w:w="0" w:type="dxa"/>
              <w:right w:w="17" w:type="dxa"/>
            </w:tcMar>
            <w:vAlign w:val="center"/>
          </w:tcPr>
          <w:p w14:paraId="1F354CE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p>
        </w:tc>
        <w:tc>
          <w:tcPr>
            <w:tcW w:w="1302" w:type="dxa"/>
            <w:noWrap w:val="0"/>
            <w:tcMar>
              <w:top w:w="0" w:type="dxa"/>
              <w:left w:w="17" w:type="dxa"/>
              <w:bottom w:w="0" w:type="dxa"/>
              <w:right w:w="17" w:type="dxa"/>
            </w:tcMar>
            <w:vAlign w:val="center"/>
          </w:tcPr>
          <w:p w14:paraId="5BF5770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金融</w:t>
            </w:r>
            <w:r>
              <w:rPr>
                <w:rFonts w:hint="eastAsia" w:ascii="方正仿宋_GBK" w:hAnsi="方正仿宋_GBK" w:eastAsia="方正仿宋_GBK" w:cs="方正仿宋_GBK"/>
                <w:sz w:val="21"/>
                <w:szCs w:val="21"/>
                <w:lang w:eastAsia="zh-CN"/>
              </w:rPr>
              <w:t>办</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万州银保监分局</w:t>
            </w:r>
          </w:p>
        </w:tc>
      </w:tr>
      <w:tr w14:paraId="438A8BA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49028D9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三</w:t>
            </w:r>
            <w:r>
              <w:rPr>
                <w:rFonts w:hint="eastAsia" w:ascii="方正仿宋_GBK" w:hAnsi="方正仿宋_GBK" w:eastAsia="方正仿宋_GBK" w:cs="方正仿宋_GBK"/>
                <w:sz w:val="21"/>
                <w:szCs w:val="21"/>
              </w:rPr>
              <w:t>、劳动力市场监管</w:t>
            </w:r>
          </w:p>
        </w:tc>
        <w:tc>
          <w:tcPr>
            <w:tcW w:w="1147" w:type="dxa"/>
            <w:noWrap w:val="0"/>
            <w:tcMar>
              <w:top w:w="0" w:type="dxa"/>
              <w:left w:w="17" w:type="dxa"/>
              <w:bottom w:w="0" w:type="dxa"/>
              <w:right w:w="17" w:type="dxa"/>
            </w:tcMar>
            <w:vAlign w:val="center"/>
          </w:tcPr>
          <w:p w14:paraId="21B22E6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．提升聘用审查效率</w:t>
            </w:r>
          </w:p>
        </w:tc>
        <w:tc>
          <w:tcPr>
            <w:tcW w:w="5077" w:type="dxa"/>
            <w:noWrap w:val="0"/>
            <w:tcMar>
              <w:top w:w="0" w:type="dxa"/>
              <w:left w:w="17" w:type="dxa"/>
              <w:bottom w:w="0" w:type="dxa"/>
              <w:right w:w="17" w:type="dxa"/>
            </w:tcMar>
            <w:vAlign w:val="center"/>
          </w:tcPr>
          <w:p w14:paraId="3F8B548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（1）2019年底前将企业集体合同备案审查办理时限从15个工作日压减至10个工作日。</w:t>
            </w:r>
          </w:p>
          <w:p w14:paraId="62831D9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（2）2019年底前将劳务派遣行政许可办理时限从20个工作日压减至15个工作日。</w:t>
            </w:r>
          </w:p>
          <w:p w14:paraId="7D16468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（3）2019年底前将特殊工作审批时间办理时限从20个工作日压减至10个工作日内。</w:t>
            </w:r>
          </w:p>
        </w:tc>
        <w:tc>
          <w:tcPr>
            <w:tcW w:w="1064" w:type="dxa"/>
            <w:noWrap w:val="0"/>
            <w:tcMar>
              <w:top w:w="0" w:type="dxa"/>
              <w:left w:w="17" w:type="dxa"/>
              <w:bottom w:w="0" w:type="dxa"/>
              <w:right w:w="17" w:type="dxa"/>
            </w:tcMar>
            <w:vAlign w:val="center"/>
          </w:tcPr>
          <w:p w14:paraId="6E90D46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653048F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701DAE0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613982E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5EF634B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54</w:t>
            </w:r>
            <w:r>
              <w:rPr>
                <w:rFonts w:hint="eastAsia" w:ascii="方正仿宋_GBK" w:hAnsi="方正仿宋_GBK" w:eastAsia="方正仿宋_GBK" w:cs="方正仿宋_GBK"/>
                <w:sz w:val="21"/>
                <w:szCs w:val="21"/>
              </w:rPr>
              <w:t>．严格执行工作时间规定</w:t>
            </w:r>
          </w:p>
        </w:tc>
        <w:tc>
          <w:tcPr>
            <w:tcW w:w="5077" w:type="dxa"/>
            <w:noWrap w:val="0"/>
            <w:tcMar>
              <w:top w:w="0" w:type="dxa"/>
              <w:left w:w="17" w:type="dxa"/>
              <w:bottom w:w="0" w:type="dxa"/>
              <w:right w:w="17" w:type="dxa"/>
            </w:tcMar>
            <w:vAlign w:val="center"/>
          </w:tcPr>
          <w:p w14:paraId="7FD0070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督促企业落实职工法定标准工作时间制度。确因特殊情况和经济任务需延长工作时间的，按照国家规定安排职工补休或支付加班工资。不能实行标准工作时间制度的，须经</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人力社保局审批，实行特殊工时制度。</w:t>
            </w:r>
          </w:p>
        </w:tc>
        <w:tc>
          <w:tcPr>
            <w:tcW w:w="1064" w:type="dxa"/>
            <w:noWrap w:val="0"/>
            <w:tcMar>
              <w:top w:w="0" w:type="dxa"/>
              <w:left w:w="17" w:type="dxa"/>
              <w:bottom w:w="0" w:type="dxa"/>
              <w:right w:w="17" w:type="dxa"/>
            </w:tcMar>
            <w:vAlign w:val="center"/>
          </w:tcPr>
          <w:p w14:paraId="7B16C0A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5A2AEE9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195FA28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0834971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5EDFB87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55</w:t>
            </w:r>
            <w:r>
              <w:rPr>
                <w:rFonts w:hint="eastAsia" w:ascii="方正仿宋_GBK" w:hAnsi="方正仿宋_GBK" w:eastAsia="方正仿宋_GBK" w:cs="方正仿宋_GBK"/>
                <w:sz w:val="21"/>
                <w:szCs w:val="21"/>
              </w:rPr>
              <w:t>．妥善做好裁员工作</w:t>
            </w:r>
          </w:p>
        </w:tc>
        <w:tc>
          <w:tcPr>
            <w:tcW w:w="5077" w:type="dxa"/>
            <w:noWrap w:val="0"/>
            <w:tcMar>
              <w:top w:w="0" w:type="dxa"/>
              <w:left w:w="17" w:type="dxa"/>
              <w:bottom w:w="0" w:type="dxa"/>
              <w:right w:w="17" w:type="dxa"/>
            </w:tcMar>
            <w:vAlign w:val="center"/>
          </w:tcPr>
          <w:p w14:paraId="0669DE2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企业裁减人员应当按照《中华人民共和国劳动合同法》规定的程序进行，包括征求工会和职工意见，提出、报告、公布裁员方案。遵守优先留用人员、不得裁减人员及同等条件下优先招用被裁减人员的规定。</w:t>
            </w:r>
          </w:p>
          <w:p w14:paraId="22F4D82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（2）人力社保部门接到企业经济性裁员登记备案报告后，积极指导企业妥善做好裁减人员的相关工作，为企业提供各项劳动保障服务。</w:t>
            </w:r>
          </w:p>
        </w:tc>
        <w:tc>
          <w:tcPr>
            <w:tcW w:w="1064" w:type="dxa"/>
            <w:noWrap w:val="0"/>
            <w:tcMar>
              <w:top w:w="0" w:type="dxa"/>
              <w:left w:w="17" w:type="dxa"/>
              <w:bottom w:w="0" w:type="dxa"/>
              <w:right w:w="17" w:type="dxa"/>
            </w:tcMar>
            <w:vAlign w:val="center"/>
          </w:tcPr>
          <w:p w14:paraId="7DDEB28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697F60F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2AE0CFD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510" w:hRule="atLeast"/>
          <w:jc w:val="center"/>
        </w:trPr>
        <w:tc>
          <w:tcPr>
            <w:tcW w:w="915" w:type="dxa"/>
            <w:vMerge w:val="continue"/>
            <w:noWrap w:val="0"/>
            <w:tcMar>
              <w:top w:w="0" w:type="dxa"/>
              <w:left w:w="17" w:type="dxa"/>
              <w:bottom w:w="0" w:type="dxa"/>
              <w:right w:w="17" w:type="dxa"/>
            </w:tcMar>
            <w:vAlign w:val="center"/>
          </w:tcPr>
          <w:p w14:paraId="0D0B116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2282021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56</w:t>
            </w:r>
            <w:r>
              <w:rPr>
                <w:rFonts w:hint="eastAsia" w:ascii="方正仿宋_GBK" w:hAnsi="方正仿宋_GBK" w:eastAsia="方正仿宋_GBK" w:cs="方正仿宋_GBK"/>
                <w:sz w:val="21"/>
                <w:szCs w:val="21"/>
              </w:rPr>
              <w:t>．严格执行经济性裁员成本规定</w:t>
            </w:r>
          </w:p>
        </w:tc>
        <w:tc>
          <w:tcPr>
            <w:tcW w:w="5077" w:type="dxa"/>
            <w:noWrap w:val="0"/>
            <w:tcMar>
              <w:top w:w="0" w:type="dxa"/>
              <w:left w:w="17" w:type="dxa"/>
              <w:bottom w:w="0" w:type="dxa"/>
              <w:right w:w="17" w:type="dxa"/>
            </w:tcMar>
            <w:vAlign w:val="center"/>
          </w:tcPr>
          <w:p w14:paraId="2735123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（1）保障被裁职工合法权益。企业经济性裁减人员，依法优先保障劳动者应得的工资报酬和社会保险费用，并按照《中华人民共和国劳动合同法》规定支付经济补偿。</w:t>
            </w:r>
          </w:p>
        </w:tc>
        <w:tc>
          <w:tcPr>
            <w:tcW w:w="1064" w:type="dxa"/>
            <w:noWrap w:val="0"/>
            <w:tcMar>
              <w:top w:w="0" w:type="dxa"/>
              <w:left w:w="17" w:type="dxa"/>
              <w:bottom w:w="0" w:type="dxa"/>
              <w:right w:w="17" w:type="dxa"/>
            </w:tcMar>
            <w:vAlign w:val="center"/>
          </w:tcPr>
          <w:p w14:paraId="2399B53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06ADBC8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53FC634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850" w:hRule="atLeast"/>
          <w:jc w:val="center"/>
        </w:trPr>
        <w:tc>
          <w:tcPr>
            <w:tcW w:w="915" w:type="dxa"/>
            <w:vMerge w:val="continue"/>
            <w:noWrap w:val="0"/>
            <w:tcMar>
              <w:top w:w="0" w:type="dxa"/>
              <w:left w:w="17" w:type="dxa"/>
              <w:bottom w:w="0" w:type="dxa"/>
              <w:right w:w="17" w:type="dxa"/>
            </w:tcMar>
            <w:vAlign w:val="center"/>
          </w:tcPr>
          <w:p w14:paraId="566B9F1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1E29D1F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051E434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（2）强化裁员纠纷调解。对于经济性裁员，根据《中华人民共和国劳动合同法》《中华人民共和国劳动争议调解仲裁法》依法裁决。对于经济性裁员的劳动争议案件，优先适用调解原则。</w:t>
            </w:r>
          </w:p>
        </w:tc>
        <w:tc>
          <w:tcPr>
            <w:tcW w:w="1064" w:type="dxa"/>
            <w:noWrap w:val="0"/>
            <w:tcMar>
              <w:top w:w="0" w:type="dxa"/>
              <w:left w:w="17" w:type="dxa"/>
              <w:bottom w:w="0" w:type="dxa"/>
              <w:right w:w="17" w:type="dxa"/>
            </w:tcMar>
            <w:vAlign w:val="center"/>
          </w:tcPr>
          <w:p w14:paraId="57730D1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11799F5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3C695B5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715" w:hRule="atLeast"/>
          <w:jc w:val="center"/>
        </w:trPr>
        <w:tc>
          <w:tcPr>
            <w:tcW w:w="915" w:type="dxa"/>
            <w:vMerge w:val="restart"/>
            <w:noWrap w:val="0"/>
            <w:tcMar>
              <w:top w:w="0" w:type="dxa"/>
              <w:left w:w="17" w:type="dxa"/>
              <w:bottom w:w="0" w:type="dxa"/>
              <w:right w:w="17" w:type="dxa"/>
            </w:tcMar>
            <w:vAlign w:val="center"/>
          </w:tcPr>
          <w:p w14:paraId="1A8E5E0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三</w:t>
            </w:r>
            <w:r>
              <w:rPr>
                <w:rFonts w:hint="eastAsia" w:ascii="方正仿宋_GBK" w:hAnsi="方正仿宋_GBK" w:eastAsia="方正仿宋_GBK" w:cs="方正仿宋_GBK"/>
                <w:sz w:val="21"/>
                <w:szCs w:val="21"/>
              </w:rPr>
              <w:t>、劳动力市场监管</w:t>
            </w:r>
          </w:p>
        </w:tc>
        <w:tc>
          <w:tcPr>
            <w:tcW w:w="1147" w:type="dxa"/>
            <w:vMerge w:val="restart"/>
            <w:noWrap w:val="0"/>
            <w:tcMar>
              <w:top w:w="0" w:type="dxa"/>
              <w:left w:w="17" w:type="dxa"/>
              <w:bottom w:w="0" w:type="dxa"/>
              <w:right w:w="17" w:type="dxa"/>
            </w:tcMar>
            <w:vAlign w:val="center"/>
          </w:tcPr>
          <w:p w14:paraId="5F87C0D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57</w:t>
            </w:r>
            <w:r>
              <w:rPr>
                <w:rFonts w:hint="eastAsia" w:ascii="方正仿宋_GBK" w:hAnsi="方正仿宋_GBK" w:eastAsia="方正仿宋_GBK" w:cs="方正仿宋_GBK"/>
                <w:sz w:val="21"/>
                <w:szCs w:val="21"/>
              </w:rPr>
              <w:t>．提升劳动力市场监管水平</w:t>
            </w:r>
          </w:p>
        </w:tc>
        <w:tc>
          <w:tcPr>
            <w:tcW w:w="5077" w:type="dxa"/>
            <w:noWrap w:val="0"/>
            <w:tcMar>
              <w:top w:w="0" w:type="dxa"/>
              <w:left w:w="17" w:type="dxa"/>
              <w:bottom w:w="0" w:type="dxa"/>
              <w:right w:w="17" w:type="dxa"/>
            </w:tcMar>
            <w:vAlign w:val="center"/>
          </w:tcPr>
          <w:p w14:paraId="4427797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pacing w:val="-4"/>
                <w:sz w:val="21"/>
                <w:szCs w:val="21"/>
              </w:rPr>
            </w:pPr>
            <w:r>
              <w:rPr>
                <w:rFonts w:hint="eastAsia" w:ascii="方正仿宋_GBK" w:hAnsi="方正仿宋_GBK" w:eastAsia="方正仿宋_GBK" w:cs="方正仿宋_GBK"/>
                <w:spacing w:val="-4"/>
                <w:sz w:val="21"/>
                <w:szCs w:val="21"/>
              </w:rPr>
              <w:t>（1）及时处置化解劳资纠纷。因用人单位裁员引发群体性劳资纠纷的，辖区劳动保障监察机构按规定第一时间派员赴现场帮扶化解；不能现场处置的，引导劳动者正确合法维权。</w:t>
            </w:r>
          </w:p>
        </w:tc>
        <w:tc>
          <w:tcPr>
            <w:tcW w:w="1064" w:type="dxa"/>
            <w:noWrap w:val="0"/>
            <w:tcMar>
              <w:top w:w="0" w:type="dxa"/>
              <w:left w:w="17" w:type="dxa"/>
              <w:bottom w:w="0" w:type="dxa"/>
              <w:right w:w="17" w:type="dxa"/>
            </w:tcMar>
            <w:vAlign w:val="center"/>
          </w:tcPr>
          <w:p w14:paraId="520298C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26F2534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65018DA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375" w:hRule="atLeast"/>
          <w:jc w:val="center"/>
        </w:trPr>
        <w:tc>
          <w:tcPr>
            <w:tcW w:w="915" w:type="dxa"/>
            <w:vMerge w:val="continue"/>
            <w:noWrap w:val="0"/>
            <w:tcMar>
              <w:top w:w="0" w:type="dxa"/>
              <w:left w:w="17" w:type="dxa"/>
              <w:bottom w:w="0" w:type="dxa"/>
              <w:right w:w="17" w:type="dxa"/>
            </w:tcMar>
            <w:vAlign w:val="center"/>
          </w:tcPr>
          <w:p w14:paraId="741536A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20C1E6F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2614FBB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（2）开展和谐劳动关系企业创建活动。对AAA级和谐劳动关系企业开展多部门联合激励，每年新评定AAA级和谐劳动关系企业，扩充享受联合激励企业的规模。</w:t>
            </w:r>
          </w:p>
        </w:tc>
        <w:tc>
          <w:tcPr>
            <w:tcW w:w="1064" w:type="dxa"/>
            <w:noWrap w:val="0"/>
            <w:tcMar>
              <w:top w:w="0" w:type="dxa"/>
              <w:left w:w="17" w:type="dxa"/>
              <w:bottom w:w="0" w:type="dxa"/>
              <w:right w:w="17" w:type="dxa"/>
            </w:tcMar>
            <w:vAlign w:val="center"/>
          </w:tcPr>
          <w:p w14:paraId="46E0062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6228445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73BB82A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330" w:hRule="atLeast"/>
          <w:jc w:val="center"/>
        </w:trPr>
        <w:tc>
          <w:tcPr>
            <w:tcW w:w="915" w:type="dxa"/>
            <w:vMerge w:val="continue"/>
            <w:noWrap w:val="0"/>
            <w:tcMar>
              <w:top w:w="0" w:type="dxa"/>
              <w:left w:w="17" w:type="dxa"/>
              <w:bottom w:w="0" w:type="dxa"/>
              <w:right w:w="17" w:type="dxa"/>
            </w:tcMar>
            <w:vAlign w:val="center"/>
          </w:tcPr>
          <w:p w14:paraId="30ED2AA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30D8C59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7A93B38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（3）提升劳动力培训质量。加强劳动力市场用工指导和培训，对全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重点企业开展劳动关系和人力资源管理培训。对有就业意愿的劳动力按照市场需求开展职业技能培训和创业培训。鼓励支持企业开展岗位技能提升培训，促进企业转型升级和稳定就业岗位。强化培训全程监管、培训实名制动态监管，加强开班申请、过程监管、补贴审核风险点防控，确保培训补贴资金安全运行。2019年底前开展职业培训</w:t>
            </w:r>
            <w:r>
              <w:rPr>
                <w:rFonts w:hint="eastAsia" w:ascii="方正仿宋_GBK" w:hAnsi="方正仿宋_GBK" w:eastAsia="方正仿宋_GBK" w:cs="方正仿宋_GBK"/>
                <w:color w:val="auto"/>
                <w:sz w:val="21"/>
                <w:szCs w:val="21"/>
                <w:lang w:val="en-US" w:eastAsia="zh-CN"/>
              </w:rPr>
              <w:t>0.8</w:t>
            </w:r>
            <w:r>
              <w:rPr>
                <w:rFonts w:hint="eastAsia" w:ascii="方正仿宋_GBK" w:hAnsi="方正仿宋_GBK" w:eastAsia="方正仿宋_GBK" w:cs="方正仿宋_GBK"/>
                <w:sz w:val="21"/>
                <w:szCs w:val="21"/>
              </w:rPr>
              <w:t>万人次。</w:t>
            </w:r>
          </w:p>
        </w:tc>
        <w:tc>
          <w:tcPr>
            <w:tcW w:w="1064" w:type="dxa"/>
            <w:noWrap w:val="0"/>
            <w:tcMar>
              <w:top w:w="0" w:type="dxa"/>
              <w:left w:w="17" w:type="dxa"/>
              <w:bottom w:w="0" w:type="dxa"/>
              <w:right w:w="17" w:type="dxa"/>
            </w:tcMar>
            <w:vAlign w:val="center"/>
          </w:tcPr>
          <w:p w14:paraId="01671A0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21F6AC2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569FA8A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2595" w:hRule="atLeast"/>
          <w:jc w:val="center"/>
        </w:trPr>
        <w:tc>
          <w:tcPr>
            <w:tcW w:w="915" w:type="dxa"/>
            <w:vMerge w:val="continue"/>
            <w:noWrap w:val="0"/>
            <w:tcMar>
              <w:top w:w="0" w:type="dxa"/>
              <w:left w:w="17" w:type="dxa"/>
              <w:bottom w:w="0" w:type="dxa"/>
              <w:right w:w="17" w:type="dxa"/>
            </w:tcMar>
            <w:vAlign w:val="center"/>
          </w:tcPr>
          <w:p w14:paraId="53A50FB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1297229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E95D1B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（4）提升就业服务水平。就业经办服务打破地域限制，实行</w:t>
            </w:r>
            <w:r>
              <w:rPr>
                <w:rFonts w:hint="eastAsia" w:ascii="方正仿宋_GBK" w:hAnsi="方正仿宋_GBK" w:eastAsia="方正仿宋_GBK" w:cs="方正仿宋_GBK"/>
                <w:color w:val="000000"/>
                <w:sz w:val="21"/>
                <w:szCs w:val="21"/>
              </w:rPr>
              <w:t>“全渝通办</w:t>
            </w:r>
            <w:r>
              <w:rPr>
                <w:rFonts w:hint="eastAsia" w:ascii="方正仿宋_GBK" w:hAnsi="方正仿宋_GBK" w:eastAsia="方正仿宋_GBK" w:cs="方正仿宋_GBK"/>
                <w:sz w:val="21"/>
                <w:szCs w:val="21"/>
              </w:rPr>
              <w:t>”。出台城乡一体化的就业政策，推动城乡劳动者享受均等化的公共就业服务。落实社保补贴等扶持政策，促进</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外来</w:t>
            </w:r>
            <w:r>
              <w:rPr>
                <w:rFonts w:hint="eastAsia" w:ascii="方正仿宋_GBK" w:hAnsi="方正仿宋_GBK" w:eastAsia="方正仿宋_GBK" w:cs="方正仿宋_GBK"/>
                <w:sz w:val="21"/>
                <w:szCs w:val="21"/>
                <w:lang w:eastAsia="zh-CN"/>
              </w:rPr>
              <w:t>万</w:t>
            </w:r>
            <w:r>
              <w:rPr>
                <w:rFonts w:hint="eastAsia" w:ascii="方正仿宋_GBK" w:hAnsi="方正仿宋_GBK" w:eastAsia="方正仿宋_GBK" w:cs="方正仿宋_GBK"/>
                <w:sz w:val="21"/>
                <w:szCs w:val="21"/>
              </w:rPr>
              <w:t>高校毕业生就业创业。2022年底前建成统一的智能公共就业服务信息化平台，实现就业政策网上申报，网上经办，申领补贴“不跑路”。</w:t>
            </w:r>
          </w:p>
        </w:tc>
        <w:tc>
          <w:tcPr>
            <w:tcW w:w="1064" w:type="dxa"/>
            <w:noWrap w:val="0"/>
            <w:tcMar>
              <w:top w:w="0" w:type="dxa"/>
              <w:left w:w="17" w:type="dxa"/>
              <w:bottom w:w="0" w:type="dxa"/>
              <w:right w:w="17" w:type="dxa"/>
            </w:tcMar>
            <w:vAlign w:val="center"/>
          </w:tcPr>
          <w:p w14:paraId="5A5D8A0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0E1E111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025B7DA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1566BCF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四</w:t>
            </w:r>
            <w:r>
              <w:rPr>
                <w:rFonts w:hint="eastAsia" w:ascii="方正仿宋_GBK" w:hAnsi="方正仿宋_GBK" w:eastAsia="方正仿宋_GBK" w:cs="方正仿宋_GBK"/>
                <w:sz w:val="21"/>
                <w:szCs w:val="21"/>
              </w:rPr>
              <w:t>、政府采购</w:t>
            </w:r>
          </w:p>
        </w:tc>
        <w:tc>
          <w:tcPr>
            <w:tcW w:w="1147" w:type="dxa"/>
            <w:noWrap w:val="0"/>
            <w:tcMar>
              <w:top w:w="0" w:type="dxa"/>
              <w:left w:w="17" w:type="dxa"/>
              <w:bottom w:w="0" w:type="dxa"/>
              <w:right w:w="17" w:type="dxa"/>
            </w:tcMar>
            <w:vAlign w:val="center"/>
          </w:tcPr>
          <w:p w14:paraId="3A7FF12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58</w:t>
            </w:r>
            <w:r>
              <w:rPr>
                <w:rFonts w:hint="eastAsia" w:ascii="方正仿宋_GBK" w:hAnsi="方正仿宋_GBK" w:eastAsia="方正仿宋_GBK" w:cs="方正仿宋_GBK"/>
                <w:sz w:val="21"/>
                <w:szCs w:val="21"/>
              </w:rPr>
              <w:t>．完善电子采购平台</w:t>
            </w:r>
          </w:p>
        </w:tc>
        <w:tc>
          <w:tcPr>
            <w:tcW w:w="5077" w:type="dxa"/>
            <w:noWrap w:val="0"/>
            <w:tcMar>
              <w:top w:w="0" w:type="dxa"/>
              <w:left w:w="17" w:type="dxa"/>
              <w:bottom w:w="0" w:type="dxa"/>
              <w:right w:w="17" w:type="dxa"/>
            </w:tcMar>
            <w:vAlign w:val="center"/>
          </w:tcPr>
          <w:p w14:paraId="192FC38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配合市级</w:t>
            </w:r>
            <w:r>
              <w:rPr>
                <w:rFonts w:hint="eastAsia" w:ascii="方正仿宋_GBK" w:hAnsi="方正仿宋_GBK" w:eastAsia="方正仿宋_GBK" w:cs="方正仿宋_GBK"/>
                <w:sz w:val="21"/>
                <w:szCs w:val="21"/>
              </w:rPr>
              <w:t>加快建设全</w:t>
            </w:r>
            <w:r>
              <w:rPr>
                <w:rFonts w:hint="eastAsia" w:ascii="方正仿宋_GBK" w:hAnsi="方正仿宋_GBK" w:eastAsia="方正仿宋_GBK" w:cs="方正仿宋_GBK"/>
                <w:sz w:val="21"/>
                <w:szCs w:val="21"/>
                <w:lang w:eastAsia="zh-CN"/>
              </w:rPr>
              <w:t>市</w:t>
            </w:r>
            <w:r>
              <w:rPr>
                <w:rFonts w:hint="eastAsia" w:ascii="方正仿宋_GBK" w:hAnsi="方正仿宋_GBK" w:eastAsia="方正仿宋_GBK" w:cs="方正仿宋_GBK"/>
                <w:sz w:val="21"/>
                <w:szCs w:val="21"/>
              </w:rPr>
              <w:t>统一的政府采购云平台，2019年底前在全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全面推广网上采购模式。</w:t>
            </w:r>
          </w:p>
          <w:p w14:paraId="0E16873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（2）推行政府采购电子招投标，2021年底前实现公开招标项目以电子招投标方式为主组织实施。</w:t>
            </w:r>
          </w:p>
        </w:tc>
        <w:tc>
          <w:tcPr>
            <w:tcW w:w="1064" w:type="dxa"/>
            <w:noWrap w:val="0"/>
            <w:tcMar>
              <w:top w:w="0" w:type="dxa"/>
              <w:left w:w="17" w:type="dxa"/>
              <w:bottom w:w="0" w:type="dxa"/>
              <w:right w:w="17" w:type="dxa"/>
            </w:tcMar>
            <w:vAlign w:val="center"/>
          </w:tcPr>
          <w:p w14:paraId="39372EE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p>
        </w:tc>
        <w:tc>
          <w:tcPr>
            <w:tcW w:w="1302" w:type="dxa"/>
            <w:noWrap w:val="0"/>
            <w:tcMar>
              <w:top w:w="0" w:type="dxa"/>
              <w:left w:w="17" w:type="dxa"/>
              <w:bottom w:w="0" w:type="dxa"/>
              <w:right w:w="17" w:type="dxa"/>
            </w:tcMar>
            <w:vAlign w:val="center"/>
          </w:tcPr>
          <w:p w14:paraId="21485C3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区公管局</w:t>
            </w:r>
          </w:p>
        </w:tc>
      </w:tr>
      <w:tr w14:paraId="4752173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640A46B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1F41577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59</w:t>
            </w:r>
            <w:r>
              <w:rPr>
                <w:rFonts w:hint="eastAsia" w:ascii="方正仿宋_GBK" w:hAnsi="方正仿宋_GBK" w:eastAsia="方正仿宋_GBK" w:cs="方正仿宋_GBK"/>
                <w:sz w:val="21"/>
                <w:szCs w:val="21"/>
              </w:rPr>
              <w:t>．优化采购流程</w:t>
            </w:r>
          </w:p>
        </w:tc>
        <w:tc>
          <w:tcPr>
            <w:tcW w:w="5077" w:type="dxa"/>
            <w:noWrap w:val="0"/>
            <w:tcMar>
              <w:top w:w="0" w:type="dxa"/>
              <w:left w:w="17" w:type="dxa"/>
              <w:bottom w:w="0" w:type="dxa"/>
              <w:right w:w="17" w:type="dxa"/>
            </w:tcMar>
            <w:vAlign w:val="center"/>
          </w:tcPr>
          <w:p w14:paraId="699F0F7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（1）通过完</w:t>
            </w:r>
            <w:r>
              <w:rPr>
                <w:rFonts w:hint="eastAsia" w:ascii="方正仿宋_GBK" w:hAnsi="方正仿宋_GBK" w:eastAsia="方正仿宋_GBK" w:cs="方正仿宋_GBK"/>
                <w:sz w:val="21"/>
                <w:szCs w:val="21"/>
                <w:lang w:eastAsia="zh-CN"/>
              </w:rPr>
              <w:t>善</w:t>
            </w:r>
            <w:r>
              <w:rPr>
                <w:rFonts w:hint="eastAsia" w:ascii="方正仿宋_GBK" w:hAnsi="方正仿宋_GBK" w:eastAsia="方正仿宋_GBK" w:cs="方正仿宋_GBK"/>
                <w:sz w:val="21"/>
                <w:szCs w:val="21"/>
              </w:rPr>
              <w:t>政府采购网、政府采购APP功能，精简业务环节，优化企业参与采购活动的流程。</w:t>
            </w:r>
          </w:p>
          <w:p w14:paraId="27EFFF3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（2）取消中小企业证明材料，优化企业享受政府采购扶持政策流程。</w:t>
            </w:r>
          </w:p>
        </w:tc>
        <w:tc>
          <w:tcPr>
            <w:tcW w:w="1064" w:type="dxa"/>
            <w:noWrap w:val="0"/>
            <w:tcMar>
              <w:top w:w="0" w:type="dxa"/>
              <w:left w:w="17" w:type="dxa"/>
              <w:bottom w:w="0" w:type="dxa"/>
              <w:right w:w="17" w:type="dxa"/>
            </w:tcMar>
            <w:vAlign w:val="center"/>
          </w:tcPr>
          <w:p w14:paraId="5FCA767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p>
        </w:tc>
        <w:tc>
          <w:tcPr>
            <w:tcW w:w="1302" w:type="dxa"/>
            <w:noWrap w:val="0"/>
            <w:tcMar>
              <w:top w:w="0" w:type="dxa"/>
              <w:left w:w="17" w:type="dxa"/>
              <w:bottom w:w="0" w:type="dxa"/>
              <w:right w:w="17" w:type="dxa"/>
            </w:tcMar>
            <w:vAlign w:val="center"/>
          </w:tcPr>
          <w:p w14:paraId="1304CD3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3152230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041CF6F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1435564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．规范采购结果确定和合同签订</w:t>
            </w:r>
          </w:p>
        </w:tc>
        <w:tc>
          <w:tcPr>
            <w:tcW w:w="5077" w:type="dxa"/>
            <w:noWrap w:val="0"/>
            <w:tcMar>
              <w:top w:w="0" w:type="dxa"/>
              <w:left w:w="17" w:type="dxa"/>
              <w:bottom w:w="0" w:type="dxa"/>
              <w:right w:w="17" w:type="dxa"/>
            </w:tcMar>
            <w:vAlign w:val="center"/>
          </w:tcPr>
          <w:p w14:paraId="2D3DB69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（1）加强政策宣传、组织业务员培训、开展监督检查，督促采购人依法及时确定采购结果，严格按照采购事项签订和履行合同。</w:t>
            </w:r>
          </w:p>
          <w:p w14:paraId="1F9F978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pacing w:val="-4"/>
                <w:sz w:val="21"/>
                <w:szCs w:val="21"/>
              </w:rPr>
            </w:pPr>
            <w:r>
              <w:rPr>
                <w:rFonts w:hint="eastAsia" w:ascii="方正仿宋_GBK" w:hAnsi="方正仿宋_GBK" w:eastAsia="方正仿宋_GBK" w:cs="方正仿宋_GBK"/>
                <w:spacing w:val="-4"/>
                <w:sz w:val="21"/>
                <w:szCs w:val="21"/>
              </w:rPr>
              <w:t>（2）2019年底前建成政府采购信用融资网上申报平台，方便企业直接通过线上申请方式获得政府采购合同融资贷款。</w:t>
            </w:r>
          </w:p>
        </w:tc>
        <w:tc>
          <w:tcPr>
            <w:tcW w:w="1064" w:type="dxa"/>
            <w:noWrap w:val="0"/>
            <w:tcMar>
              <w:top w:w="0" w:type="dxa"/>
              <w:left w:w="17" w:type="dxa"/>
              <w:bottom w:w="0" w:type="dxa"/>
              <w:right w:w="17" w:type="dxa"/>
            </w:tcMar>
            <w:vAlign w:val="center"/>
          </w:tcPr>
          <w:p w14:paraId="10FFB13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p>
        </w:tc>
        <w:tc>
          <w:tcPr>
            <w:tcW w:w="1302" w:type="dxa"/>
            <w:noWrap w:val="0"/>
            <w:tcMar>
              <w:top w:w="0" w:type="dxa"/>
              <w:left w:w="17" w:type="dxa"/>
              <w:bottom w:w="0" w:type="dxa"/>
              <w:right w:w="17" w:type="dxa"/>
            </w:tcMar>
            <w:vAlign w:val="center"/>
          </w:tcPr>
          <w:p w14:paraId="31D888C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人行万州中心支行</w:t>
            </w:r>
          </w:p>
        </w:tc>
      </w:tr>
      <w:tr w14:paraId="7D947F3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2EF1D8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5A18F71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．强化合同管理</w:t>
            </w:r>
          </w:p>
        </w:tc>
        <w:tc>
          <w:tcPr>
            <w:tcW w:w="5077" w:type="dxa"/>
            <w:noWrap w:val="0"/>
            <w:tcMar>
              <w:top w:w="0" w:type="dxa"/>
              <w:left w:w="17" w:type="dxa"/>
              <w:bottom w:w="0" w:type="dxa"/>
              <w:right w:w="17" w:type="dxa"/>
            </w:tcMar>
            <w:vAlign w:val="center"/>
          </w:tcPr>
          <w:p w14:paraId="244D50E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2019年底前联通政府采购内外网业务管理系统，实现政府采购合同公示、备案一体化管理，规范合同管理，提升工作效率和监管效果。</w:t>
            </w:r>
          </w:p>
        </w:tc>
        <w:tc>
          <w:tcPr>
            <w:tcW w:w="1064" w:type="dxa"/>
            <w:noWrap w:val="0"/>
            <w:tcMar>
              <w:top w:w="0" w:type="dxa"/>
              <w:left w:w="17" w:type="dxa"/>
              <w:bottom w:w="0" w:type="dxa"/>
              <w:right w:w="17" w:type="dxa"/>
            </w:tcMar>
            <w:vAlign w:val="center"/>
          </w:tcPr>
          <w:p w14:paraId="5A23843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p>
        </w:tc>
        <w:tc>
          <w:tcPr>
            <w:tcW w:w="1302" w:type="dxa"/>
            <w:noWrap w:val="0"/>
            <w:tcMar>
              <w:top w:w="0" w:type="dxa"/>
              <w:left w:w="17" w:type="dxa"/>
              <w:bottom w:w="0" w:type="dxa"/>
              <w:right w:w="17" w:type="dxa"/>
            </w:tcMar>
            <w:vAlign w:val="center"/>
          </w:tcPr>
          <w:p w14:paraId="724EA5D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59D70DD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4B0F6E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658051E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．加强支付和交付监管</w:t>
            </w:r>
          </w:p>
        </w:tc>
        <w:tc>
          <w:tcPr>
            <w:tcW w:w="5077" w:type="dxa"/>
            <w:noWrap w:val="0"/>
            <w:tcMar>
              <w:top w:w="0" w:type="dxa"/>
              <w:left w:w="17" w:type="dxa"/>
              <w:bottom w:w="0" w:type="dxa"/>
              <w:right w:w="17" w:type="dxa"/>
            </w:tcMar>
            <w:vAlign w:val="center"/>
          </w:tcPr>
          <w:p w14:paraId="65E1D5B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（1）督促采购人在项目完成后及时进行履约验收，并出具验收书，不得无故拖延、附加额外条件。</w:t>
            </w:r>
          </w:p>
          <w:p w14:paraId="708E0C5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（2）督促采购人按照项目进度及政府采购合同约定支付采购资金，不得无故拖欠资金。</w:t>
            </w:r>
          </w:p>
          <w:p w14:paraId="4D4C4EA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（3）建立定期督查机制，严肃处理政府采购资金支付不及时等问题。</w:t>
            </w:r>
          </w:p>
        </w:tc>
        <w:tc>
          <w:tcPr>
            <w:tcW w:w="1064" w:type="dxa"/>
            <w:noWrap w:val="0"/>
            <w:tcMar>
              <w:top w:w="0" w:type="dxa"/>
              <w:left w:w="17" w:type="dxa"/>
              <w:bottom w:w="0" w:type="dxa"/>
              <w:right w:w="17" w:type="dxa"/>
            </w:tcMar>
            <w:vAlign w:val="center"/>
          </w:tcPr>
          <w:p w14:paraId="4AB7C9C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p>
        </w:tc>
        <w:tc>
          <w:tcPr>
            <w:tcW w:w="1302" w:type="dxa"/>
            <w:noWrap w:val="0"/>
            <w:tcMar>
              <w:top w:w="0" w:type="dxa"/>
              <w:left w:w="17" w:type="dxa"/>
              <w:bottom w:w="0" w:type="dxa"/>
              <w:right w:w="17" w:type="dxa"/>
            </w:tcMar>
            <w:vAlign w:val="center"/>
          </w:tcPr>
          <w:p w14:paraId="2AB8D2D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296D080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224CFA6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五</w:t>
            </w:r>
            <w:r>
              <w:rPr>
                <w:rFonts w:hint="eastAsia" w:ascii="方正仿宋_GBK" w:hAnsi="方正仿宋_GBK" w:eastAsia="方正仿宋_GBK" w:cs="方正仿宋_GBK"/>
                <w:sz w:val="21"/>
                <w:szCs w:val="21"/>
              </w:rPr>
              <w:t>、招标投标</w:t>
            </w:r>
          </w:p>
        </w:tc>
        <w:tc>
          <w:tcPr>
            <w:tcW w:w="1147" w:type="dxa"/>
            <w:vMerge w:val="restart"/>
            <w:noWrap w:val="0"/>
            <w:tcMar>
              <w:top w:w="0" w:type="dxa"/>
              <w:left w:w="17" w:type="dxa"/>
              <w:bottom w:w="0" w:type="dxa"/>
              <w:right w:w="17" w:type="dxa"/>
            </w:tcMar>
            <w:vAlign w:val="center"/>
          </w:tcPr>
          <w:p w14:paraId="0AF00EC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6</w:t>
            </w:r>
            <w:r>
              <w:rPr>
                <w:rFonts w:hint="eastAsia" w:ascii="方正仿宋_GBK" w:hAnsi="方正仿宋_GBK" w:eastAsia="方正仿宋_GBK" w:cs="方正仿宋_GBK"/>
                <w:spacing w:val="-8"/>
                <w:sz w:val="21"/>
                <w:szCs w:val="21"/>
                <w:lang w:val="en-US" w:eastAsia="zh-CN"/>
              </w:rPr>
              <w:t>3</w:t>
            </w:r>
            <w:r>
              <w:rPr>
                <w:rFonts w:hint="eastAsia" w:ascii="方正仿宋_GBK" w:hAnsi="方正仿宋_GBK" w:eastAsia="方正仿宋_GBK" w:cs="方正仿宋_GBK"/>
                <w:spacing w:val="-8"/>
                <w:sz w:val="21"/>
                <w:szCs w:val="21"/>
              </w:rPr>
              <w:t>．大力推行“互联网+</w:t>
            </w:r>
            <w:r>
              <w:rPr>
                <w:rFonts w:hint="eastAsia" w:ascii="方正仿宋_GBK" w:hAnsi="方正仿宋_GBK" w:eastAsia="方正仿宋_GBK" w:cs="方正仿宋_GBK"/>
                <w:sz w:val="21"/>
                <w:szCs w:val="21"/>
              </w:rPr>
              <w:t>招标采购”</w:t>
            </w:r>
          </w:p>
        </w:tc>
        <w:tc>
          <w:tcPr>
            <w:tcW w:w="5077" w:type="dxa"/>
            <w:noWrap w:val="0"/>
            <w:tcMar>
              <w:top w:w="0" w:type="dxa"/>
              <w:left w:w="17" w:type="dxa"/>
              <w:bottom w:w="0" w:type="dxa"/>
              <w:right w:w="17" w:type="dxa"/>
            </w:tcMar>
            <w:vAlign w:val="center"/>
          </w:tcPr>
          <w:p w14:paraId="505D1B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（1）推动电子招投标系统建设。升级完善统一的招标投标电子系统，2019年底前</w:t>
            </w:r>
            <w:r>
              <w:rPr>
                <w:rFonts w:hint="eastAsia" w:ascii="方正仿宋_GBK" w:hAnsi="方正仿宋_GBK" w:eastAsia="方正仿宋_GBK" w:cs="方正仿宋_GBK"/>
                <w:sz w:val="21"/>
                <w:szCs w:val="21"/>
                <w:lang w:eastAsia="zh-CN"/>
              </w:rPr>
              <w:t>投入</w:t>
            </w:r>
            <w:r>
              <w:rPr>
                <w:rFonts w:hint="eastAsia" w:ascii="方正仿宋_GBK" w:hAnsi="方正仿宋_GBK" w:eastAsia="方正仿宋_GBK" w:cs="方正仿宋_GBK"/>
                <w:sz w:val="21"/>
                <w:szCs w:val="21"/>
              </w:rPr>
              <w:t>使用</w:t>
            </w:r>
            <w:r>
              <w:rPr>
                <w:rFonts w:hint="eastAsia" w:ascii="方正仿宋_GBK" w:hAnsi="方正仿宋_GBK" w:eastAsia="方正仿宋_GBK" w:cs="方正仿宋_GBK"/>
                <w:color w:val="auto"/>
                <w:sz w:val="21"/>
                <w:szCs w:val="21"/>
              </w:rPr>
              <w:t>。</w:t>
            </w:r>
          </w:p>
        </w:tc>
        <w:tc>
          <w:tcPr>
            <w:tcW w:w="1064" w:type="dxa"/>
            <w:noWrap w:val="0"/>
            <w:tcMar>
              <w:top w:w="0" w:type="dxa"/>
              <w:left w:w="17" w:type="dxa"/>
              <w:bottom w:w="0" w:type="dxa"/>
              <w:right w:w="17" w:type="dxa"/>
            </w:tcMar>
            <w:vAlign w:val="center"/>
          </w:tcPr>
          <w:p w14:paraId="7606556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公共资源交易中心</w:t>
            </w:r>
          </w:p>
        </w:tc>
        <w:tc>
          <w:tcPr>
            <w:tcW w:w="1302" w:type="dxa"/>
            <w:noWrap w:val="0"/>
            <w:tcMar>
              <w:top w:w="0" w:type="dxa"/>
              <w:left w:w="17" w:type="dxa"/>
              <w:bottom w:w="0" w:type="dxa"/>
              <w:right w:w="17" w:type="dxa"/>
            </w:tcMar>
            <w:vAlign w:val="center"/>
          </w:tcPr>
          <w:p w14:paraId="1D54628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区公管局</w:t>
            </w:r>
          </w:p>
        </w:tc>
      </w:tr>
      <w:tr w14:paraId="70871CF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611588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0E1B350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2AF7433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（2）推广全流程电子招投标。提高电子交易比例，2020年底前全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招标投标项目基本实现交易、监督、信息发布全流程电子化。</w:t>
            </w:r>
          </w:p>
        </w:tc>
        <w:tc>
          <w:tcPr>
            <w:tcW w:w="1064" w:type="dxa"/>
            <w:noWrap w:val="0"/>
            <w:tcMar>
              <w:top w:w="0" w:type="dxa"/>
              <w:left w:w="17" w:type="dxa"/>
              <w:bottom w:w="0" w:type="dxa"/>
              <w:right w:w="17" w:type="dxa"/>
            </w:tcMar>
            <w:vAlign w:val="center"/>
          </w:tcPr>
          <w:p w14:paraId="4912F93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区公管局</w:t>
            </w:r>
          </w:p>
        </w:tc>
        <w:tc>
          <w:tcPr>
            <w:tcW w:w="1302" w:type="dxa"/>
            <w:noWrap w:val="0"/>
            <w:tcMar>
              <w:top w:w="0" w:type="dxa"/>
              <w:left w:w="17" w:type="dxa"/>
              <w:bottom w:w="0" w:type="dxa"/>
              <w:right w:w="17" w:type="dxa"/>
            </w:tcMar>
            <w:vAlign w:val="center"/>
          </w:tcPr>
          <w:p w14:paraId="22E4AC3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公共资源交易中心</w:t>
            </w:r>
          </w:p>
        </w:tc>
      </w:tr>
      <w:tr w14:paraId="61CF3C6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FF822B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61CDAA6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64</w:t>
            </w:r>
            <w:r>
              <w:rPr>
                <w:rFonts w:hint="eastAsia" w:ascii="方正仿宋_GBK" w:hAnsi="方正仿宋_GBK" w:eastAsia="方正仿宋_GBK" w:cs="方正仿宋_GBK"/>
                <w:sz w:val="21"/>
                <w:szCs w:val="21"/>
              </w:rPr>
              <w:t>．严格投标和履约担保管理</w:t>
            </w:r>
          </w:p>
        </w:tc>
        <w:tc>
          <w:tcPr>
            <w:tcW w:w="5077" w:type="dxa"/>
            <w:noWrap w:val="0"/>
            <w:tcMar>
              <w:top w:w="0" w:type="dxa"/>
              <w:left w:w="17" w:type="dxa"/>
              <w:bottom w:w="0" w:type="dxa"/>
              <w:right w:w="17" w:type="dxa"/>
            </w:tcMar>
            <w:vAlign w:val="center"/>
          </w:tcPr>
          <w:p w14:paraId="1943191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（1）投标保证金由</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公共资源交易中心集中代收代管。对具备保证金结算条件的银行在准入、运行中公平对待。</w:t>
            </w:r>
          </w:p>
          <w:p w14:paraId="6255FFF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（2）招标人提出退还投标保证金的，在2个工作日内办结。</w:t>
            </w:r>
          </w:p>
        </w:tc>
        <w:tc>
          <w:tcPr>
            <w:tcW w:w="1064" w:type="dxa"/>
            <w:noWrap w:val="0"/>
            <w:tcMar>
              <w:top w:w="0" w:type="dxa"/>
              <w:left w:w="17" w:type="dxa"/>
              <w:bottom w:w="0" w:type="dxa"/>
              <w:right w:w="17" w:type="dxa"/>
            </w:tcMar>
            <w:vAlign w:val="center"/>
          </w:tcPr>
          <w:p w14:paraId="201D1AE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公共资源交易中心</w:t>
            </w:r>
          </w:p>
        </w:tc>
        <w:tc>
          <w:tcPr>
            <w:tcW w:w="1302" w:type="dxa"/>
            <w:noWrap w:val="0"/>
            <w:tcMar>
              <w:top w:w="0" w:type="dxa"/>
              <w:left w:w="17" w:type="dxa"/>
              <w:bottom w:w="0" w:type="dxa"/>
              <w:right w:w="17" w:type="dxa"/>
            </w:tcMar>
            <w:vAlign w:val="center"/>
          </w:tcPr>
          <w:p w14:paraId="1A2EC5D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4488FFF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006F479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3522D8A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65</w:t>
            </w:r>
            <w:r>
              <w:rPr>
                <w:rFonts w:hint="eastAsia" w:ascii="方正仿宋_GBK" w:hAnsi="方正仿宋_GBK" w:eastAsia="方正仿宋_GBK" w:cs="方正仿宋_GBK"/>
                <w:sz w:val="21"/>
                <w:szCs w:val="21"/>
              </w:rPr>
              <w:t>．保证</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内外企业公平竞争</w:t>
            </w:r>
          </w:p>
        </w:tc>
        <w:tc>
          <w:tcPr>
            <w:tcW w:w="5077" w:type="dxa"/>
            <w:noWrap w:val="0"/>
            <w:tcMar>
              <w:top w:w="0" w:type="dxa"/>
              <w:left w:w="17" w:type="dxa"/>
              <w:bottom w:w="0" w:type="dxa"/>
              <w:right w:w="17" w:type="dxa"/>
            </w:tcMar>
            <w:vAlign w:val="center"/>
          </w:tcPr>
          <w:p w14:paraId="393716D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加快制定推行招标文件标准文本，实现招标文件对</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内外企业公平对待，在资格条件、废标条款、评标办法、定标条件、合同条款等设置上一视同仁。2020年底前实行全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统一的招标文件标准文本。</w:t>
            </w:r>
          </w:p>
        </w:tc>
        <w:tc>
          <w:tcPr>
            <w:tcW w:w="1064" w:type="dxa"/>
            <w:noWrap w:val="0"/>
            <w:tcMar>
              <w:top w:w="0" w:type="dxa"/>
              <w:left w:w="17" w:type="dxa"/>
              <w:bottom w:w="0" w:type="dxa"/>
              <w:right w:w="17" w:type="dxa"/>
            </w:tcMar>
            <w:vAlign w:val="center"/>
          </w:tcPr>
          <w:p w14:paraId="4A7136A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区公管局</w:t>
            </w:r>
          </w:p>
        </w:tc>
        <w:tc>
          <w:tcPr>
            <w:tcW w:w="1302" w:type="dxa"/>
            <w:noWrap w:val="0"/>
            <w:tcMar>
              <w:top w:w="0" w:type="dxa"/>
              <w:left w:w="17" w:type="dxa"/>
              <w:bottom w:w="0" w:type="dxa"/>
              <w:right w:w="17" w:type="dxa"/>
            </w:tcMar>
            <w:vAlign w:val="center"/>
          </w:tcPr>
          <w:p w14:paraId="47CCC71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2814A97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6CF26C0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08747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66</w:t>
            </w:r>
            <w:r>
              <w:rPr>
                <w:rFonts w:hint="eastAsia" w:ascii="方正仿宋_GBK" w:hAnsi="方正仿宋_GBK" w:eastAsia="方正仿宋_GBK" w:cs="方正仿宋_GBK"/>
                <w:sz w:val="21"/>
                <w:szCs w:val="21"/>
              </w:rPr>
              <w:t>．建立公平有效的投诉机制</w:t>
            </w:r>
          </w:p>
        </w:tc>
        <w:tc>
          <w:tcPr>
            <w:tcW w:w="5077" w:type="dxa"/>
            <w:noWrap w:val="0"/>
            <w:tcMar>
              <w:top w:w="0" w:type="dxa"/>
              <w:left w:w="17" w:type="dxa"/>
              <w:bottom w:w="0" w:type="dxa"/>
              <w:right w:w="17" w:type="dxa"/>
            </w:tcMar>
            <w:vAlign w:val="center"/>
          </w:tcPr>
          <w:p w14:paraId="1EFC19F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进一步完善招标投标投诉、受理、调查、处理流程，</w:t>
            </w:r>
            <w:r>
              <w:rPr>
                <w:rFonts w:hint="eastAsia" w:ascii="方正仿宋_GBK" w:hAnsi="方正仿宋_GBK" w:eastAsia="方正仿宋_GBK" w:cs="方正仿宋_GBK"/>
                <w:sz w:val="21"/>
                <w:szCs w:val="21"/>
                <w:lang w:eastAsia="zh-CN"/>
              </w:rPr>
              <w:t>及时贯彻执行</w:t>
            </w:r>
            <w:r>
              <w:rPr>
                <w:rFonts w:hint="eastAsia" w:ascii="方正仿宋_GBK" w:hAnsi="方正仿宋_GBK" w:eastAsia="方正仿宋_GBK" w:cs="方正仿宋_GBK"/>
                <w:sz w:val="21"/>
                <w:szCs w:val="21"/>
                <w:lang w:val="en-US" w:eastAsia="zh-CN"/>
              </w:rPr>
              <w:t>2020年底前市级制定完善的</w:t>
            </w:r>
            <w:r>
              <w:rPr>
                <w:rFonts w:hint="eastAsia" w:ascii="方正仿宋_GBK" w:hAnsi="方正仿宋_GBK" w:eastAsia="方正仿宋_GBK" w:cs="方正仿宋_GBK"/>
                <w:sz w:val="21"/>
                <w:szCs w:val="21"/>
              </w:rPr>
              <w:t>《招标投标活动异议投诉处理实施细则》等制度。依法查处违法违规行为，规范行政处罚自由裁量权，促进招标投标市场健康有序发展。</w:t>
            </w:r>
            <w:r>
              <w:rPr>
                <w:rFonts w:hint="eastAsia" w:ascii="方正仿宋_GBK" w:hAnsi="方正仿宋_GBK" w:eastAsia="方正仿宋_GBK" w:cs="方正仿宋_GBK"/>
                <w:sz w:val="21"/>
                <w:szCs w:val="21"/>
                <w:lang w:eastAsia="zh-CN"/>
              </w:rPr>
              <w:t>及时贯彻执行</w:t>
            </w:r>
            <w:r>
              <w:rPr>
                <w:rFonts w:hint="eastAsia" w:ascii="方正仿宋_GBK" w:hAnsi="方正仿宋_GBK" w:eastAsia="方正仿宋_GBK" w:cs="方正仿宋_GBK"/>
                <w:sz w:val="21"/>
                <w:szCs w:val="21"/>
              </w:rPr>
              <w:t>2021年底前</w:t>
            </w:r>
            <w:r>
              <w:rPr>
                <w:rFonts w:hint="eastAsia" w:ascii="方正仿宋_GBK" w:hAnsi="方正仿宋_GBK" w:eastAsia="方正仿宋_GBK" w:cs="方正仿宋_GBK"/>
                <w:sz w:val="21"/>
                <w:szCs w:val="21"/>
                <w:lang w:eastAsia="zh-CN"/>
              </w:rPr>
              <w:t>市级</w:t>
            </w:r>
            <w:r>
              <w:rPr>
                <w:rFonts w:hint="eastAsia" w:ascii="方正仿宋_GBK" w:hAnsi="方正仿宋_GBK" w:eastAsia="方正仿宋_GBK" w:cs="方正仿宋_GBK"/>
                <w:sz w:val="21"/>
                <w:szCs w:val="21"/>
              </w:rPr>
              <w:t>修订</w:t>
            </w:r>
            <w:r>
              <w:rPr>
                <w:rFonts w:hint="eastAsia" w:ascii="方正仿宋_GBK" w:hAnsi="方正仿宋_GBK" w:eastAsia="方正仿宋_GBK" w:cs="方正仿宋_GBK"/>
                <w:sz w:val="21"/>
                <w:szCs w:val="21"/>
                <w:lang w:eastAsia="zh-CN"/>
              </w:rPr>
              <w:t>的</w:t>
            </w:r>
            <w:r>
              <w:rPr>
                <w:rFonts w:hint="eastAsia" w:ascii="方正仿宋_GBK" w:hAnsi="方正仿宋_GBK" w:eastAsia="方正仿宋_GBK" w:cs="方正仿宋_GBK"/>
                <w:sz w:val="21"/>
                <w:szCs w:val="21"/>
              </w:rPr>
              <w:t>招标投标活动异议投诉处理自由裁量权基准。</w:t>
            </w:r>
          </w:p>
        </w:tc>
        <w:tc>
          <w:tcPr>
            <w:tcW w:w="1064" w:type="dxa"/>
            <w:noWrap w:val="0"/>
            <w:tcMar>
              <w:top w:w="0" w:type="dxa"/>
              <w:left w:w="17" w:type="dxa"/>
              <w:bottom w:w="0" w:type="dxa"/>
              <w:right w:w="17" w:type="dxa"/>
            </w:tcMar>
            <w:vAlign w:val="center"/>
          </w:tcPr>
          <w:p w14:paraId="0CCA923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区公管局</w:t>
            </w:r>
          </w:p>
        </w:tc>
        <w:tc>
          <w:tcPr>
            <w:tcW w:w="1302" w:type="dxa"/>
            <w:noWrap w:val="0"/>
            <w:tcMar>
              <w:top w:w="0" w:type="dxa"/>
              <w:left w:w="17" w:type="dxa"/>
              <w:bottom w:w="0" w:type="dxa"/>
              <w:right w:w="17" w:type="dxa"/>
            </w:tcMar>
            <w:vAlign w:val="center"/>
          </w:tcPr>
          <w:p w14:paraId="58705DA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p>
        </w:tc>
      </w:tr>
      <w:tr w14:paraId="7D94A1E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138A5EF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六</w:t>
            </w:r>
            <w:r>
              <w:rPr>
                <w:rFonts w:hint="eastAsia" w:ascii="方正仿宋_GBK" w:hAnsi="方正仿宋_GBK" w:eastAsia="方正仿宋_GBK" w:cs="方正仿宋_GBK"/>
                <w:sz w:val="21"/>
                <w:szCs w:val="21"/>
              </w:rPr>
              <w:t>、政务服务</w:t>
            </w:r>
          </w:p>
        </w:tc>
        <w:tc>
          <w:tcPr>
            <w:tcW w:w="1147" w:type="dxa"/>
            <w:vMerge w:val="restart"/>
            <w:noWrap w:val="0"/>
            <w:tcMar>
              <w:top w:w="0" w:type="dxa"/>
              <w:left w:w="17" w:type="dxa"/>
              <w:bottom w:w="0" w:type="dxa"/>
              <w:right w:w="17" w:type="dxa"/>
            </w:tcMar>
            <w:vAlign w:val="center"/>
          </w:tcPr>
          <w:p w14:paraId="4DCBCC4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67</w:t>
            </w:r>
            <w:r>
              <w:rPr>
                <w:rFonts w:hint="eastAsia" w:ascii="方正仿宋_GBK" w:hAnsi="方正仿宋_GBK" w:eastAsia="方正仿宋_GBK" w:cs="方正仿宋_GBK"/>
                <w:sz w:val="21"/>
                <w:szCs w:val="21"/>
              </w:rPr>
              <w:t>．提升网上政务服务能力</w:t>
            </w:r>
          </w:p>
        </w:tc>
        <w:tc>
          <w:tcPr>
            <w:tcW w:w="5077" w:type="dxa"/>
            <w:noWrap w:val="0"/>
            <w:tcMar>
              <w:top w:w="0" w:type="dxa"/>
              <w:left w:w="17" w:type="dxa"/>
              <w:bottom w:w="0" w:type="dxa"/>
              <w:right w:w="17" w:type="dxa"/>
            </w:tcMar>
            <w:vAlign w:val="center"/>
          </w:tcPr>
          <w:p w14:paraId="38E3C2B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（1）创响“</w:t>
            </w:r>
            <w:r>
              <w:rPr>
                <w:rFonts w:hint="eastAsia" w:ascii="方正仿宋_GBK" w:hAnsi="方正仿宋_GBK" w:eastAsia="方正仿宋_GBK" w:cs="方正仿宋_GBK"/>
                <w:color w:val="000000"/>
                <w:sz w:val="21"/>
                <w:szCs w:val="21"/>
              </w:rPr>
              <w:t>渝快办</w:t>
            </w:r>
            <w:r>
              <w:rPr>
                <w:rFonts w:hint="eastAsia" w:ascii="方正仿宋_GBK" w:hAnsi="方正仿宋_GBK" w:eastAsia="方正仿宋_GBK" w:cs="方正仿宋_GBK"/>
                <w:sz w:val="21"/>
                <w:szCs w:val="21"/>
              </w:rPr>
              <w:t>”服务品牌。将“</w:t>
            </w:r>
            <w:r>
              <w:rPr>
                <w:rFonts w:hint="eastAsia" w:ascii="方正仿宋_GBK" w:hAnsi="方正仿宋_GBK" w:eastAsia="方正仿宋_GBK" w:cs="方正仿宋_GBK"/>
                <w:color w:val="000000"/>
                <w:sz w:val="21"/>
                <w:szCs w:val="21"/>
              </w:rPr>
              <w:t>渝快办</w:t>
            </w:r>
            <w:r>
              <w:rPr>
                <w:rFonts w:hint="eastAsia" w:ascii="方正仿宋_GBK" w:hAnsi="方正仿宋_GBK" w:eastAsia="方正仿宋_GBK" w:cs="方正仿宋_GBK"/>
                <w:sz w:val="21"/>
                <w:szCs w:val="21"/>
              </w:rPr>
              <w:t>”打造成为全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社会治理和公共服务的网上总平台、总门户、总枢纽，不断拓展政务服务事项接入范围和服务渠道。</w:t>
            </w:r>
          </w:p>
        </w:tc>
        <w:tc>
          <w:tcPr>
            <w:tcW w:w="1064" w:type="dxa"/>
            <w:noWrap w:val="0"/>
            <w:tcMar>
              <w:top w:w="0" w:type="dxa"/>
              <w:left w:w="17" w:type="dxa"/>
              <w:bottom w:w="0" w:type="dxa"/>
              <w:right w:w="17" w:type="dxa"/>
            </w:tcMar>
            <w:vAlign w:val="center"/>
          </w:tcPr>
          <w:p w14:paraId="519A334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政务</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办</w:t>
            </w:r>
          </w:p>
        </w:tc>
        <w:tc>
          <w:tcPr>
            <w:tcW w:w="1302" w:type="dxa"/>
            <w:noWrap w:val="0"/>
            <w:tcMar>
              <w:top w:w="0" w:type="dxa"/>
              <w:left w:w="17" w:type="dxa"/>
              <w:bottom w:w="0" w:type="dxa"/>
              <w:right w:w="17" w:type="dxa"/>
            </w:tcMar>
            <w:vAlign w:val="center"/>
          </w:tcPr>
          <w:p w14:paraId="1900058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7A67DEB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025AEC1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43F515A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522DC9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（2）实现网上办理事项清单全覆盖。全面梳理行政权力和公共服务事项，规范办事流程、材料等要求，形成全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统一的“四级四同”清单及标准化规范化办事指南并动态调整。推动依申请行使的行政许可、行政确认等6类行政权力网上办理，实现应上尽上。</w:t>
            </w:r>
          </w:p>
        </w:tc>
        <w:tc>
          <w:tcPr>
            <w:tcW w:w="1064" w:type="dxa"/>
            <w:noWrap w:val="0"/>
            <w:tcMar>
              <w:top w:w="0" w:type="dxa"/>
              <w:left w:w="17" w:type="dxa"/>
              <w:bottom w:w="0" w:type="dxa"/>
              <w:right w:w="17" w:type="dxa"/>
            </w:tcMar>
            <w:vAlign w:val="center"/>
          </w:tcPr>
          <w:p w14:paraId="0197A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区政务服务办</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p>
        </w:tc>
        <w:tc>
          <w:tcPr>
            <w:tcW w:w="1302" w:type="dxa"/>
            <w:noWrap w:val="0"/>
            <w:tcMar>
              <w:top w:w="0" w:type="dxa"/>
              <w:left w:w="17" w:type="dxa"/>
              <w:bottom w:w="0" w:type="dxa"/>
              <w:right w:w="17" w:type="dxa"/>
            </w:tcMar>
            <w:vAlign w:val="center"/>
          </w:tcPr>
          <w:p w14:paraId="32B1170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6423F73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D27A79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627012E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2840FF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（3）提高网上全流程办理比例。推动服务事项全流程网上办理，实现</w:t>
            </w:r>
            <w:r>
              <w:rPr>
                <w:rFonts w:hint="eastAsia" w:ascii="方正仿宋_GBK" w:hAnsi="方正仿宋_GBK" w:eastAsia="方正仿宋_GBK" w:cs="方正仿宋_GBK"/>
                <w:color w:val="auto"/>
                <w:sz w:val="21"/>
                <w:szCs w:val="21"/>
              </w:rPr>
              <w:t>70%</w:t>
            </w:r>
            <w:r>
              <w:rPr>
                <w:rFonts w:hint="eastAsia" w:ascii="方正仿宋_GBK" w:hAnsi="方正仿宋_GBK" w:eastAsia="方正仿宋_GBK" w:cs="方正仿宋_GBK"/>
                <w:sz w:val="21"/>
                <w:szCs w:val="21"/>
              </w:rPr>
              <w:t>以上依申请类政务服务事项网上申办。建立网上预审机制，及时推送预审结果，一次性告知需补正材料。推动开办企业、工程建设项目审批、不动产登记等重点事项跨部门协同审批，大幅提升办理效率。</w:t>
            </w:r>
          </w:p>
        </w:tc>
        <w:tc>
          <w:tcPr>
            <w:tcW w:w="1064" w:type="dxa"/>
            <w:noWrap w:val="0"/>
            <w:tcMar>
              <w:top w:w="0" w:type="dxa"/>
              <w:left w:w="17" w:type="dxa"/>
              <w:bottom w:w="0" w:type="dxa"/>
              <w:right w:w="17" w:type="dxa"/>
            </w:tcMar>
            <w:vAlign w:val="center"/>
          </w:tcPr>
          <w:p w14:paraId="276842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区政务服务</w:t>
            </w:r>
            <w:r>
              <w:rPr>
                <w:rFonts w:hint="eastAsia" w:ascii="方正仿宋_GBK" w:hAnsi="方正仿宋_GBK" w:eastAsia="方正仿宋_GBK" w:cs="方正仿宋_GBK"/>
                <w:sz w:val="21"/>
                <w:szCs w:val="21"/>
              </w:rPr>
              <w:t>办</w:t>
            </w:r>
          </w:p>
        </w:tc>
        <w:tc>
          <w:tcPr>
            <w:tcW w:w="1302" w:type="dxa"/>
            <w:noWrap w:val="0"/>
            <w:tcMar>
              <w:top w:w="0" w:type="dxa"/>
              <w:left w:w="17" w:type="dxa"/>
              <w:bottom w:w="0" w:type="dxa"/>
              <w:right w:w="17" w:type="dxa"/>
            </w:tcMar>
            <w:vAlign w:val="center"/>
          </w:tcPr>
          <w:p w14:paraId="0A448C2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r>
      <w:tr w14:paraId="4F7E85C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3A61CD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74882EE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68</w:t>
            </w:r>
            <w:r>
              <w:rPr>
                <w:rFonts w:hint="eastAsia" w:ascii="方正仿宋_GBK" w:hAnsi="方正仿宋_GBK" w:eastAsia="方正仿宋_GBK" w:cs="方正仿宋_GBK"/>
                <w:sz w:val="21"/>
                <w:szCs w:val="21"/>
              </w:rPr>
              <w:t>．提高政务服务事项便利度</w:t>
            </w:r>
          </w:p>
          <w:p w14:paraId="6E88B5B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6673A3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（1）深化一窗受理、集成服务。加快形成以跨部门综合窗口服务为主、部门专窗服务为辅的综合服务模式，提高进驻综合窗口事项比例。区政务服务事项进驻综合实体大厅比例达80%以上，全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各级政务服务事项“一窗”受理比例达80%以上。</w:t>
            </w:r>
          </w:p>
        </w:tc>
        <w:tc>
          <w:tcPr>
            <w:tcW w:w="1064" w:type="dxa"/>
            <w:noWrap w:val="0"/>
            <w:tcMar>
              <w:top w:w="0" w:type="dxa"/>
              <w:left w:w="17" w:type="dxa"/>
              <w:bottom w:w="0" w:type="dxa"/>
              <w:right w:w="17" w:type="dxa"/>
            </w:tcMar>
            <w:vAlign w:val="center"/>
          </w:tcPr>
          <w:p w14:paraId="695F56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区政务服务办</w:t>
            </w:r>
          </w:p>
        </w:tc>
        <w:tc>
          <w:tcPr>
            <w:tcW w:w="1302" w:type="dxa"/>
            <w:noWrap w:val="0"/>
            <w:tcMar>
              <w:top w:w="0" w:type="dxa"/>
              <w:left w:w="17" w:type="dxa"/>
              <w:bottom w:w="0" w:type="dxa"/>
              <w:right w:w="17" w:type="dxa"/>
            </w:tcMar>
            <w:vAlign w:val="center"/>
          </w:tcPr>
          <w:p w14:paraId="4DDA270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1937863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196494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04E4EED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3A24B09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pacing w:val="-11"/>
                <w:sz w:val="21"/>
                <w:szCs w:val="21"/>
              </w:rPr>
              <w:t>推进政务服务线上线下深度融合。推进政务服务事项就近能办、网上直办、异地可办，建立跨区域共享交换办理系统。推进政务服务窗口端、PC端、移动端、自助端“四端同步”服务，实现各层级各部门数据动态同步。</w:t>
            </w:r>
          </w:p>
        </w:tc>
        <w:tc>
          <w:tcPr>
            <w:tcW w:w="1064" w:type="dxa"/>
            <w:noWrap w:val="0"/>
            <w:tcMar>
              <w:top w:w="0" w:type="dxa"/>
              <w:left w:w="17" w:type="dxa"/>
              <w:bottom w:w="0" w:type="dxa"/>
              <w:right w:w="17" w:type="dxa"/>
            </w:tcMar>
            <w:vAlign w:val="center"/>
          </w:tcPr>
          <w:p w14:paraId="2BE595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区政务服务办</w:t>
            </w:r>
          </w:p>
        </w:tc>
        <w:tc>
          <w:tcPr>
            <w:tcW w:w="1302" w:type="dxa"/>
            <w:noWrap w:val="0"/>
            <w:tcMar>
              <w:top w:w="0" w:type="dxa"/>
              <w:left w:w="17" w:type="dxa"/>
              <w:bottom w:w="0" w:type="dxa"/>
              <w:right w:w="17" w:type="dxa"/>
            </w:tcMar>
            <w:vAlign w:val="center"/>
          </w:tcPr>
          <w:p w14:paraId="47E521B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6269C03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5BE17A2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六</w:t>
            </w:r>
            <w:r>
              <w:rPr>
                <w:rFonts w:hint="eastAsia" w:ascii="方正仿宋_GBK" w:hAnsi="方正仿宋_GBK" w:eastAsia="方正仿宋_GBK" w:cs="方正仿宋_GBK"/>
                <w:sz w:val="21"/>
                <w:szCs w:val="21"/>
              </w:rPr>
              <w:t>、政务服务</w:t>
            </w:r>
          </w:p>
        </w:tc>
        <w:tc>
          <w:tcPr>
            <w:tcW w:w="1147" w:type="dxa"/>
            <w:vMerge w:val="continue"/>
            <w:noWrap w:val="0"/>
            <w:tcMar>
              <w:top w:w="0" w:type="dxa"/>
              <w:left w:w="17" w:type="dxa"/>
              <w:bottom w:w="0" w:type="dxa"/>
              <w:right w:w="17" w:type="dxa"/>
            </w:tcMar>
            <w:vAlign w:val="center"/>
          </w:tcPr>
          <w:p w14:paraId="72C3CA9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6163FE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强化服务能力支撑。完善政务服务平台身份认证、公共支付、物流配送、信用体系功能，加快电子证照库建设，实现政府部门签发的各类证件、执（牌）照、批文、鉴定报告、证明材料等统一编目管理和规范采集入库，推进“一企一档、一人一档，在线核验、在线打印”，逐步实现政府类证照、批文、证明等材料全方位在线互认共享。</w:t>
            </w:r>
          </w:p>
        </w:tc>
        <w:tc>
          <w:tcPr>
            <w:tcW w:w="1064" w:type="dxa"/>
            <w:noWrap w:val="0"/>
            <w:tcMar>
              <w:top w:w="0" w:type="dxa"/>
              <w:left w:w="17" w:type="dxa"/>
              <w:bottom w:w="0" w:type="dxa"/>
              <w:right w:w="17" w:type="dxa"/>
            </w:tcMar>
            <w:vAlign w:val="center"/>
          </w:tcPr>
          <w:p w14:paraId="4DBB99D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区政务服务办</w:t>
            </w:r>
          </w:p>
        </w:tc>
        <w:tc>
          <w:tcPr>
            <w:tcW w:w="1302" w:type="dxa"/>
            <w:noWrap w:val="0"/>
            <w:tcMar>
              <w:top w:w="0" w:type="dxa"/>
              <w:left w:w="17" w:type="dxa"/>
              <w:bottom w:w="0" w:type="dxa"/>
              <w:right w:w="17" w:type="dxa"/>
            </w:tcMar>
            <w:vAlign w:val="center"/>
          </w:tcPr>
          <w:p w14:paraId="5D99D88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r>
      <w:tr w14:paraId="035B370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565130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694DF07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69</w:t>
            </w:r>
            <w:r>
              <w:rPr>
                <w:rFonts w:hint="eastAsia" w:ascii="方正仿宋_GBK" w:hAnsi="方正仿宋_GBK" w:eastAsia="方正仿宋_GBK" w:cs="方正仿宋_GBK"/>
                <w:sz w:val="21"/>
                <w:szCs w:val="21"/>
              </w:rPr>
              <w:t>．提高政务服务满意度</w:t>
            </w:r>
          </w:p>
        </w:tc>
        <w:tc>
          <w:tcPr>
            <w:tcW w:w="5077" w:type="dxa"/>
            <w:noWrap w:val="0"/>
            <w:tcMar>
              <w:top w:w="0" w:type="dxa"/>
              <w:left w:w="17" w:type="dxa"/>
              <w:bottom w:w="0" w:type="dxa"/>
              <w:right w:w="17" w:type="dxa"/>
            </w:tcMar>
            <w:vAlign w:val="center"/>
          </w:tcPr>
          <w:p w14:paraId="34D57EA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（1）打造利企便民“政策直通车”。依托“</w:t>
            </w:r>
            <w:r>
              <w:rPr>
                <w:rFonts w:hint="eastAsia" w:ascii="方正仿宋_GBK" w:hAnsi="方正仿宋_GBK" w:eastAsia="方正仿宋_GBK" w:cs="方正仿宋_GBK"/>
                <w:color w:val="000000"/>
                <w:sz w:val="21"/>
                <w:szCs w:val="21"/>
              </w:rPr>
              <w:t>渝快办</w:t>
            </w:r>
            <w:r>
              <w:rPr>
                <w:rFonts w:hint="eastAsia" w:ascii="方正仿宋_GBK" w:hAnsi="方正仿宋_GBK" w:eastAsia="方正仿宋_GBK" w:cs="方正仿宋_GBK"/>
                <w:sz w:val="21"/>
                <w:szCs w:val="21"/>
              </w:rPr>
              <w:t>”平台，建立“政策直通车”，分类提供政策文件和权威解读，实现利企便民政策全景展示、精准推送、“一站式”发布，增强企业和群众获得感。</w:t>
            </w:r>
          </w:p>
        </w:tc>
        <w:tc>
          <w:tcPr>
            <w:tcW w:w="1064" w:type="dxa"/>
            <w:noWrap w:val="0"/>
            <w:tcMar>
              <w:top w:w="0" w:type="dxa"/>
              <w:left w:w="17" w:type="dxa"/>
              <w:bottom w:w="0" w:type="dxa"/>
              <w:right w:w="17" w:type="dxa"/>
            </w:tcMar>
            <w:vAlign w:val="center"/>
          </w:tcPr>
          <w:p w14:paraId="4002DD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区政务服务办</w:t>
            </w:r>
          </w:p>
        </w:tc>
        <w:tc>
          <w:tcPr>
            <w:tcW w:w="1302" w:type="dxa"/>
            <w:noWrap w:val="0"/>
            <w:tcMar>
              <w:top w:w="0" w:type="dxa"/>
              <w:left w:w="17" w:type="dxa"/>
              <w:bottom w:w="0" w:type="dxa"/>
              <w:right w:w="17" w:type="dxa"/>
            </w:tcMar>
            <w:vAlign w:val="center"/>
          </w:tcPr>
          <w:p w14:paraId="3A1C0B6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3388D33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AFD7C5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3F70B18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60B5D2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（2）建立政务服务“好差评”制度。完善政务服务评价标准</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，拓宽评价渠道，建立差评复核机制，强化结果运用，倒逼政务服务部门转变作风、优化服务、提升效能。</w:t>
            </w:r>
          </w:p>
        </w:tc>
        <w:tc>
          <w:tcPr>
            <w:tcW w:w="1064" w:type="dxa"/>
            <w:noWrap w:val="0"/>
            <w:tcMar>
              <w:top w:w="0" w:type="dxa"/>
              <w:left w:w="17" w:type="dxa"/>
              <w:bottom w:w="0" w:type="dxa"/>
              <w:right w:w="17" w:type="dxa"/>
            </w:tcMar>
            <w:vAlign w:val="center"/>
          </w:tcPr>
          <w:p w14:paraId="1DEB50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区政务服务办</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政府</w:t>
            </w:r>
            <w:r>
              <w:rPr>
                <w:rFonts w:hint="eastAsia" w:ascii="方正仿宋_GBK" w:hAnsi="方正仿宋_GBK" w:eastAsia="方正仿宋_GBK" w:cs="方正仿宋_GBK"/>
                <w:sz w:val="21"/>
                <w:szCs w:val="21"/>
                <w:lang w:eastAsia="zh-CN"/>
              </w:rPr>
              <w:t>办公室</w:t>
            </w:r>
          </w:p>
        </w:tc>
        <w:tc>
          <w:tcPr>
            <w:tcW w:w="1302" w:type="dxa"/>
            <w:noWrap w:val="0"/>
            <w:tcMar>
              <w:top w:w="0" w:type="dxa"/>
              <w:left w:w="17" w:type="dxa"/>
              <w:bottom w:w="0" w:type="dxa"/>
              <w:right w:w="17" w:type="dxa"/>
            </w:tcMar>
            <w:vAlign w:val="center"/>
          </w:tcPr>
          <w:p w14:paraId="23F7E98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4446454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0219F5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04CCB34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13E7D8B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t>用好市</w:t>
            </w:r>
            <w:r>
              <w:rPr>
                <w:rFonts w:hint="eastAsia" w:ascii="方正仿宋_GBK" w:hAnsi="方正仿宋_GBK" w:eastAsia="方正仿宋_GBK" w:cs="方正仿宋_GBK"/>
                <w:sz w:val="21"/>
                <w:szCs w:val="21"/>
              </w:rPr>
              <w:t>政府“12345一号通”问政咨询平台。</w:t>
            </w:r>
            <w:r>
              <w:rPr>
                <w:rFonts w:hint="eastAsia" w:ascii="方正仿宋_GBK" w:hAnsi="方正仿宋_GBK" w:eastAsia="方正仿宋_GBK" w:cs="方正仿宋_GBK"/>
                <w:sz w:val="21"/>
                <w:szCs w:val="21"/>
                <w:lang w:eastAsia="zh-CN"/>
              </w:rPr>
              <w:t>依托重庆市</w:t>
            </w:r>
            <w:r>
              <w:rPr>
                <w:rFonts w:hint="eastAsia" w:ascii="方正仿宋_GBK" w:hAnsi="方正仿宋_GBK" w:eastAsia="方正仿宋_GBK" w:cs="方正仿宋_GBK"/>
                <w:sz w:val="21"/>
                <w:szCs w:val="21"/>
              </w:rPr>
              <w:t>“12345一号通”政务服务热线平台，整合全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各类公共服务渠道，实现“一号对外、统一分派、资源共享、归口办理、统一监管”，提供“一站式”问政咨询服务。</w:t>
            </w:r>
          </w:p>
        </w:tc>
        <w:tc>
          <w:tcPr>
            <w:tcW w:w="1064" w:type="dxa"/>
            <w:noWrap w:val="0"/>
            <w:tcMar>
              <w:top w:w="0" w:type="dxa"/>
              <w:left w:w="17" w:type="dxa"/>
              <w:bottom w:w="0" w:type="dxa"/>
              <w:right w:w="17" w:type="dxa"/>
            </w:tcMar>
            <w:vAlign w:val="center"/>
          </w:tcPr>
          <w:p w14:paraId="523F66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区政府办公室</w:t>
            </w:r>
          </w:p>
        </w:tc>
        <w:tc>
          <w:tcPr>
            <w:tcW w:w="1302" w:type="dxa"/>
            <w:noWrap w:val="0"/>
            <w:tcMar>
              <w:top w:w="0" w:type="dxa"/>
              <w:left w:w="17" w:type="dxa"/>
              <w:bottom w:w="0" w:type="dxa"/>
              <w:right w:w="17" w:type="dxa"/>
            </w:tcMar>
            <w:vAlign w:val="center"/>
          </w:tcPr>
          <w:p w14:paraId="02D0674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r>
      <w:tr w14:paraId="594EBCB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2215" w:hRule="atLeast"/>
          <w:jc w:val="center"/>
        </w:trPr>
        <w:tc>
          <w:tcPr>
            <w:tcW w:w="915" w:type="dxa"/>
            <w:vMerge w:val="continue"/>
            <w:noWrap w:val="0"/>
            <w:tcMar>
              <w:top w:w="0" w:type="dxa"/>
              <w:left w:w="17" w:type="dxa"/>
              <w:bottom w:w="0" w:type="dxa"/>
              <w:right w:w="17" w:type="dxa"/>
            </w:tcMar>
            <w:vAlign w:val="center"/>
          </w:tcPr>
          <w:p w14:paraId="5FA26C6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79F1DF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．推进与国家政务服务平台数据共享</w:t>
            </w:r>
          </w:p>
        </w:tc>
        <w:tc>
          <w:tcPr>
            <w:tcW w:w="5077" w:type="dxa"/>
            <w:noWrap w:val="0"/>
            <w:tcMar>
              <w:top w:w="0" w:type="dxa"/>
              <w:left w:w="17" w:type="dxa"/>
              <w:bottom w:w="0" w:type="dxa"/>
              <w:right w:w="17" w:type="dxa"/>
            </w:tcMar>
            <w:vAlign w:val="center"/>
          </w:tcPr>
          <w:p w14:paraId="286763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（1）全面对接国家政务服务平台。加快全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政务数据资源共享和标准化建设，</w:t>
            </w:r>
            <w:r>
              <w:rPr>
                <w:rFonts w:hint="eastAsia" w:ascii="方正仿宋_GBK" w:hAnsi="方正仿宋_GBK" w:eastAsia="方正仿宋_GBK" w:cs="方正仿宋_GBK"/>
                <w:sz w:val="21"/>
                <w:szCs w:val="21"/>
                <w:lang w:eastAsia="zh-CN"/>
              </w:rPr>
              <w:t>按照市级部署，</w:t>
            </w:r>
            <w:r>
              <w:rPr>
                <w:rFonts w:hint="eastAsia" w:ascii="方正仿宋_GBK" w:hAnsi="方正仿宋_GBK" w:eastAsia="方正仿宋_GBK" w:cs="方正仿宋_GBK"/>
                <w:sz w:val="21"/>
                <w:szCs w:val="21"/>
              </w:rPr>
              <w:t>2019年9月底前与国家政务服务平台实现全面对接，实现内容统一规范、系统深度融合、事项集中发布、服务集中提供、运维统一监控、安全协调联动。</w:t>
            </w:r>
          </w:p>
        </w:tc>
        <w:tc>
          <w:tcPr>
            <w:tcW w:w="1064" w:type="dxa"/>
            <w:noWrap w:val="0"/>
            <w:tcMar>
              <w:top w:w="0" w:type="dxa"/>
              <w:left w:w="17" w:type="dxa"/>
              <w:bottom w:w="0" w:type="dxa"/>
              <w:right w:w="17" w:type="dxa"/>
            </w:tcMar>
            <w:vAlign w:val="center"/>
          </w:tcPr>
          <w:p w14:paraId="5F2B09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区政务服务办</w:t>
            </w:r>
          </w:p>
        </w:tc>
        <w:tc>
          <w:tcPr>
            <w:tcW w:w="1302" w:type="dxa"/>
            <w:noWrap w:val="0"/>
            <w:tcMar>
              <w:top w:w="0" w:type="dxa"/>
              <w:left w:w="17" w:type="dxa"/>
              <w:bottom w:w="0" w:type="dxa"/>
              <w:right w:w="17" w:type="dxa"/>
            </w:tcMar>
            <w:vAlign w:val="center"/>
          </w:tcPr>
          <w:p w14:paraId="5FBDD5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r>
      <w:tr w14:paraId="7308CD3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855" w:hRule="atLeast"/>
          <w:jc w:val="center"/>
        </w:trPr>
        <w:tc>
          <w:tcPr>
            <w:tcW w:w="915" w:type="dxa"/>
            <w:vMerge w:val="continue"/>
            <w:noWrap w:val="0"/>
            <w:tcMar>
              <w:top w:w="0" w:type="dxa"/>
              <w:left w:w="17" w:type="dxa"/>
              <w:bottom w:w="0" w:type="dxa"/>
              <w:right w:w="17" w:type="dxa"/>
            </w:tcMar>
            <w:vAlign w:val="center"/>
          </w:tcPr>
          <w:p w14:paraId="4025001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2D0A4A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09FE05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（2）健全数据共享机制。制定政务服务数据共享责任清单，统一数据标准、接口，推动部门间数据资源有序共享。基本实现能通过数据共享获取的、能通过网络核验的、前序流程已收取的材料不再提交。</w:t>
            </w:r>
          </w:p>
        </w:tc>
        <w:tc>
          <w:tcPr>
            <w:tcW w:w="1064" w:type="dxa"/>
            <w:noWrap w:val="0"/>
            <w:tcMar>
              <w:top w:w="0" w:type="dxa"/>
              <w:left w:w="17" w:type="dxa"/>
              <w:bottom w:w="0" w:type="dxa"/>
              <w:right w:w="17" w:type="dxa"/>
            </w:tcMar>
            <w:vAlign w:val="center"/>
          </w:tcPr>
          <w:p w14:paraId="28FD0C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政务</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办</w:t>
            </w:r>
          </w:p>
        </w:tc>
        <w:tc>
          <w:tcPr>
            <w:tcW w:w="1302" w:type="dxa"/>
            <w:noWrap w:val="0"/>
            <w:tcMar>
              <w:top w:w="0" w:type="dxa"/>
              <w:left w:w="17" w:type="dxa"/>
              <w:bottom w:w="0" w:type="dxa"/>
              <w:right w:w="17" w:type="dxa"/>
            </w:tcMar>
            <w:vAlign w:val="center"/>
          </w:tcPr>
          <w:p w14:paraId="1ED608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p>
        </w:tc>
      </w:tr>
      <w:tr w14:paraId="4DFECB5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335" w:hRule="atLeast"/>
          <w:jc w:val="center"/>
        </w:trPr>
        <w:tc>
          <w:tcPr>
            <w:tcW w:w="915" w:type="dxa"/>
            <w:vMerge w:val="continue"/>
            <w:noWrap w:val="0"/>
            <w:tcMar>
              <w:top w:w="0" w:type="dxa"/>
              <w:left w:w="17" w:type="dxa"/>
              <w:bottom w:w="0" w:type="dxa"/>
              <w:right w:w="17" w:type="dxa"/>
            </w:tcMar>
            <w:vAlign w:val="center"/>
          </w:tcPr>
          <w:p w14:paraId="7070F2F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5FEE69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710A9F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（3）强化数据安全保障。建设城市大数据资源中心，完善政务数据资源共享系统。加强建设城市大数据资源中心安全防护，落实数据安全责任，完善安全防护机制。</w:t>
            </w:r>
          </w:p>
        </w:tc>
        <w:tc>
          <w:tcPr>
            <w:tcW w:w="1064" w:type="dxa"/>
            <w:noWrap w:val="0"/>
            <w:tcMar>
              <w:top w:w="0" w:type="dxa"/>
              <w:left w:w="17" w:type="dxa"/>
              <w:bottom w:w="0" w:type="dxa"/>
              <w:right w:w="17" w:type="dxa"/>
            </w:tcMar>
            <w:vAlign w:val="center"/>
          </w:tcPr>
          <w:p w14:paraId="396B61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c>
          <w:tcPr>
            <w:tcW w:w="1302" w:type="dxa"/>
            <w:noWrap w:val="0"/>
            <w:tcMar>
              <w:top w:w="0" w:type="dxa"/>
              <w:left w:w="17" w:type="dxa"/>
              <w:bottom w:w="0" w:type="dxa"/>
              <w:right w:w="17" w:type="dxa"/>
            </w:tcMar>
            <w:vAlign w:val="center"/>
          </w:tcPr>
          <w:p w14:paraId="0947C1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区委网信办</w:t>
            </w:r>
          </w:p>
        </w:tc>
      </w:tr>
      <w:tr w14:paraId="156B188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50364B9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七</w:t>
            </w:r>
            <w:r>
              <w:rPr>
                <w:rFonts w:hint="eastAsia" w:ascii="方正仿宋_GBK" w:hAnsi="方正仿宋_GBK" w:eastAsia="方正仿宋_GBK" w:cs="方正仿宋_GBK"/>
                <w:sz w:val="21"/>
                <w:szCs w:val="21"/>
              </w:rPr>
              <w:t>、知识产权创造、保护和运用</w:t>
            </w:r>
          </w:p>
        </w:tc>
        <w:tc>
          <w:tcPr>
            <w:tcW w:w="1147" w:type="dxa"/>
            <w:vMerge w:val="restart"/>
            <w:noWrap w:val="0"/>
            <w:tcMar>
              <w:top w:w="0" w:type="dxa"/>
              <w:left w:w="17" w:type="dxa"/>
              <w:bottom w:w="0" w:type="dxa"/>
              <w:right w:w="17" w:type="dxa"/>
            </w:tcMar>
            <w:vAlign w:val="center"/>
          </w:tcPr>
          <w:p w14:paraId="5D3C92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．提高知识产权创造质量</w:t>
            </w:r>
          </w:p>
        </w:tc>
        <w:tc>
          <w:tcPr>
            <w:tcW w:w="5077" w:type="dxa"/>
            <w:noWrap w:val="0"/>
            <w:tcMar>
              <w:top w:w="0" w:type="dxa"/>
              <w:left w:w="17" w:type="dxa"/>
              <w:bottom w:w="0" w:type="dxa"/>
              <w:right w:w="17" w:type="dxa"/>
            </w:tcMar>
            <w:vAlign w:val="center"/>
          </w:tcPr>
          <w:p w14:paraId="0255DF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（1）提升知识产权质量。2019年底前实现万人发明专利拥有量达到</w:t>
            </w:r>
            <w:r>
              <w:rPr>
                <w:rFonts w:hint="eastAsia" w:ascii="方正仿宋_GBK" w:hAnsi="方正仿宋_GBK" w:eastAsia="方正仿宋_GBK" w:cs="方正仿宋_GBK"/>
                <w:color w:val="auto"/>
                <w:sz w:val="21"/>
                <w:szCs w:val="21"/>
                <w:lang w:val="en-US" w:eastAsia="zh-CN"/>
              </w:rPr>
              <w:t>1.55</w:t>
            </w:r>
            <w:r>
              <w:rPr>
                <w:rFonts w:hint="eastAsia" w:ascii="方正仿宋_GBK" w:hAnsi="方正仿宋_GBK" w:eastAsia="方正仿宋_GBK" w:cs="方正仿宋_GBK"/>
                <w:sz w:val="21"/>
                <w:szCs w:val="21"/>
              </w:rPr>
              <w:t>件；万户市场主体商标拥有量达到</w:t>
            </w:r>
            <w:r>
              <w:rPr>
                <w:rFonts w:hint="eastAsia" w:ascii="方正仿宋_GBK" w:hAnsi="方正仿宋_GBK" w:eastAsia="方正仿宋_GBK" w:cs="方正仿宋_GBK"/>
                <w:color w:val="auto"/>
                <w:sz w:val="21"/>
                <w:szCs w:val="21"/>
                <w:lang w:val="en-US" w:eastAsia="zh-CN"/>
              </w:rPr>
              <w:t>1160</w:t>
            </w:r>
            <w:r>
              <w:rPr>
                <w:rFonts w:hint="eastAsia" w:ascii="方正仿宋_GBK" w:hAnsi="方正仿宋_GBK" w:eastAsia="方正仿宋_GBK" w:cs="方正仿宋_GBK"/>
                <w:sz w:val="21"/>
                <w:szCs w:val="21"/>
              </w:rPr>
              <w:t>件。</w:t>
            </w:r>
          </w:p>
        </w:tc>
        <w:tc>
          <w:tcPr>
            <w:tcW w:w="1064" w:type="dxa"/>
            <w:noWrap w:val="0"/>
            <w:tcMar>
              <w:top w:w="0" w:type="dxa"/>
              <w:left w:w="17" w:type="dxa"/>
              <w:bottom w:w="0" w:type="dxa"/>
              <w:right w:w="17" w:type="dxa"/>
            </w:tcMar>
            <w:vAlign w:val="center"/>
          </w:tcPr>
          <w:p w14:paraId="30E2D6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区市场监管局</w:t>
            </w:r>
          </w:p>
        </w:tc>
        <w:tc>
          <w:tcPr>
            <w:tcW w:w="1302" w:type="dxa"/>
            <w:noWrap w:val="0"/>
            <w:tcMar>
              <w:top w:w="0" w:type="dxa"/>
              <w:left w:w="17" w:type="dxa"/>
              <w:bottom w:w="0" w:type="dxa"/>
              <w:right w:w="17" w:type="dxa"/>
            </w:tcMar>
            <w:vAlign w:val="center"/>
          </w:tcPr>
          <w:p w14:paraId="55FFB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科技局</w:t>
            </w:r>
            <w:r>
              <w:rPr>
                <w:rFonts w:hint="eastAsia" w:ascii="方正仿宋_GBK" w:hAnsi="方正仿宋_GBK" w:eastAsia="方正仿宋_GBK" w:cs="方正仿宋_GBK"/>
                <w:sz w:val="21"/>
                <w:szCs w:val="21"/>
                <w:lang w:eastAsia="zh-CN"/>
              </w:rPr>
              <w:t>、区经济信息委</w:t>
            </w:r>
          </w:p>
        </w:tc>
      </w:tr>
      <w:tr w14:paraId="14D3ADB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895" w:hRule="atLeast"/>
          <w:jc w:val="center"/>
        </w:trPr>
        <w:tc>
          <w:tcPr>
            <w:tcW w:w="915" w:type="dxa"/>
            <w:vMerge w:val="continue"/>
            <w:noWrap w:val="0"/>
            <w:tcMar>
              <w:top w:w="0" w:type="dxa"/>
              <w:left w:w="17" w:type="dxa"/>
              <w:bottom w:w="0" w:type="dxa"/>
              <w:right w:w="17" w:type="dxa"/>
            </w:tcMar>
            <w:vAlign w:val="center"/>
          </w:tcPr>
          <w:p w14:paraId="75C5D83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6EE24C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344D1A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（2）培育知识产权优势企业</w:t>
            </w:r>
            <w:r>
              <w:rPr>
                <w:rFonts w:hint="eastAsia" w:ascii="方正仿宋_GBK" w:hAnsi="方正仿宋_GBK" w:eastAsia="方正仿宋_GBK" w:cs="方正仿宋_GBK"/>
                <w:sz w:val="21"/>
                <w:szCs w:val="21"/>
                <w:lang w:eastAsia="zh-CN"/>
              </w:rPr>
              <w:t>。力争</w:t>
            </w:r>
            <w:r>
              <w:rPr>
                <w:rFonts w:hint="eastAsia" w:ascii="方正仿宋_GBK" w:hAnsi="方正仿宋_GBK" w:eastAsia="方正仿宋_GBK" w:cs="方正仿宋_GBK"/>
                <w:sz w:val="21"/>
                <w:szCs w:val="21"/>
              </w:rPr>
              <w:t>培育知识产权优势企业</w:t>
            </w: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sz w:val="21"/>
                <w:szCs w:val="21"/>
              </w:rPr>
              <w:t>家。</w:t>
            </w:r>
          </w:p>
        </w:tc>
        <w:tc>
          <w:tcPr>
            <w:tcW w:w="1064" w:type="dxa"/>
            <w:noWrap w:val="0"/>
            <w:tcMar>
              <w:top w:w="0" w:type="dxa"/>
              <w:left w:w="17" w:type="dxa"/>
              <w:bottom w:w="0" w:type="dxa"/>
              <w:right w:w="17" w:type="dxa"/>
            </w:tcMar>
            <w:vAlign w:val="center"/>
          </w:tcPr>
          <w:p w14:paraId="4D3FCD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区市场监管</w:t>
            </w:r>
            <w:r>
              <w:rPr>
                <w:rFonts w:hint="eastAsia" w:ascii="方正仿宋_GBK" w:hAnsi="方正仿宋_GBK" w:eastAsia="方正仿宋_GBK" w:cs="方正仿宋_GBK"/>
                <w:sz w:val="21"/>
                <w:szCs w:val="21"/>
              </w:rPr>
              <w:t>局</w:t>
            </w:r>
          </w:p>
        </w:tc>
        <w:tc>
          <w:tcPr>
            <w:tcW w:w="1302" w:type="dxa"/>
            <w:noWrap w:val="0"/>
            <w:tcMar>
              <w:top w:w="0" w:type="dxa"/>
              <w:left w:w="17" w:type="dxa"/>
              <w:bottom w:w="0" w:type="dxa"/>
              <w:right w:w="17" w:type="dxa"/>
            </w:tcMar>
            <w:vAlign w:val="center"/>
          </w:tcPr>
          <w:p w14:paraId="42E656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p>
        </w:tc>
      </w:tr>
      <w:tr w14:paraId="759EF5C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ADA1D8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1A8573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C5CB7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）加大重点产业知识产权品牌培育力度。广泛深入开展知识产权宣传教育，加大知识产权管理、服务人才专题培训。</w:t>
            </w:r>
          </w:p>
        </w:tc>
        <w:tc>
          <w:tcPr>
            <w:tcW w:w="1064" w:type="dxa"/>
            <w:noWrap w:val="0"/>
            <w:tcMar>
              <w:top w:w="0" w:type="dxa"/>
              <w:left w:w="17" w:type="dxa"/>
              <w:bottom w:w="0" w:type="dxa"/>
              <w:right w:w="17" w:type="dxa"/>
            </w:tcMar>
            <w:vAlign w:val="center"/>
          </w:tcPr>
          <w:p w14:paraId="463986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区市场监管局</w:t>
            </w:r>
          </w:p>
        </w:tc>
        <w:tc>
          <w:tcPr>
            <w:tcW w:w="1302" w:type="dxa"/>
            <w:noWrap w:val="0"/>
            <w:tcMar>
              <w:top w:w="0" w:type="dxa"/>
              <w:left w:w="17" w:type="dxa"/>
              <w:bottom w:w="0" w:type="dxa"/>
              <w:right w:w="17" w:type="dxa"/>
            </w:tcMar>
            <w:vAlign w:val="center"/>
          </w:tcPr>
          <w:p w14:paraId="380530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rPr>
            </w:pPr>
          </w:p>
        </w:tc>
      </w:tr>
      <w:tr w14:paraId="343D8B7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2135" w:hRule="atLeast"/>
          <w:jc w:val="center"/>
        </w:trPr>
        <w:tc>
          <w:tcPr>
            <w:tcW w:w="915" w:type="dxa"/>
            <w:vMerge w:val="continue"/>
            <w:noWrap w:val="0"/>
            <w:tcMar>
              <w:top w:w="0" w:type="dxa"/>
              <w:left w:w="17" w:type="dxa"/>
              <w:bottom w:w="0" w:type="dxa"/>
              <w:right w:w="17" w:type="dxa"/>
            </w:tcMar>
            <w:vAlign w:val="center"/>
          </w:tcPr>
          <w:p w14:paraId="0621966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21601B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w w:val="100"/>
                <w:sz w:val="21"/>
                <w:szCs w:val="21"/>
              </w:rPr>
            </w:pPr>
            <w:r>
              <w:rPr>
                <w:rFonts w:hint="eastAsia" w:ascii="方正仿宋_GBK" w:hAnsi="方正仿宋_GBK" w:eastAsia="方正仿宋_GBK" w:cs="方正仿宋_GBK"/>
                <w:w w:val="100"/>
                <w:sz w:val="21"/>
                <w:szCs w:val="21"/>
              </w:rPr>
              <w:t>7</w:t>
            </w:r>
            <w:r>
              <w:rPr>
                <w:rFonts w:hint="eastAsia" w:ascii="方正仿宋_GBK" w:hAnsi="方正仿宋_GBK" w:eastAsia="方正仿宋_GBK" w:cs="方正仿宋_GBK"/>
                <w:w w:val="100"/>
                <w:sz w:val="21"/>
                <w:szCs w:val="21"/>
                <w:lang w:val="en-US" w:eastAsia="zh-CN"/>
              </w:rPr>
              <w:t>2</w:t>
            </w:r>
            <w:r>
              <w:rPr>
                <w:rFonts w:hint="eastAsia" w:ascii="方正仿宋_GBK" w:hAnsi="方正仿宋_GBK" w:eastAsia="方正仿宋_GBK" w:cs="方正仿宋_GBK"/>
                <w:w w:val="100"/>
                <w:sz w:val="21"/>
                <w:szCs w:val="21"/>
              </w:rPr>
              <w:t>．提高知识产权保护社会满意度</w:t>
            </w:r>
          </w:p>
        </w:tc>
        <w:tc>
          <w:tcPr>
            <w:tcW w:w="5077" w:type="dxa"/>
            <w:noWrap w:val="0"/>
            <w:tcMar>
              <w:top w:w="0" w:type="dxa"/>
              <w:left w:w="17" w:type="dxa"/>
              <w:bottom w:w="0" w:type="dxa"/>
              <w:right w:w="17" w:type="dxa"/>
            </w:tcMar>
            <w:vAlign w:val="center"/>
          </w:tcPr>
          <w:p w14:paraId="547C3C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w w:val="100"/>
                <w:sz w:val="21"/>
                <w:szCs w:val="21"/>
              </w:rPr>
            </w:pPr>
            <w:r>
              <w:rPr>
                <w:rFonts w:hint="eastAsia" w:ascii="方正仿宋_GBK" w:hAnsi="方正仿宋_GBK" w:eastAsia="方正仿宋_GBK" w:cs="方正仿宋_GBK"/>
                <w:color w:val="auto"/>
                <w:w w:val="100"/>
                <w:sz w:val="21"/>
                <w:szCs w:val="21"/>
              </w:rPr>
              <w:t>（1）加强知识产权行政监管与执法，加大行政执法与刑事司法衔接力度。</w:t>
            </w:r>
          </w:p>
          <w:p w14:paraId="20FD69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w w:val="100"/>
                <w:sz w:val="21"/>
                <w:szCs w:val="21"/>
              </w:rPr>
            </w:pPr>
            <w:r>
              <w:rPr>
                <w:rFonts w:hint="eastAsia" w:ascii="方正仿宋_GBK" w:hAnsi="方正仿宋_GBK" w:eastAsia="方正仿宋_GBK" w:cs="方正仿宋_GBK"/>
                <w:color w:val="auto"/>
                <w:w w:val="100"/>
                <w:sz w:val="21"/>
                <w:szCs w:val="21"/>
              </w:rPr>
              <w:t>（2）结合“七五”普法、法制宣传日、专利周等活动，开展知识产权法律法规宣传教育。</w:t>
            </w:r>
          </w:p>
          <w:p w14:paraId="1EA791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w w:val="100"/>
                <w:sz w:val="21"/>
                <w:szCs w:val="21"/>
              </w:rPr>
            </w:pPr>
            <w:r>
              <w:rPr>
                <w:rFonts w:hint="eastAsia" w:ascii="方正仿宋_GBK" w:hAnsi="方正仿宋_GBK" w:eastAsia="方正仿宋_GBK" w:cs="方正仿宋_GBK"/>
                <w:color w:val="auto"/>
                <w:w w:val="100"/>
                <w:sz w:val="21"/>
                <w:szCs w:val="21"/>
              </w:rPr>
              <w:t>（3）指导企业开展知识产权风险预测预警。</w:t>
            </w:r>
          </w:p>
        </w:tc>
        <w:tc>
          <w:tcPr>
            <w:tcW w:w="1064" w:type="dxa"/>
            <w:noWrap w:val="0"/>
            <w:tcMar>
              <w:top w:w="0" w:type="dxa"/>
              <w:left w:w="17" w:type="dxa"/>
              <w:bottom w:w="0" w:type="dxa"/>
              <w:right w:w="17" w:type="dxa"/>
            </w:tcMar>
            <w:vAlign w:val="center"/>
          </w:tcPr>
          <w:p w14:paraId="71212C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w w:val="100"/>
                <w:sz w:val="21"/>
                <w:szCs w:val="21"/>
              </w:rPr>
            </w:pPr>
            <w:r>
              <w:rPr>
                <w:rFonts w:hint="eastAsia" w:ascii="方正仿宋_GBK" w:hAnsi="方正仿宋_GBK" w:eastAsia="方正仿宋_GBK" w:cs="方正仿宋_GBK"/>
                <w:w w:val="100"/>
                <w:sz w:val="21"/>
                <w:szCs w:val="21"/>
                <w:lang w:eastAsia="zh-CN"/>
              </w:rPr>
              <w:t>区市场监管</w:t>
            </w:r>
            <w:r>
              <w:rPr>
                <w:rFonts w:hint="eastAsia" w:ascii="方正仿宋_GBK" w:hAnsi="方正仿宋_GBK" w:eastAsia="方正仿宋_GBK" w:cs="方正仿宋_GBK"/>
                <w:w w:val="100"/>
                <w:sz w:val="21"/>
                <w:szCs w:val="21"/>
              </w:rPr>
              <w:t>局</w:t>
            </w:r>
          </w:p>
        </w:tc>
        <w:tc>
          <w:tcPr>
            <w:tcW w:w="1302" w:type="dxa"/>
            <w:noWrap w:val="0"/>
            <w:tcMar>
              <w:top w:w="0" w:type="dxa"/>
              <w:left w:w="17" w:type="dxa"/>
              <w:bottom w:w="0" w:type="dxa"/>
              <w:right w:w="17" w:type="dxa"/>
            </w:tcMar>
            <w:vAlign w:val="center"/>
          </w:tcPr>
          <w:p w14:paraId="679498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w w:val="100"/>
                <w:sz w:val="21"/>
                <w:szCs w:val="21"/>
              </w:rPr>
            </w:pPr>
            <w:r>
              <w:rPr>
                <w:rFonts w:hint="eastAsia" w:ascii="方正仿宋_GBK" w:hAnsi="方正仿宋_GBK" w:eastAsia="方正仿宋_GBK" w:cs="方正仿宋_GBK"/>
                <w:w w:val="100"/>
                <w:sz w:val="21"/>
                <w:szCs w:val="21"/>
                <w:lang w:eastAsia="zh-CN"/>
              </w:rPr>
              <w:t>区</w:t>
            </w:r>
            <w:r>
              <w:rPr>
                <w:rFonts w:hint="eastAsia" w:ascii="方正仿宋_GBK" w:hAnsi="方正仿宋_GBK" w:eastAsia="方正仿宋_GBK" w:cs="方正仿宋_GBK"/>
                <w:w w:val="100"/>
                <w:sz w:val="21"/>
                <w:szCs w:val="21"/>
              </w:rPr>
              <w:t>司法局、</w:t>
            </w:r>
            <w:r>
              <w:rPr>
                <w:rFonts w:hint="eastAsia" w:ascii="方正仿宋_GBK" w:hAnsi="方正仿宋_GBK" w:eastAsia="方正仿宋_GBK" w:cs="方正仿宋_GBK"/>
                <w:w w:val="100"/>
                <w:sz w:val="21"/>
                <w:szCs w:val="21"/>
                <w:lang w:eastAsia="zh-CN"/>
              </w:rPr>
              <w:t>区文化旅游委</w:t>
            </w:r>
            <w:r>
              <w:rPr>
                <w:rFonts w:hint="eastAsia" w:ascii="方正仿宋_GBK" w:hAnsi="方正仿宋_GBK" w:eastAsia="方正仿宋_GBK" w:cs="方正仿宋_GBK"/>
                <w:w w:val="100"/>
                <w:sz w:val="21"/>
                <w:szCs w:val="21"/>
              </w:rPr>
              <w:t>、</w:t>
            </w:r>
            <w:r>
              <w:rPr>
                <w:rFonts w:hint="eastAsia" w:ascii="方正仿宋_GBK" w:hAnsi="方正仿宋_GBK" w:eastAsia="方正仿宋_GBK" w:cs="方正仿宋_GBK"/>
                <w:w w:val="100"/>
                <w:sz w:val="21"/>
                <w:szCs w:val="21"/>
                <w:lang w:eastAsia="zh-CN"/>
              </w:rPr>
              <w:t>区</w:t>
            </w:r>
            <w:r>
              <w:rPr>
                <w:rFonts w:hint="eastAsia" w:ascii="方正仿宋_GBK" w:hAnsi="方正仿宋_GBK" w:eastAsia="方正仿宋_GBK" w:cs="方正仿宋_GBK"/>
                <w:w w:val="100"/>
                <w:sz w:val="21"/>
                <w:szCs w:val="21"/>
              </w:rPr>
              <w:t>公安局、</w:t>
            </w:r>
            <w:r>
              <w:rPr>
                <w:rFonts w:hint="eastAsia" w:ascii="方正仿宋_GBK" w:hAnsi="方正仿宋_GBK" w:eastAsia="方正仿宋_GBK" w:cs="方正仿宋_GBK"/>
                <w:w w:val="100"/>
                <w:sz w:val="21"/>
                <w:szCs w:val="21"/>
                <w:lang w:eastAsia="zh-CN"/>
              </w:rPr>
              <w:t>区</w:t>
            </w:r>
            <w:r>
              <w:rPr>
                <w:rFonts w:hint="eastAsia" w:ascii="方正仿宋_GBK" w:hAnsi="方正仿宋_GBK" w:eastAsia="方正仿宋_GBK" w:cs="方正仿宋_GBK"/>
                <w:w w:val="100"/>
                <w:sz w:val="21"/>
                <w:szCs w:val="21"/>
              </w:rPr>
              <w:t>法院、</w:t>
            </w:r>
            <w:r>
              <w:rPr>
                <w:rFonts w:hint="eastAsia" w:ascii="方正仿宋_GBK" w:hAnsi="方正仿宋_GBK" w:eastAsia="方正仿宋_GBK" w:cs="方正仿宋_GBK"/>
                <w:w w:val="100"/>
                <w:sz w:val="21"/>
                <w:szCs w:val="21"/>
                <w:lang w:eastAsia="zh-CN"/>
              </w:rPr>
              <w:t>区</w:t>
            </w:r>
            <w:r>
              <w:rPr>
                <w:rFonts w:hint="eastAsia" w:ascii="方正仿宋_GBK" w:hAnsi="方正仿宋_GBK" w:eastAsia="方正仿宋_GBK" w:cs="方正仿宋_GBK"/>
                <w:w w:val="100"/>
                <w:sz w:val="21"/>
                <w:szCs w:val="21"/>
              </w:rPr>
              <w:t>检察院</w:t>
            </w:r>
          </w:p>
        </w:tc>
      </w:tr>
      <w:tr w14:paraId="2D9D262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68D108C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69BE14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w w:val="100"/>
                <w:sz w:val="21"/>
                <w:szCs w:val="21"/>
              </w:rPr>
            </w:pPr>
            <w:r>
              <w:rPr>
                <w:rFonts w:hint="eastAsia" w:ascii="方正仿宋_GBK" w:hAnsi="方正仿宋_GBK" w:eastAsia="方正仿宋_GBK" w:cs="方正仿宋_GBK"/>
                <w:w w:val="100"/>
                <w:sz w:val="21"/>
                <w:szCs w:val="21"/>
                <w:lang w:val="en-US" w:eastAsia="zh-CN"/>
              </w:rPr>
              <w:t>73</w:t>
            </w:r>
            <w:r>
              <w:rPr>
                <w:rFonts w:hint="eastAsia" w:ascii="方正仿宋_GBK" w:hAnsi="方正仿宋_GBK" w:eastAsia="方正仿宋_GBK" w:cs="方正仿宋_GBK"/>
                <w:w w:val="100"/>
                <w:sz w:val="21"/>
                <w:szCs w:val="21"/>
              </w:rPr>
              <w:t>．提高知识产权运用效益</w:t>
            </w:r>
          </w:p>
        </w:tc>
        <w:tc>
          <w:tcPr>
            <w:tcW w:w="5077" w:type="dxa"/>
            <w:noWrap w:val="0"/>
            <w:tcMar>
              <w:top w:w="0" w:type="dxa"/>
              <w:left w:w="17" w:type="dxa"/>
              <w:bottom w:w="0" w:type="dxa"/>
              <w:right w:w="17" w:type="dxa"/>
            </w:tcMar>
            <w:vAlign w:val="center"/>
          </w:tcPr>
          <w:p w14:paraId="22888F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w w:val="100"/>
                <w:sz w:val="21"/>
                <w:szCs w:val="21"/>
              </w:rPr>
            </w:pPr>
            <w:r>
              <w:rPr>
                <w:rFonts w:hint="eastAsia" w:ascii="方正仿宋_GBK" w:hAnsi="方正仿宋_GBK" w:eastAsia="方正仿宋_GBK" w:cs="方正仿宋_GBK"/>
                <w:color w:val="auto"/>
                <w:w w:val="100"/>
                <w:sz w:val="21"/>
                <w:szCs w:val="21"/>
              </w:rPr>
              <w:t>宣传引导企业开展知识产权质押融资，促进知识产权与金融资源融合。</w:t>
            </w:r>
          </w:p>
        </w:tc>
        <w:tc>
          <w:tcPr>
            <w:tcW w:w="1064" w:type="dxa"/>
            <w:noWrap w:val="0"/>
            <w:tcMar>
              <w:top w:w="0" w:type="dxa"/>
              <w:left w:w="17" w:type="dxa"/>
              <w:bottom w:w="0" w:type="dxa"/>
              <w:right w:w="17" w:type="dxa"/>
            </w:tcMar>
            <w:vAlign w:val="center"/>
          </w:tcPr>
          <w:p w14:paraId="366C71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w w:val="100"/>
                <w:sz w:val="21"/>
                <w:szCs w:val="21"/>
              </w:rPr>
            </w:pPr>
            <w:r>
              <w:rPr>
                <w:rFonts w:hint="eastAsia" w:ascii="方正仿宋_GBK" w:hAnsi="方正仿宋_GBK" w:eastAsia="方正仿宋_GBK" w:cs="方正仿宋_GBK"/>
                <w:w w:val="100"/>
                <w:sz w:val="21"/>
                <w:szCs w:val="21"/>
                <w:lang w:eastAsia="zh-CN"/>
              </w:rPr>
              <w:t>区市场监管</w:t>
            </w:r>
            <w:r>
              <w:rPr>
                <w:rFonts w:hint="eastAsia" w:ascii="方正仿宋_GBK" w:hAnsi="方正仿宋_GBK" w:eastAsia="方正仿宋_GBK" w:cs="方正仿宋_GBK"/>
                <w:w w:val="100"/>
                <w:sz w:val="21"/>
                <w:szCs w:val="21"/>
              </w:rPr>
              <w:t>局</w:t>
            </w:r>
          </w:p>
        </w:tc>
        <w:tc>
          <w:tcPr>
            <w:tcW w:w="1302" w:type="dxa"/>
            <w:noWrap w:val="0"/>
            <w:tcMar>
              <w:top w:w="0" w:type="dxa"/>
              <w:left w:w="17" w:type="dxa"/>
              <w:bottom w:w="0" w:type="dxa"/>
              <w:right w:w="17" w:type="dxa"/>
            </w:tcMar>
            <w:vAlign w:val="center"/>
          </w:tcPr>
          <w:p w14:paraId="39B12C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w w:val="100"/>
                <w:sz w:val="21"/>
                <w:szCs w:val="21"/>
              </w:rPr>
            </w:pPr>
            <w:r>
              <w:rPr>
                <w:rFonts w:hint="eastAsia" w:ascii="方正仿宋_GBK" w:hAnsi="方正仿宋_GBK" w:eastAsia="方正仿宋_GBK" w:cs="方正仿宋_GBK"/>
                <w:w w:val="100"/>
                <w:sz w:val="21"/>
                <w:szCs w:val="21"/>
                <w:lang w:eastAsia="zh-CN"/>
              </w:rPr>
              <w:t>区</w:t>
            </w:r>
            <w:r>
              <w:rPr>
                <w:rFonts w:hint="eastAsia" w:ascii="方正仿宋_GBK" w:hAnsi="方正仿宋_GBK" w:eastAsia="方正仿宋_GBK" w:cs="方正仿宋_GBK"/>
                <w:w w:val="100"/>
                <w:sz w:val="21"/>
                <w:szCs w:val="21"/>
              </w:rPr>
              <w:t>财政局、</w:t>
            </w:r>
            <w:r>
              <w:rPr>
                <w:rFonts w:hint="eastAsia" w:ascii="方正仿宋_GBK" w:hAnsi="方正仿宋_GBK" w:eastAsia="方正仿宋_GBK" w:cs="方正仿宋_GBK"/>
                <w:w w:val="100"/>
                <w:sz w:val="21"/>
                <w:szCs w:val="21"/>
                <w:lang w:eastAsia="zh-CN"/>
              </w:rPr>
              <w:t>区</w:t>
            </w:r>
            <w:r>
              <w:rPr>
                <w:rFonts w:hint="eastAsia" w:ascii="方正仿宋_GBK" w:hAnsi="方正仿宋_GBK" w:eastAsia="方正仿宋_GBK" w:cs="方正仿宋_GBK"/>
                <w:w w:val="100"/>
                <w:sz w:val="21"/>
                <w:szCs w:val="21"/>
              </w:rPr>
              <w:t>经济信息委、</w:t>
            </w:r>
            <w:r>
              <w:rPr>
                <w:rFonts w:hint="eastAsia" w:ascii="方正仿宋_GBK" w:hAnsi="方正仿宋_GBK" w:eastAsia="方正仿宋_GBK" w:cs="方正仿宋_GBK"/>
                <w:w w:val="100"/>
                <w:sz w:val="21"/>
                <w:szCs w:val="21"/>
                <w:lang w:eastAsia="zh-CN"/>
              </w:rPr>
              <w:t>万州银保监分局</w:t>
            </w:r>
          </w:p>
        </w:tc>
      </w:tr>
      <w:tr w14:paraId="4D32C73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2BA294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八</w:t>
            </w:r>
            <w:r>
              <w:rPr>
                <w:rFonts w:hint="eastAsia" w:ascii="方正仿宋_GBK" w:hAnsi="方正仿宋_GBK" w:eastAsia="方正仿宋_GBK" w:cs="方正仿宋_GBK"/>
                <w:sz w:val="21"/>
                <w:szCs w:val="21"/>
              </w:rPr>
              <w:t>、市场监管</w:t>
            </w:r>
          </w:p>
        </w:tc>
        <w:tc>
          <w:tcPr>
            <w:tcW w:w="1147" w:type="dxa"/>
            <w:vMerge w:val="restart"/>
            <w:noWrap w:val="0"/>
            <w:tcMar>
              <w:top w:w="0" w:type="dxa"/>
              <w:left w:w="17" w:type="dxa"/>
              <w:bottom w:w="0" w:type="dxa"/>
              <w:right w:w="17" w:type="dxa"/>
            </w:tcMar>
            <w:vAlign w:val="center"/>
          </w:tcPr>
          <w:p w14:paraId="08FC40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lang w:val="en-US" w:eastAsia="zh-CN"/>
              </w:rPr>
              <w:t>74</w:t>
            </w:r>
            <w:r>
              <w:rPr>
                <w:rFonts w:hint="eastAsia" w:ascii="方正仿宋_GBK" w:hAnsi="方正仿宋_GBK" w:eastAsia="方正仿宋_GBK" w:cs="方正仿宋_GBK"/>
                <w:spacing w:val="-8"/>
                <w:sz w:val="21"/>
                <w:szCs w:val="21"/>
              </w:rPr>
              <w:t>．提升“双</w:t>
            </w:r>
            <w:r>
              <w:rPr>
                <w:rFonts w:hint="eastAsia" w:ascii="方正仿宋_GBK" w:hAnsi="方正仿宋_GBK" w:eastAsia="方正仿宋_GBK" w:cs="方正仿宋_GBK"/>
                <w:sz w:val="21"/>
                <w:szCs w:val="21"/>
              </w:rPr>
              <w:t>随机、一公开”监管覆盖率</w:t>
            </w:r>
          </w:p>
        </w:tc>
        <w:tc>
          <w:tcPr>
            <w:tcW w:w="5077" w:type="dxa"/>
            <w:noWrap w:val="0"/>
            <w:tcMar>
              <w:top w:w="0" w:type="dxa"/>
              <w:left w:w="17" w:type="dxa"/>
              <w:bottom w:w="0" w:type="dxa"/>
              <w:right w:w="17" w:type="dxa"/>
            </w:tcMar>
            <w:vAlign w:val="center"/>
          </w:tcPr>
          <w:p w14:paraId="2E3824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（1）全面推行部门联合“双随机、一公开”监管。建立部门联席会议制度，构建部门联合抽查工作机制</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color w:val="auto"/>
                <w:sz w:val="21"/>
                <w:szCs w:val="21"/>
              </w:rPr>
              <w:t>按照全市部门联合“双随机、一公开”监管工作的进度，2019年底前全区市场监管部门完成双随机抽查全流程整合，实现“双随机、一公开”监管全覆盖、常态化；2020年底前实现全区市场监管领域相关部门“双随机、一公开”监管全覆盖。</w:t>
            </w:r>
          </w:p>
        </w:tc>
        <w:tc>
          <w:tcPr>
            <w:tcW w:w="1064" w:type="dxa"/>
            <w:noWrap w:val="0"/>
            <w:tcMar>
              <w:top w:w="0" w:type="dxa"/>
              <w:left w:w="17" w:type="dxa"/>
              <w:bottom w:w="0" w:type="dxa"/>
              <w:right w:w="17" w:type="dxa"/>
            </w:tcMar>
            <w:vAlign w:val="center"/>
          </w:tcPr>
          <w:p w14:paraId="460461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22CE56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p>
        </w:tc>
      </w:tr>
      <w:tr w14:paraId="0334CB6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6BB670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536B08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3C4E91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pacing w:val="-4"/>
                <w:sz w:val="21"/>
                <w:szCs w:val="21"/>
              </w:rPr>
            </w:pPr>
            <w:r>
              <w:rPr>
                <w:rFonts w:hint="eastAsia" w:ascii="方正仿宋_GBK" w:hAnsi="方正仿宋_GBK" w:eastAsia="方正仿宋_GBK" w:cs="方正仿宋_GBK"/>
                <w:spacing w:val="-4"/>
                <w:sz w:val="21"/>
                <w:szCs w:val="21"/>
              </w:rPr>
              <w:t>（2）</w:t>
            </w:r>
            <w:r>
              <w:rPr>
                <w:rFonts w:hint="eastAsia" w:ascii="方正仿宋_GBK" w:hAnsi="方正仿宋_GBK" w:eastAsia="方正仿宋_GBK" w:cs="方正仿宋_GBK"/>
                <w:spacing w:val="-4"/>
                <w:sz w:val="21"/>
                <w:szCs w:val="21"/>
                <w:lang w:eastAsia="zh-CN"/>
              </w:rPr>
              <w:t>运用</w:t>
            </w:r>
            <w:r>
              <w:rPr>
                <w:rFonts w:hint="eastAsia" w:ascii="方正仿宋_GBK" w:hAnsi="方正仿宋_GBK" w:eastAsia="方正仿宋_GBK" w:cs="方正仿宋_GBK"/>
                <w:spacing w:val="-4"/>
                <w:sz w:val="21"/>
                <w:szCs w:val="21"/>
              </w:rPr>
              <w:t>“双随机、一公开”抽查检查监管工作平台。完善检查对象名录库和执法检查人员名录库，2020年底前实现“双随机、一公开”监管事项覆盖率100%、结果公示率100%。</w:t>
            </w:r>
          </w:p>
        </w:tc>
        <w:tc>
          <w:tcPr>
            <w:tcW w:w="1064" w:type="dxa"/>
            <w:noWrap w:val="0"/>
            <w:tcMar>
              <w:top w:w="0" w:type="dxa"/>
              <w:left w:w="17" w:type="dxa"/>
              <w:bottom w:w="0" w:type="dxa"/>
              <w:right w:w="17" w:type="dxa"/>
            </w:tcMar>
            <w:vAlign w:val="center"/>
          </w:tcPr>
          <w:p w14:paraId="725EC6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09BB35A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p>
        </w:tc>
      </w:tr>
      <w:tr w14:paraId="34E5EEE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0DC2C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3270A9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5A678C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lang w:eastAsia="zh-CN"/>
              </w:rPr>
              <w:t>（3）探索市场主体风险预警分类监管新模式。按照2020年底前全市制定完成的市场主体分类标准，突出重点领域、重点行业和重点环节，科学预警市场主体经营活动风险，实施差异化监管措施，确保风险预警及时有效。</w:t>
            </w:r>
          </w:p>
        </w:tc>
        <w:tc>
          <w:tcPr>
            <w:tcW w:w="1064" w:type="dxa"/>
            <w:noWrap w:val="0"/>
            <w:tcMar>
              <w:top w:w="0" w:type="dxa"/>
              <w:left w:w="17" w:type="dxa"/>
              <w:bottom w:w="0" w:type="dxa"/>
              <w:right w:w="17" w:type="dxa"/>
            </w:tcMar>
            <w:vAlign w:val="center"/>
          </w:tcPr>
          <w:p w14:paraId="1F4B51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032090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r>
      <w:tr w14:paraId="721D709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67F802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八</w:t>
            </w:r>
            <w:r>
              <w:rPr>
                <w:rFonts w:hint="eastAsia" w:ascii="方正仿宋_GBK" w:hAnsi="方正仿宋_GBK" w:eastAsia="方正仿宋_GBK" w:cs="方正仿宋_GBK"/>
                <w:sz w:val="21"/>
                <w:szCs w:val="21"/>
              </w:rPr>
              <w:t>、市场监管</w:t>
            </w:r>
          </w:p>
        </w:tc>
        <w:tc>
          <w:tcPr>
            <w:tcW w:w="1147" w:type="dxa"/>
            <w:vMerge w:val="restart"/>
            <w:noWrap w:val="0"/>
            <w:tcMar>
              <w:top w:w="0" w:type="dxa"/>
              <w:left w:w="17" w:type="dxa"/>
              <w:bottom w:w="0" w:type="dxa"/>
              <w:right w:w="17" w:type="dxa"/>
            </w:tcMar>
            <w:vAlign w:val="center"/>
          </w:tcPr>
          <w:p w14:paraId="718BA4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75</w:t>
            </w:r>
            <w:r>
              <w:rPr>
                <w:rFonts w:hint="eastAsia" w:ascii="方正仿宋_GBK" w:hAnsi="方正仿宋_GBK" w:eastAsia="方正仿宋_GBK" w:cs="方正仿宋_GBK"/>
                <w:sz w:val="21"/>
                <w:szCs w:val="21"/>
              </w:rPr>
              <w:t>．提高监管执法信息公开率</w:t>
            </w:r>
          </w:p>
        </w:tc>
        <w:tc>
          <w:tcPr>
            <w:tcW w:w="5077" w:type="dxa"/>
            <w:noWrap w:val="0"/>
            <w:tcMar>
              <w:top w:w="0" w:type="dxa"/>
              <w:left w:w="17" w:type="dxa"/>
              <w:bottom w:w="0" w:type="dxa"/>
              <w:right w:w="17" w:type="dxa"/>
            </w:tcMar>
            <w:vAlign w:val="center"/>
          </w:tcPr>
          <w:p w14:paraId="54B426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（1）完善政务数据资源目录。将“双公示”数据标准纳入目录，确保政府部门通过</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政务数据资源共享平台全量提供涉企监管执法信息，2021年底前实现信息数据标准、共享平台统一。</w:t>
            </w:r>
          </w:p>
        </w:tc>
        <w:tc>
          <w:tcPr>
            <w:tcW w:w="1064" w:type="dxa"/>
            <w:noWrap w:val="0"/>
            <w:tcMar>
              <w:top w:w="0" w:type="dxa"/>
              <w:left w:w="17" w:type="dxa"/>
              <w:bottom w:w="0" w:type="dxa"/>
              <w:right w:w="17" w:type="dxa"/>
            </w:tcMar>
            <w:vAlign w:val="center"/>
          </w:tcPr>
          <w:p w14:paraId="5CED6B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c>
          <w:tcPr>
            <w:tcW w:w="1302" w:type="dxa"/>
            <w:noWrap w:val="0"/>
            <w:tcMar>
              <w:top w:w="0" w:type="dxa"/>
              <w:left w:w="17" w:type="dxa"/>
              <w:bottom w:w="0" w:type="dxa"/>
              <w:right w:w="17" w:type="dxa"/>
            </w:tcMar>
            <w:vAlign w:val="center"/>
          </w:tcPr>
          <w:p w14:paraId="5DDC83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r>
      <w:tr w14:paraId="0467C2F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F0923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4210EE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792520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（2）加强法人基础数据库建设。依托</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政务数据资源共享平台，2020年底前实现各部门提供的涉企监管执法信息全量归集入库。</w:t>
            </w:r>
          </w:p>
        </w:tc>
        <w:tc>
          <w:tcPr>
            <w:tcW w:w="1064" w:type="dxa"/>
            <w:noWrap w:val="0"/>
            <w:tcMar>
              <w:top w:w="0" w:type="dxa"/>
              <w:left w:w="17" w:type="dxa"/>
              <w:bottom w:w="0" w:type="dxa"/>
              <w:right w:w="17" w:type="dxa"/>
            </w:tcMar>
            <w:vAlign w:val="center"/>
          </w:tcPr>
          <w:p w14:paraId="15A45A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2F8DD5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r>
      <w:tr w14:paraId="7CB7969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68B008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6AEA295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77ED46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（3）强化涉企监管执法信息公示。通过“国家企业信用信息公示（</w:t>
            </w:r>
            <w:r>
              <w:rPr>
                <w:rFonts w:hint="eastAsia" w:ascii="方正仿宋_GBK" w:hAnsi="方正仿宋_GBK" w:eastAsia="方正仿宋_GBK" w:cs="方正仿宋_GBK"/>
                <w:color w:val="auto"/>
                <w:sz w:val="21"/>
                <w:szCs w:val="21"/>
              </w:rPr>
              <w:t>重庆</w:t>
            </w:r>
            <w:r>
              <w:rPr>
                <w:rFonts w:hint="eastAsia" w:ascii="方正仿宋_GBK" w:hAnsi="方正仿宋_GBK" w:eastAsia="方正仿宋_GBK" w:cs="方正仿宋_GBK"/>
                <w:sz w:val="21"/>
                <w:szCs w:val="21"/>
              </w:rPr>
              <w:t>）”和“信用</w:t>
            </w:r>
            <w:r>
              <w:rPr>
                <w:rFonts w:hint="eastAsia" w:ascii="方正仿宋_GBK" w:hAnsi="方正仿宋_GBK" w:eastAsia="方正仿宋_GBK" w:cs="方正仿宋_GBK"/>
                <w:color w:val="auto"/>
                <w:sz w:val="21"/>
                <w:szCs w:val="21"/>
              </w:rPr>
              <w:t>重庆</w:t>
            </w:r>
            <w:r>
              <w:rPr>
                <w:rFonts w:hint="eastAsia" w:ascii="方正仿宋_GBK" w:hAnsi="方正仿宋_GBK" w:eastAsia="方正仿宋_GBK" w:cs="方正仿宋_GBK"/>
                <w:sz w:val="21"/>
                <w:szCs w:val="21"/>
              </w:rPr>
              <w:t>”加强对涉企监管执法信息的集中公示，2019年底前实现已归集的涉企监管执法信息公示率100%。</w:t>
            </w:r>
          </w:p>
        </w:tc>
        <w:tc>
          <w:tcPr>
            <w:tcW w:w="1064" w:type="dxa"/>
            <w:noWrap w:val="0"/>
            <w:tcMar>
              <w:top w:w="0" w:type="dxa"/>
              <w:left w:w="17" w:type="dxa"/>
              <w:bottom w:w="0" w:type="dxa"/>
              <w:right w:w="17" w:type="dxa"/>
            </w:tcMar>
            <w:vAlign w:val="center"/>
          </w:tcPr>
          <w:p w14:paraId="534CD6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33A0F2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r>
      <w:tr w14:paraId="68AAB05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225C8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6DACC0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76</w:t>
            </w:r>
            <w:r>
              <w:rPr>
                <w:rFonts w:hint="eastAsia" w:ascii="方正仿宋_GBK" w:hAnsi="方正仿宋_GBK" w:eastAsia="方正仿宋_GBK" w:cs="方正仿宋_GBK"/>
                <w:sz w:val="21"/>
                <w:szCs w:val="21"/>
              </w:rPr>
              <w:t>．提高政务诚信度</w:t>
            </w:r>
          </w:p>
        </w:tc>
        <w:tc>
          <w:tcPr>
            <w:tcW w:w="5077" w:type="dxa"/>
            <w:noWrap w:val="0"/>
            <w:tcMar>
              <w:top w:w="0" w:type="dxa"/>
              <w:left w:w="17" w:type="dxa"/>
              <w:bottom w:w="0" w:type="dxa"/>
              <w:right w:w="17" w:type="dxa"/>
            </w:tcMar>
            <w:vAlign w:val="center"/>
          </w:tcPr>
          <w:p w14:paraId="3F4516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建立完善政务失信记录及公务员诚信档案。将各级政府和公务员在履职过程中因违法违规、失信违约被司法判决、行政处罚、纪律处分、问责处理等信息纳入政务失信记录和公务员诚信档案，2019年底前统一归集至市或区公共信用平台。加大涉政务信息公开力度，推动行政许可、行政处罚等公共信用信息应归尽归、应示尽示。</w:t>
            </w:r>
          </w:p>
        </w:tc>
        <w:tc>
          <w:tcPr>
            <w:tcW w:w="1064" w:type="dxa"/>
            <w:noWrap w:val="0"/>
            <w:tcMar>
              <w:top w:w="0" w:type="dxa"/>
              <w:left w:w="17" w:type="dxa"/>
              <w:bottom w:w="0" w:type="dxa"/>
              <w:right w:w="17" w:type="dxa"/>
            </w:tcMar>
            <w:vAlign w:val="center"/>
          </w:tcPr>
          <w:p w14:paraId="4C26AF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018EE5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区委组织部</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纪委监委、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法院、</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检察院</w:t>
            </w:r>
          </w:p>
        </w:tc>
      </w:tr>
      <w:tr w14:paraId="0451793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6AC5B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74940C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027EB8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推动重点领域政务诚信建设。开展政府部门、大型国有企业拖欠民营企业、中小企业账款清理工作。加强政府采购、政府和社会资本合作、招标投标等重点领域政务诚信建设，全面建立信用承诺制，杜绝“新官不理旧账”。建立完善重点领域政务诚信档案，推动创建信用示范城市。</w:t>
            </w:r>
          </w:p>
        </w:tc>
        <w:tc>
          <w:tcPr>
            <w:tcW w:w="1064" w:type="dxa"/>
            <w:noWrap w:val="0"/>
            <w:tcMar>
              <w:top w:w="0" w:type="dxa"/>
              <w:left w:w="17" w:type="dxa"/>
              <w:bottom w:w="0" w:type="dxa"/>
              <w:right w:w="17" w:type="dxa"/>
            </w:tcMar>
            <w:vAlign w:val="center"/>
          </w:tcPr>
          <w:p w14:paraId="78D8A9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政府</w:t>
            </w:r>
            <w:r>
              <w:rPr>
                <w:rFonts w:hint="eastAsia" w:ascii="方正仿宋_GBK" w:hAnsi="方正仿宋_GBK" w:eastAsia="方正仿宋_GBK" w:cs="方正仿宋_GBK"/>
                <w:sz w:val="21"/>
                <w:szCs w:val="21"/>
                <w:lang w:eastAsia="zh-CN"/>
              </w:rPr>
              <w:t>办公室</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33ABAE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国资委、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招商投资局、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w:t>
            </w:r>
            <w:r>
              <w:rPr>
                <w:rFonts w:hint="eastAsia" w:ascii="方正仿宋_GBK" w:hAnsi="方正仿宋_GBK" w:eastAsia="方正仿宋_GBK" w:cs="方正仿宋_GBK"/>
                <w:sz w:val="21"/>
                <w:szCs w:val="21"/>
                <w:lang w:eastAsia="zh-CN"/>
              </w:rPr>
              <w:t>管</w:t>
            </w:r>
            <w:r>
              <w:rPr>
                <w:rFonts w:hint="eastAsia" w:ascii="方正仿宋_GBK" w:hAnsi="方正仿宋_GBK" w:eastAsia="方正仿宋_GBK" w:cs="方正仿宋_GBK"/>
                <w:sz w:val="21"/>
                <w:szCs w:val="21"/>
              </w:rPr>
              <w:t>局</w:t>
            </w:r>
          </w:p>
        </w:tc>
      </w:tr>
      <w:tr w14:paraId="71B2958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275" w:hRule="atLeast"/>
          <w:jc w:val="center"/>
        </w:trPr>
        <w:tc>
          <w:tcPr>
            <w:tcW w:w="915" w:type="dxa"/>
            <w:vMerge w:val="continue"/>
            <w:noWrap w:val="0"/>
            <w:tcMar>
              <w:top w:w="0" w:type="dxa"/>
              <w:left w:w="17" w:type="dxa"/>
              <w:bottom w:w="0" w:type="dxa"/>
              <w:right w:w="17" w:type="dxa"/>
            </w:tcMar>
            <w:vAlign w:val="center"/>
          </w:tcPr>
          <w:p w14:paraId="6313436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6B11EA0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77</w:t>
            </w:r>
            <w:r>
              <w:rPr>
                <w:rFonts w:hint="eastAsia" w:ascii="方正仿宋_GBK" w:hAnsi="方正仿宋_GBK" w:eastAsia="方正仿宋_GBK" w:cs="方正仿宋_GBK"/>
                <w:sz w:val="21"/>
                <w:szCs w:val="21"/>
              </w:rPr>
              <w:t>．提高商务诚信度</w:t>
            </w:r>
          </w:p>
        </w:tc>
        <w:tc>
          <w:tcPr>
            <w:tcW w:w="5077" w:type="dxa"/>
            <w:noWrap w:val="0"/>
            <w:tcMar>
              <w:top w:w="0" w:type="dxa"/>
              <w:left w:w="17" w:type="dxa"/>
              <w:bottom w:w="0" w:type="dxa"/>
              <w:right w:w="17" w:type="dxa"/>
            </w:tcMar>
            <w:vAlign w:val="center"/>
          </w:tcPr>
          <w:p w14:paraId="337AA7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（1）升级完善</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公共信用平台功能。2022年底前将</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公共信用平台建成全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统一的信用应用综合枢纽和市民“信用之窗”。</w:t>
            </w:r>
          </w:p>
        </w:tc>
        <w:tc>
          <w:tcPr>
            <w:tcW w:w="1064" w:type="dxa"/>
            <w:noWrap w:val="0"/>
            <w:tcMar>
              <w:top w:w="0" w:type="dxa"/>
              <w:left w:w="17" w:type="dxa"/>
              <w:bottom w:w="0" w:type="dxa"/>
              <w:right w:w="17" w:type="dxa"/>
            </w:tcMar>
            <w:vAlign w:val="center"/>
          </w:tcPr>
          <w:p w14:paraId="7104E22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71B2EE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r>
      <w:tr w14:paraId="04DA693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2435" w:hRule="atLeast"/>
          <w:jc w:val="center"/>
        </w:trPr>
        <w:tc>
          <w:tcPr>
            <w:tcW w:w="915" w:type="dxa"/>
            <w:vMerge w:val="continue"/>
            <w:noWrap w:val="0"/>
            <w:tcMar>
              <w:top w:w="0" w:type="dxa"/>
              <w:left w:w="17" w:type="dxa"/>
              <w:bottom w:w="0" w:type="dxa"/>
              <w:right w:w="17" w:type="dxa"/>
            </w:tcMar>
            <w:vAlign w:val="center"/>
          </w:tcPr>
          <w:p w14:paraId="5E9CCAD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5CA2A50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79AD12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全面实施守信联合激励和失信联合惩戒。建立完善信用“红黑名单”制度，2019年底前全面实现在行政管理和公共服务事项中查询使用信用“红黑名单”。对守法诚信典型提供绿色通道、容缺受理等激励措施，对严重违法失信主体实施行政性、市场性、社会性约束和信用联合惩戒，营造信用联合奖惩大格局。</w:t>
            </w:r>
          </w:p>
        </w:tc>
        <w:tc>
          <w:tcPr>
            <w:tcW w:w="1064" w:type="dxa"/>
            <w:noWrap w:val="0"/>
            <w:tcMar>
              <w:top w:w="0" w:type="dxa"/>
              <w:left w:w="17" w:type="dxa"/>
              <w:bottom w:w="0" w:type="dxa"/>
              <w:right w:w="17" w:type="dxa"/>
            </w:tcMar>
            <w:vAlign w:val="center"/>
          </w:tcPr>
          <w:p w14:paraId="470812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59F2FDD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r>
      <w:tr w14:paraId="7EA5BE6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707D1D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48C1524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763D400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pacing w:val="-4"/>
                <w:sz w:val="21"/>
                <w:szCs w:val="21"/>
              </w:rPr>
            </w:pPr>
            <w:r>
              <w:rPr>
                <w:rFonts w:hint="eastAsia" w:ascii="方正仿宋_GBK" w:hAnsi="方正仿宋_GBK" w:eastAsia="方正仿宋_GBK" w:cs="方正仿宋_GBK"/>
                <w:spacing w:val="-4"/>
                <w:sz w:val="21"/>
                <w:szCs w:val="21"/>
              </w:rPr>
              <w:t>（3）加快构建以信用为核心的新型监管机制。2019年底前全面建立市场主体信用承诺制和证明事项告知承诺制，承诺事项纳入市场主体信用档案，对提供虚假承诺的当事人实施信用约束和联合惩戒。集中开展重点领域失信问题专项治理。鼓励各行业领域开展市场主体信用评价，实施分级分类监管。</w:t>
            </w:r>
          </w:p>
        </w:tc>
        <w:tc>
          <w:tcPr>
            <w:tcW w:w="1064" w:type="dxa"/>
            <w:noWrap w:val="0"/>
            <w:tcMar>
              <w:top w:w="0" w:type="dxa"/>
              <w:left w:w="17" w:type="dxa"/>
              <w:bottom w:w="0" w:type="dxa"/>
              <w:right w:w="17" w:type="dxa"/>
            </w:tcMar>
            <w:vAlign w:val="center"/>
          </w:tcPr>
          <w:p w14:paraId="24982A5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6D29B62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区文明办</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r>
      <w:tr w14:paraId="06F996D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1C0B70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1166825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31DE1F0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pacing w:val="-4"/>
                <w:sz w:val="21"/>
                <w:szCs w:val="21"/>
              </w:rPr>
            </w:pPr>
            <w:r>
              <w:rPr>
                <w:rFonts w:hint="eastAsia" w:ascii="方正仿宋_GBK" w:hAnsi="方正仿宋_GBK" w:eastAsia="方正仿宋_GBK" w:cs="方正仿宋_GBK"/>
                <w:spacing w:val="-4"/>
                <w:sz w:val="21"/>
                <w:szCs w:val="21"/>
              </w:rPr>
              <w:t>（4）推动信用制度建设。2019年底前制定完善信用承诺、信用修复等制度。</w:t>
            </w:r>
          </w:p>
        </w:tc>
        <w:tc>
          <w:tcPr>
            <w:tcW w:w="1064" w:type="dxa"/>
            <w:noWrap w:val="0"/>
            <w:tcMar>
              <w:top w:w="0" w:type="dxa"/>
              <w:left w:w="17" w:type="dxa"/>
              <w:bottom w:w="0" w:type="dxa"/>
              <w:right w:w="17" w:type="dxa"/>
            </w:tcMar>
            <w:vAlign w:val="center"/>
          </w:tcPr>
          <w:p w14:paraId="5E44169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p>
        </w:tc>
        <w:tc>
          <w:tcPr>
            <w:tcW w:w="1302" w:type="dxa"/>
            <w:noWrap w:val="0"/>
            <w:tcMar>
              <w:top w:w="0" w:type="dxa"/>
              <w:left w:w="17" w:type="dxa"/>
              <w:bottom w:w="0" w:type="dxa"/>
              <w:right w:w="17" w:type="dxa"/>
            </w:tcMar>
            <w:vAlign w:val="center"/>
          </w:tcPr>
          <w:p w14:paraId="11B57E2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司法局</w:t>
            </w:r>
          </w:p>
        </w:tc>
      </w:tr>
      <w:tr w14:paraId="022A696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641B74B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w:t>
            </w:r>
            <w:r>
              <w:rPr>
                <w:rFonts w:hint="eastAsia" w:ascii="方正仿宋_GBK" w:hAnsi="方正仿宋_GBK" w:eastAsia="方正仿宋_GBK" w:cs="方正仿宋_GBK"/>
                <w:sz w:val="21"/>
                <w:szCs w:val="21"/>
                <w:lang w:eastAsia="zh-CN"/>
              </w:rPr>
              <w:t>八</w:t>
            </w:r>
            <w:r>
              <w:rPr>
                <w:rFonts w:hint="eastAsia" w:ascii="方正仿宋_GBK" w:hAnsi="方正仿宋_GBK" w:eastAsia="方正仿宋_GBK" w:cs="方正仿宋_GBK"/>
                <w:sz w:val="21"/>
                <w:szCs w:val="21"/>
              </w:rPr>
              <w:t>、市场监管</w:t>
            </w:r>
          </w:p>
        </w:tc>
        <w:tc>
          <w:tcPr>
            <w:tcW w:w="1147" w:type="dxa"/>
            <w:vMerge w:val="restart"/>
            <w:noWrap w:val="0"/>
            <w:tcMar>
              <w:top w:w="0" w:type="dxa"/>
              <w:left w:w="17" w:type="dxa"/>
              <w:bottom w:w="0" w:type="dxa"/>
              <w:right w:w="17" w:type="dxa"/>
            </w:tcMar>
            <w:vAlign w:val="center"/>
          </w:tcPr>
          <w:p w14:paraId="2948BEC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78</w:t>
            </w:r>
            <w:r>
              <w:rPr>
                <w:rFonts w:hint="eastAsia" w:ascii="方正仿宋_GBK" w:hAnsi="方正仿宋_GBK" w:eastAsia="方正仿宋_GBK" w:cs="方正仿宋_GBK"/>
                <w:sz w:val="21"/>
                <w:szCs w:val="21"/>
              </w:rPr>
              <w:t>．推进与国家“互联网+监管”系统数据共享</w:t>
            </w:r>
          </w:p>
        </w:tc>
        <w:tc>
          <w:tcPr>
            <w:tcW w:w="5077" w:type="dxa"/>
            <w:noWrap w:val="0"/>
            <w:tcMar>
              <w:top w:w="0" w:type="dxa"/>
              <w:left w:w="17" w:type="dxa"/>
              <w:bottom w:w="0" w:type="dxa"/>
              <w:right w:w="17" w:type="dxa"/>
            </w:tcMar>
            <w:vAlign w:val="center"/>
          </w:tcPr>
          <w:p w14:paraId="677A6B7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（1）建成“互联网+监管”系统。</w:t>
            </w:r>
            <w:r>
              <w:rPr>
                <w:rFonts w:hint="eastAsia" w:ascii="方正仿宋_GBK" w:hAnsi="方正仿宋_GBK" w:eastAsia="方正仿宋_GBK" w:cs="方正仿宋_GBK"/>
                <w:sz w:val="21"/>
                <w:szCs w:val="21"/>
                <w:lang w:eastAsia="zh-CN"/>
              </w:rPr>
              <w:t>在市级统一部署下，</w:t>
            </w:r>
            <w:r>
              <w:rPr>
                <w:rFonts w:hint="eastAsia" w:ascii="方正仿宋_GBK" w:hAnsi="方正仿宋_GBK" w:eastAsia="方正仿宋_GBK" w:cs="方正仿宋_GBK"/>
                <w:sz w:val="21"/>
                <w:szCs w:val="21"/>
              </w:rPr>
              <w:t>对标对表国家“互联网+监管”系统“11223”的系统架构，2020年底前建成我</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“互联网+监管”系统，联通部门监管业务系统，汇聚重点领域、行业及企业监管数据，同时接入社会投诉举报数据、互联网及第三方数据，实现监管数据可共享、可分析和风险可预警。</w:t>
            </w:r>
          </w:p>
        </w:tc>
        <w:tc>
          <w:tcPr>
            <w:tcW w:w="1064" w:type="dxa"/>
            <w:noWrap w:val="0"/>
            <w:tcMar>
              <w:top w:w="0" w:type="dxa"/>
              <w:left w:w="17" w:type="dxa"/>
              <w:bottom w:w="0" w:type="dxa"/>
              <w:right w:w="17" w:type="dxa"/>
            </w:tcMar>
            <w:vAlign w:val="center"/>
          </w:tcPr>
          <w:p w14:paraId="3DB8C14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区政务服务办</w:t>
            </w:r>
          </w:p>
        </w:tc>
        <w:tc>
          <w:tcPr>
            <w:tcW w:w="1302" w:type="dxa"/>
            <w:noWrap w:val="0"/>
            <w:tcMar>
              <w:top w:w="0" w:type="dxa"/>
              <w:left w:w="17" w:type="dxa"/>
              <w:bottom w:w="0" w:type="dxa"/>
              <w:right w:w="17" w:type="dxa"/>
            </w:tcMar>
            <w:vAlign w:val="center"/>
          </w:tcPr>
          <w:p w14:paraId="51BC4A9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r>
      <w:tr w14:paraId="4A7DD4F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67565BE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289EF61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59F948C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（2）加快推进政务数据资源共享。</w:t>
            </w:r>
            <w:r>
              <w:rPr>
                <w:rFonts w:hint="eastAsia" w:ascii="方正仿宋_GBK" w:hAnsi="方正仿宋_GBK" w:eastAsia="方正仿宋_GBK" w:cs="方正仿宋_GBK"/>
                <w:sz w:val="21"/>
                <w:szCs w:val="21"/>
                <w:lang w:eastAsia="zh-CN"/>
              </w:rPr>
              <w:t>在市级统一部署下，</w:t>
            </w:r>
            <w:r>
              <w:rPr>
                <w:rFonts w:hint="eastAsia" w:ascii="方正仿宋_GBK" w:hAnsi="方正仿宋_GBK" w:eastAsia="方正仿宋_GBK" w:cs="方正仿宋_GBK"/>
                <w:sz w:val="21"/>
                <w:szCs w:val="21"/>
              </w:rPr>
              <w:t>2021年底前建成“数字</w:t>
            </w:r>
            <w:r>
              <w:rPr>
                <w:rFonts w:hint="eastAsia" w:ascii="方正仿宋_GBK" w:hAnsi="方正仿宋_GBK" w:eastAsia="方正仿宋_GBK" w:cs="方正仿宋_GBK"/>
                <w:color w:val="auto"/>
                <w:sz w:val="21"/>
                <w:szCs w:val="21"/>
              </w:rPr>
              <w:t>重庆</w:t>
            </w:r>
            <w:r>
              <w:rPr>
                <w:rFonts w:hint="eastAsia" w:ascii="方正仿宋_GBK" w:hAnsi="方正仿宋_GBK" w:eastAsia="方正仿宋_GBK" w:cs="方正仿宋_GBK"/>
                <w:sz w:val="21"/>
                <w:szCs w:val="21"/>
              </w:rPr>
              <w:t>”云平台和城市大数据资源中心，统一提供政务数据资源管理服务；各部门根据责任清单汇集数据，提升共享数据质量。</w:t>
            </w:r>
          </w:p>
        </w:tc>
        <w:tc>
          <w:tcPr>
            <w:tcW w:w="1064" w:type="dxa"/>
            <w:noWrap w:val="0"/>
            <w:tcMar>
              <w:top w:w="0" w:type="dxa"/>
              <w:left w:w="17" w:type="dxa"/>
              <w:bottom w:w="0" w:type="dxa"/>
              <w:right w:w="17" w:type="dxa"/>
            </w:tcMar>
            <w:vAlign w:val="center"/>
          </w:tcPr>
          <w:p w14:paraId="677131D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c>
          <w:tcPr>
            <w:tcW w:w="1302" w:type="dxa"/>
            <w:noWrap w:val="0"/>
            <w:tcMar>
              <w:top w:w="0" w:type="dxa"/>
              <w:left w:w="17" w:type="dxa"/>
              <w:bottom w:w="0" w:type="dxa"/>
              <w:right w:w="17" w:type="dxa"/>
            </w:tcMar>
            <w:vAlign w:val="center"/>
          </w:tcPr>
          <w:p w14:paraId="7C726E4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p>
        </w:tc>
      </w:tr>
      <w:tr w14:paraId="5B66C76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740CE5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4BA4E88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5280041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加强数据安全管理。2020年底前建立城市大数据资源中心数据分类分级防护、数据安全风险动态评估等制度，保障数据服务接口、共享交换、授权使用安全，进一步规范数据接入、采集、传输环节，支撑政务数据资源安全保障工作。</w:t>
            </w:r>
          </w:p>
        </w:tc>
        <w:tc>
          <w:tcPr>
            <w:tcW w:w="1064" w:type="dxa"/>
            <w:noWrap w:val="0"/>
            <w:tcMar>
              <w:top w:w="0" w:type="dxa"/>
              <w:left w:w="17" w:type="dxa"/>
              <w:bottom w:w="0" w:type="dxa"/>
              <w:right w:w="17" w:type="dxa"/>
            </w:tcMar>
            <w:vAlign w:val="center"/>
          </w:tcPr>
          <w:p w14:paraId="0908C81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大数据发展局</w:t>
            </w:r>
          </w:p>
        </w:tc>
        <w:tc>
          <w:tcPr>
            <w:tcW w:w="1302" w:type="dxa"/>
            <w:noWrap w:val="0"/>
            <w:tcMar>
              <w:top w:w="0" w:type="dxa"/>
              <w:left w:w="17" w:type="dxa"/>
              <w:bottom w:w="0" w:type="dxa"/>
              <w:right w:w="17" w:type="dxa"/>
            </w:tcMar>
            <w:vAlign w:val="center"/>
          </w:tcPr>
          <w:p w14:paraId="00EA2DF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区委网信办</w:t>
            </w:r>
          </w:p>
        </w:tc>
      </w:tr>
      <w:tr w14:paraId="77062E2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306B27D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十九</w:t>
            </w:r>
            <w:r>
              <w:rPr>
                <w:rFonts w:hint="eastAsia" w:ascii="方正仿宋_GBK" w:hAnsi="方正仿宋_GBK" w:eastAsia="方正仿宋_GBK" w:cs="方正仿宋_GBK"/>
                <w:sz w:val="21"/>
                <w:szCs w:val="21"/>
              </w:rPr>
              <w:t>、包容普惠创新</w:t>
            </w:r>
          </w:p>
        </w:tc>
        <w:tc>
          <w:tcPr>
            <w:tcW w:w="1147" w:type="dxa"/>
            <w:vMerge w:val="restart"/>
            <w:noWrap w:val="0"/>
            <w:tcMar>
              <w:top w:w="0" w:type="dxa"/>
              <w:left w:w="17" w:type="dxa"/>
              <w:bottom w:w="0" w:type="dxa"/>
              <w:right w:w="17" w:type="dxa"/>
            </w:tcMar>
            <w:vAlign w:val="center"/>
          </w:tcPr>
          <w:p w14:paraId="5D46F1D6">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pacing w:val="-28"/>
                <w:sz w:val="21"/>
                <w:szCs w:val="21"/>
              </w:rPr>
            </w:pPr>
            <w:r>
              <w:rPr>
                <w:rFonts w:hint="eastAsia" w:ascii="方正仿宋_GBK" w:hAnsi="方正仿宋_GBK" w:eastAsia="方正仿宋_GBK" w:cs="方正仿宋_GBK"/>
                <w:spacing w:val="-28"/>
                <w:sz w:val="21"/>
                <w:szCs w:val="21"/>
                <w:lang w:val="en-US" w:eastAsia="zh-CN"/>
              </w:rPr>
              <w:t>79</w:t>
            </w:r>
            <w:r>
              <w:rPr>
                <w:rFonts w:hint="eastAsia" w:ascii="方正仿宋_GBK" w:hAnsi="方正仿宋_GBK" w:eastAsia="方正仿宋_GBK" w:cs="方正仿宋_GBK"/>
                <w:spacing w:val="-28"/>
                <w:sz w:val="21"/>
                <w:szCs w:val="21"/>
              </w:rPr>
              <w:t>．提高创新创业活跃度</w:t>
            </w:r>
          </w:p>
        </w:tc>
        <w:tc>
          <w:tcPr>
            <w:tcW w:w="5077" w:type="dxa"/>
            <w:noWrap w:val="0"/>
            <w:tcMar>
              <w:top w:w="0" w:type="dxa"/>
              <w:left w:w="17" w:type="dxa"/>
              <w:bottom w:w="0" w:type="dxa"/>
              <w:right w:w="17" w:type="dxa"/>
            </w:tcMar>
            <w:vAlign w:val="center"/>
          </w:tcPr>
          <w:p w14:paraId="46AA9D9A">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（1）培育创新创业孵化平台。建设一批科技企业孵化器、众创空间，建立稳定持续的扶持机制和绩效评估机制。2019年底前培育国家级创新创业孵化平台</w:t>
            </w: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sz w:val="21"/>
                <w:szCs w:val="21"/>
              </w:rPr>
              <w:t>家左右。</w:t>
            </w:r>
          </w:p>
        </w:tc>
        <w:tc>
          <w:tcPr>
            <w:tcW w:w="1064" w:type="dxa"/>
            <w:noWrap w:val="0"/>
            <w:tcMar>
              <w:top w:w="0" w:type="dxa"/>
              <w:left w:w="17" w:type="dxa"/>
              <w:bottom w:w="0" w:type="dxa"/>
              <w:right w:w="17" w:type="dxa"/>
            </w:tcMar>
            <w:vAlign w:val="center"/>
          </w:tcPr>
          <w:p w14:paraId="0A5E5176">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科技局</w:t>
            </w:r>
          </w:p>
        </w:tc>
        <w:tc>
          <w:tcPr>
            <w:tcW w:w="1302" w:type="dxa"/>
            <w:noWrap w:val="0"/>
            <w:tcMar>
              <w:top w:w="0" w:type="dxa"/>
              <w:left w:w="17" w:type="dxa"/>
              <w:bottom w:w="0" w:type="dxa"/>
              <w:right w:w="17" w:type="dxa"/>
            </w:tcMar>
            <w:vAlign w:val="center"/>
          </w:tcPr>
          <w:p w14:paraId="79B269DB">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r>
      <w:tr w14:paraId="4A21611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159CF64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42F84C6B">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pacing w:val="-28"/>
                <w:sz w:val="21"/>
                <w:szCs w:val="21"/>
              </w:rPr>
            </w:pPr>
          </w:p>
        </w:tc>
        <w:tc>
          <w:tcPr>
            <w:tcW w:w="5077" w:type="dxa"/>
            <w:noWrap w:val="0"/>
            <w:tcMar>
              <w:top w:w="0" w:type="dxa"/>
              <w:left w:w="17" w:type="dxa"/>
              <w:bottom w:w="0" w:type="dxa"/>
              <w:right w:w="17" w:type="dxa"/>
            </w:tcMar>
            <w:vAlign w:val="center"/>
          </w:tcPr>
          <w:p w14:paraId="1D5E8829">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（2）打造环大学创新生态圈。优化大学周边创新创业生态，促进大学科研成果就近转化</w:t>
            </w:r>
            <w:r>
              <w:rPr>
                <w:rFonts w:hint="eastAsia" w:ascii="方正仿宋_GBK" w:hAnsi="方正仿宋_GBK" w:eastAsia="方正仿宋_GBK" w:cs="方正仿宋_GBK"/>
                <w:sz w:val="21"/>
                <w:szCs w:val="21"/>
                <w:lang w:eastAsia="zh-CN"/>
              </w:rPr>
              <w:t>。</w:t>
            </w:r>
          </w:p>
        </w:tc>
        <w:tc>
          <w:tcPr>
            <w:tcW w:w="1064" w:type="dxa"/>
            <w:noWrap w:val="0"/>
            <w:tcMar>
              <w:top w:w="0" w:type="dxa"/>
              <w:left w:w="17" w:type="dxa"/>
              <w:bottom w:w="0" w:type="dxa"/>
              <w:right w:w="17" w:type="dxa"/>
            </w:tcMar>
            <w:vAlign w:val="center"/>
          </w:tcPr>
          <w:p w14:paraId="25B58A57">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科技局</w:t>
            </w:r>
          </w:p>
        </w:tc>
        <w:tc>
          <w:tcPr>
            <w:tcW w:w="1302" w:type="dxa"/>
            <w:noWrap w:val="0"/>
            <w:tcMar>
              <w:top w:w="0" w:type="dxa"/>
              <w:left w:w="17" w:type="dxa"/>
              <w:bottom w:w="0" w:type="dxa"/>
              <w:right w:w="17" w:type="dxa"/>
            </w:tcMar>
            <w:vAlign w:val="center"/>
          </w:tcPr>
          <w:p w14:paraId="5254492E">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教委、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r>
      <w:tr w14:paraId="1A81462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1261065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3589EF16">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pacing w:val="-28"/>
                <w:sz w:val="21"/>
                <w:szCs w:val="21"/>
              </w:rPr>
            </w:pPr>
          </w:p>
        </w:tc>
        <w:tc>
          <w:tcPr>
            <w:tcW w:w="5077" w:type="dxa"/>
            <w:noWrap w:val="0"/>
            <w:tcMar>
              <w:top w:w="0" w:type="dxa"/>
              <w:left w:w="17" w:type="dxa"/>
              <w:bottom w:w="0" w:type="dxa"/>
              <w:right w:w="17" w:type="dxa"/>
            </w:tcMar>
            <w:vAlign w:val="center"/>
          </w:tcPr>
          <w:p w14:paraId="755BBFC1">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（3）营造创新创业文化氛围。</w:t>
            </w:r>
            <w:r>
              <w:rPr>
                <w:rFonts w:hint="eastAsia" w:ascii="方正仿宋_GBK" w:hAnsi="方正仿宋_GBK" w:eastAsia="方正仿宋_GBK" w:cs="方正仿宋_GBK"/>
                <w:sz w:val="21"/>
                <w:szCs w:val="21"/>
                <w:lang w:eastAsia="zh-CN"/>
              </w:rPr>
              <w:t>建立健全全区创新创业联席会议制度；积极组织参加</w:t>
            </w:r>
            <w:r>
              <w:rPr>
                <w:rFonts w:hint="eastAsia" w:ascii="方正仿宋_GBK" w:hAnsi="方正仿宋_GBK" w:eastAsia="方正仿宋_GBK" w:cs="方正仿宋_GBK"/>
                <w:sz w:val="21"/>
                <w:szCs w:val="21"/>
              </w:rPr>
              <w:t>中国创新创业大赛、“互联网+”大学生创新创业大赛、双创活动周等各类创新创业赛事活动；创建全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统一的创新创业活动品牌。</w:t>
            </w:r>
          </w:p>
        </w:tc>
        <w:tc>
          <w:tcPr>
            <w:tcW w:w="1064" w:type="dxa"/>
            <w:noWrap w:val="0"/>
            <w:tcMar>
              <w:top w:w="0" w:type="dxa"/>
              <w:left w:w="17" w:type="dxa"/>
              <w:bottom w:w="0" w:type="dxa"/>
              <w:right w:w="17" w:type="dxa"/>
            </w:tcMar>
            <w:vAlign w:val="center"/>
          </w:tcPr>
          <w:p w14:paraId="2F2BE1ED">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科技局</w:t>
            </w:r>
          </w:p>
        </w:tc>
        <w:tc>
          <w:tcPr>
            <w:tcW w:w="1302" w:type="dxa"/>
            <w:noWrap w:val="0"/>
            <w:tcMar>
              <w:top w:w="0" w:type="dxa"/>
              <w:left w:w="17" w:type="dxa"/>
              <w:bottom w:w="0" w:type="dxa"/>
              <w:right w:w="17" w:type="dxa"/>
            </w:tcMar>
            <w:vAlign w:val="center"/>
          </w:tcPr>
          <w:p w14:paraId="56F308D8">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教委、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r>
      <w:tr w14:paraId="7D0FB9C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4F9220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noWrap w:val="0"/>
            <w:tcMar>
              <w:top w:w="0" w:type="dxa"/>
              <w:left w:w="17" w:type="dxa"/>
              <w:bottom w:w="0" w:type="dxa"/>
              <w:right w:w="17" w:type="dxa"/>
            </w:tcMar>
            <w:vAlign w:val="center"/>
          </w:tcPr>
          <w:p w14:paraId="5B5332A5">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pacing w:val="-28"/>
                <w:sz w:val="21"/>
                <w:szCs w:val="21"/>
              </w:rPr>
            </w:pPr>
            <w:r>
              <w:rPr>
                <w:rFonts w:hint="eastAsia" w:ascii="方正仿宋_GBK" w:hAnsi="方正仿宋_GBK" w:eastAsia="方正仿宋_GBK" w:cs="方正仿宋_GBK"/>
                <w:spacing w:val="-28"/>
                <w:sz w:val="21"/>
                <w:szCs w:val="21"/>
              </w:rPr>
              <w:t>8</w:t>
            </w:r>
            <w:r>
              <w:rPr>
                <w:rFonts w:hint="eastAsia" w:ascii="方正仿宋_GBK" w:hAnsi="方正仿宋_GBK" w:eastAsia="方正仿宋_GBK" w:cs="方正仿宋_GBK"/>
                <w:spacing w:val="-28"/>
                <w:sz w:val="21"/>
                <w:szCs w:val="21"/>
                <w:lang w:val="en-US" w:eastAsia="zh-CN"/>
              </w:rPr>
              <w:t>0</w:t>
            </w:r>
            <w:r>
              <w:rPr>
                <w:rFonts w:hint="eastAsia" w:ascii="方正仿宋_GBK" w:hAnsi="方正仿宋_GBK" w:eastAsia="方正仿宋_GBK" w:cs="方正仿宋_GBK"/>
                <w:spacing w:val="-28"/>
                <w:sz w:val="21"/>
                <w:szCs w:val="21"/>
              </w:rPr>
              <w:t>．提高人才流动便利度</w:t>
            </w:r>
          </w:p>
        </w:tc>
        <w:tc>
          <w:tcPr>
            <w:tcW w:w="5077" w:type="dxa"/>
            <w:noWrap w:val="0"/>
            <w:tcMar>
              <w:top w:w="0" w:type="dxa"/>
              <w:left w:w="17" w:type="dxa"/>
              <w:bottom w:w="0" w:type="dxa"/>
              <w:right w:w="17" w:type="dxa"/>
            </w:tcMar>
            <w:vAlign w:val="center"/>
          </w:tcPr>
          <w:p w14:paraId="341BF513">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对经营性人力资源服务机构从事职业中介活动的，审批时间由20日缩减至10个工作日；从事人力资源供求信息的收集和发布、就业和创业指导、人力资源管理咨询等人力资源服务业务的，实行备案制。</w:t>
            </w:r>
          </w:p>
        </w:tc>
        <w:tc>
          <w:tcPr>
            <w:tcW w:w="1064" w:type="dxa"/>
            <w:noWrap w:val="0"/>
            <w:tcMar>
              <w:top w:w="0" w:type="dxa"/>
              <w:left w:w="17" w:type="dxa"/>
              <w:bottom w:w="0" w:type="dxa"/>
              <w:right w:w="17" w:type="dxa"/>
            </w:tcMar>
            <w:vAlign w:val="center"/>
          </w:tcPr>
          <w:p w14:paraId="712B9BC0">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p>
        </w:tc>
        <w:tc>
          <w:tcPr>
            <w:tcW w:w="1302" w:type="dxa"/>
            <w:noWrap w:val="0"/>
            <w:tcMar>
              <w:top w:w="0" w:type="dxa"/>
              <w:left w:w="17" w:type="dxa"/>
              <w:bottom w:w="0" w:type="dxa"/>
              <w:right w:w="17" w:type="dxa"/>
            </w:tcMar>
            <w:vAlign w:val="center"/>
          </w:tcPr>
          <w:p w14:paraId="6533C04F">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p>
        </w:tc>
      </w:tr>
      <w:tr w14:paraId="3B8909E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CB3DD3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60F0B583">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．提高市场开放度</w:t>
            </w:r>
          </w:p>
          <w:p w14:paraId="470D6C0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4C403E1">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（1）提升招商引商吸引力。严格落实国家</w:t>
            </w:r>
            <w:r>
              <w:rPr>
                <w:rFonts w:hint="eastAsia" w:ascii="方正仿宋_GBK" w:hAnsi="方正仿宋_GBK" w:eastAsia="方正仿宋_GBK" w:cs="方正仿宋_GBK"/>
                <w:sz w:val="21"/>
                <w:szCs w:val="21"/>
                <w:lang w:eastAsia="zh-CN"/>
              </w:rPr>
              <w:t>和市里</w:t>
            </w:r>
            <w:r>
              <w:rPr>
                <w:rFonts w:hint="eastAsia" w:ascii="方正仿宋_GBK" w:hAnsi="方正仿宋_GBK" w:eastAsia="方正仿宋_GBK" w:cs="方正仿宋_GBK"/>
                <w:sz w:val="21"/>
                <w:szCs w:val="21"/>
              </w:rPr>
              <w:t>关于外商投资领域开放的最新政策，强化服务意识，营造宜商宜居的氛围；加快兑现对外资企业承诺的鼓励政策；强化各责任部门招引外资意识，调动招引外资积极性。</w:t>
            </w:r>
          </w:p>
        </w:tc>
        <w:tc>
          <w:tcPr>
            <w:tcW w:w="1064" w:type="dxa"/>
            <w:noWrap w:val="0"/>
            <w:tcMar>
              <w:top w:w="0" w:type="dxa"/>
              <w:left w:w="17" w:type="dxa"/>
              <w:bottom w:w="0" w:type="dxa"/>
              <w:right w:w="17" w:type="dxa"/>
            </w:tcMar>
            <w:vAlign w:val="center"/>
          </w:tcPr>
          <w:p w14:paraId="2952B37F">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商务委</w:t>
            </w:r>
          </w:p>
        </w:tc>
        <w:tc>
          <w:tcPr>
            <w:tcW w:w="1302" w:type="dxa"/>
            <w:noWrap w:val="0"/>
            <w:tcMar>
              <w:top w:w="0" w:type="dxa"/>
              <w:left w:w="17" w:type="dxa"/>
              <w:bottom w:w="0" w:type="dxa"/>
              <w:right w:w="17" w:type="dxa"/>
            </w:tcMar>
            <w:vAlign w:val="center"/>
          </w:tcPr>
          <w:p w14:paraId="4FF2D7AC">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pacing w:val="-8"/>
                <w:sz w:val="21"/>
                <w:szCs w:val="21"/>
              </w:rPr>
            </w:pPr>
            <w:r>
              <w:rPr>
                <w:rFonts w:hint="eastAsia" w:ascii="方正仿宋_GBK" w:hAnsi="方正仿宋_GBK" w:eastAsia="方正仿宋_GBK" w:cs="方正仿宋_GBK"/>
                <w:spacing w:val="-8"/>
                <w:sz w:val="21"/>
                <w:szCs w:val="21"/>
                <w:lang w:eastAsia="zh-CN"/>
              </w:rPr>
              <w:t>区</w:t>
            </w:r>
            <w:r>
              <w:rPr>
                <w:rFonts w:hint="eastAsia" w:ascii="方正仿宋_GBK" w:hAnsi="方正仿宋_GBK" w:eastAsia="方正仿宋_GBK" w:cs="方正仿宋_GBK"/>
                <w:spacing w:val="-8"/>
                <w:sz w:val="21"/>
                <w:szCs w:val="21"/>
              </w:rPr>
              <w:t>招商投资局、</w:t>
            </w:r>
            <w:r>
              <w:rPr>
                <w:rFonts w:hint="eastAsia" w:ascii="方正仿宋_GBK" w:hAnsi="方正仿宋_GBK" w:eastAsia="方正仿宋_GBK" w:cs="方正仿宋_GBK"/>
                <w:spacing w:val="-8"/>
                <w:sz w:val="21"/>
                <w:szCs w:val="21"/>
                <w:lang w:eastAsia="zh-CN"/>
              </w:rPr>
              <w:t>区</w:t>
            </w:r>
            <w:r>
              <w:rPr>
                <w:rFonts w:hint="eastAsia" w:ascii="方正仿宋_GBK" w:hAnsi="方正仿宋_GBK" w:eastAsia="方正仿宋_GBK" w:cs="方正仿宋_GBK"/>
                <w:spacing w:val="-8"/>
                <w:sz w:val="21"/>
                <w:szCs w:val="21"/>
              </w:rPr>
              <w:t>经济信息委、</w:t>
            </w:r>
            <w:r>
              <w:rPr>
                <w:rFonts w:hint="eastAsia" w:ascii="方正仿宋_GBK" w:hAnsi="方正仿宋_GBK" w:eastAsia="方正仿宋_GBK" w:cs="方正仿宋_GBK"/>
                <w:spacing w:val="-8"/>
                <w:sz w:val="21"/>
                <w:szCs w:val="21"/>
                <w:lang w:eastAsia="zh-CN"/>
              </w:rPr>
              <w:t>区</w:t>
            </w:r>
            <w:r>
              <w:rPr>
                <w:rFonts w:hint="eastAsia" w:ascii="方正仿宋_GBK" w:hAnsi="方正仿宋_GBK" w:eastAsia="方正仿宋_GBK" w:cs="方正仿宋_GBK"/>
                <w:spacing w:val="-8"/>
                <w:sz w:val="21"/>
                <w:szCs w:val="21"/>
              </w:rPr>
              <w:t>规划自然资源局、</w:t>
            </w:r>
            <w:r>
              <w:rPr>
                <w:rFonts w:hint="eastAsia" w:ascii="方正仿宋_GBK" w:hAnsi="方正仿宋_GBK" w:eastAsia="方正仿宋_GBK" w:cs="方正仿宋_GBK"/>
                <w:spacing w:val="-8"/>
                <w:sz w:val="21"/>
                <w:szCs w:val="21"/>
                <w:lang w:eastAsia="zh-CN"/>
              </w:rPr>
              <w:t>区</w:t>
            </w:r>
            <w:r>
              <w:rPr>
                <w:rFonts w:hint="eastAsia" w:ascii="方正仿宋_GBK" w:hAnsi="方正仿宋_GBK" w:eastAsia="方正仿宋_GBK" w:cs="方正仿宋_GBK"/>
                <w:spacing w:val="-8"/>
                <w:sz w:val="21"/>
                <w:szCs w:val="21"/>
              </w:rPr>
              <w:t>市场监管局</w:t>
            </w:r>
          </w:p>
        </w:tc>
      </w:tr>
      <w:tr w14:paraId="1521386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8B3A36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3076AABC">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307B055A">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做大做强对外贸易。重点扶持部分优秀的外贸企业，培育一批有竞争力的新型开放主体，做大做优一般贸易；稳定电子信息产业加工贸易订单，做稳做实加工贸易；增强面向中西部地区开展进出口商品集散分拨的服务能力，建设具有“国际采购、国内分销，国内采购、全球分销”功能的进出口商品集散分拨网络。</w:t>
            </w:r>
          </w:p>
        </w:tc>
        <w:tc>
          <w:tcPr>
            <w:tcW w:w="1064" w:type="dxa"/>
            <w:noWrap w:val="0"/>
            <w:tcMar>
              <w:top w:w="0" w:type="dxa"/>
              <w:left w:w="17" w:type="dxa"/>
              <w:bottom w:w="0" w:type="dxa"/>
              <w:right w:w="17" w:type="dxa"/>
            </w:tcMar>
            <w:vAlign w:val="center"/>
          </w:tcPr>
          <w:p w14:paraId="2DDCFCB1">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商务委</w:t>
            </w:r>
          </w:p>
        </w:tc>
        <w:tc>
          <w:tcPr>
            <w:tcW w:w="1302" w:type="dxa"/>
            <w:noWrap w:val="0"/>
            <w:tcMar>
              <w:top w:w="0" w:type="dxa"/>
              <w:left w:w="17" w:type="dxa"/>
              <w:bottom w:w="0" w:type="dxa"/>
              <w:right w:w="17" w:type="dxa"/>
            </w:tcMar>
            <w:vAlign w:val="center"/>
          </w:tcPr>
          <w:p w14:paraId="6ECF2628">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K" w:hAnsi="方正仿宋_GBK" w:eastAsia="方正仿宋_GBK" w:cs="方正仿宋_GBK"/>
                <w:spacing w:val="-10"/>
                <w:sz w:val="21"/>
                <w:szCs w:val="21"/>
              </w:rPr>
            </w:pPr>
            <w:r>
              <w:rPr>
                <w:rFonts w:hint="eastAsia" w:ascii="方正仿宋_GBK" w:hAnsi="方正仿宋_GBK" w:eastAsia="方正仿宋_GBK" w:cs="方正仿宋_GBK"/>
                <w:spacing w:val="-10"/>
                <w:sz w:val="21"/>
                <w:szCs w:val="21"/>
                <w:lang w:eastAsia="zh-CN"/>
              </w:rPr>
              <w:t>区</w:t>
            </w:r>
            <w:r>
              <w:rPr>
                <w:rFonts w:hint="eastAsia" w:ascii="方正仿宋_GBK" w:hAnsi="方正仿宋_GBK" w:eastAsia="方正仿宋_GBK" w:cs="方正仿宋_GBK"/>
                <w:spacing w:val="-10"/>
                <w:sz w:val="21"/>
                <w:szCs w:val="21"/>
              </w:rPr>
              <w:t>发展改革委、</w:t>
            </w:r>
            <w:r>
              <w:rPr>
                <w:rFonts w:hint="eastAsia" w:ascii="方正仿宋_GBK" w:hAnsi="方正仿宋_GBK" w:eastAsia="方正仿宋_GBK" w:cs="方正仿宋_GBK"/>
                <w:spacing w:val="-10"/>
                <w:sz w:val="21"/>
                <w:szCs w:val="21"/>
                <w:lang w:eastAsia="zh-CN"/>
              </w:rPr>
              <w:t>万州</w:t>
            </w:r>
            <w:r>
              <w:rPr>
                <w:rFonts w:hint="eastAsia" w:ascii="方正仿宋_GBK" w:hAnsi="方正仿宋_GBK" w:eastAsia="方正仿宋_GBK" w:cs="方正仿宋_GBK"/>
                <w:spacing w:val="-10"/>
                <w:sz w:val="21"/>
                <w:szCs w:val="21"/>
              </w:rPr>
              <w:t>海关、</w:t>
            </w:r>
            <w:r>
              <w:rPr>
                <w:rFonts w:hint="eastAsia" w:ascii="方正仿宋_GBK" w:hAnsi="方正仿宋_GBK" w:eastAsia="方正仿宋_GBK" w:cs="方正仿宋_GBK"/>
                <w:spacing w:val="-10"/>
                <w:sz w:val="21"/>
                <w:szCs w:val="21"/>
                <w:lang w:eastAsia="zh-CN"/>
              </w:rPr>
              <w:t>人行万州中心支行</w:t>
            </w:r>
            <w:r>
              <w:rPr>
                <w:rFonts w:hint="eastAsia" w:ascii="方正仿宋_GBK" w:hAnsi="方正仿宋_GBK" w:eastAsia="方正仿宋_GBK" w:cs="方正仿宋_GBK"/>
                <w:spacing w:val="-4"/>
                <w:sz w:val="21"/>
                <w:szCs w:val="21"/>
              </w:rPr>
              <w:t>、</w:t>
            </w:r>
            <w:r>
              <w:rPr>
                <w:rFonts w:hint="eastAsia" w:ascii="方正仿宋_GBK" w:hAnsi="方正仿宋_GBK" w:eastAsia="方正仿宋_GBK" w:cs="方正仿宋_GBK"/>
                <w:spacing w:val="-4"/>
                <w:sz w:val="21"/>
                <w:szCs w:val="21"/>
                <w:lang w:eastAsia="zh-CN"/>
              </w:rPr>
              <w:t>区</w:t>
            </w:r>
            <w:r>
              <w:rPr>
                <w:rFonts w:hint="eastAsia" w:ascii="方正仿宋_GBK" w:hAnsi="方正仿宋_GBK" w:eastAsia="方正仿宋_GBK" w:cs="方正仿宋_GBK"/>
                <w:spacing w:val="-4"/>
                <w:sz w:val="21"/>
                <w:szCs w:val="21"/>
              </w:rPr>
              <w:t>金融</w:t>
            </w:r>
            <w:r>
              <w:rPr>
                <w:rFonts w:hint="eastAsia" w:ascii="方正仿宋_GBK" w:hAnsi="方正仿宋_GBK" w:eastAsia="方正仿宋_GBK" w:cs="方正仿宋_GBK"/>
                <w:spacing w:val="-4"/>
                <w:sz w:val="21"/>
                <w:szCs w:val="21"/>
                <w:lang w:eastAsia="zh-CN"/>
              </w:rPr>
              <w:t>办</w:t>
            </w:r>
            <w:r>
              <w:rPr>
                <w:rFonts w:hint="eastAsia" w:ascii="方正仿宋_GBK" w:hAnsi="方正仿宋_GBK" w:eastAsia="方正仿宋_GBK" w:cs="方正仿宋_GBK"/>
                <w:spacing w:val="-4"/>
                <w:sz w:val="21"/>
                <w:szCs w:val="21"/>
              </w:rPr>
              <w:t>、</w:t>
            </w:r>
            <w:r>
              <w:rPr>
                <w:rFonts w:hint="eastAsia" w:ascii="方正仿宋_GBK" w:hAnsi="方正仿宋_GBK" w:eastAsia="方正仿宋_GBK" w:cs="方正仿宋_GBK"/>
                <w:spacing w:val="-4"/>
                <w:sz w:val="21"/>
                <w:szCs w:val="21"/>
                <w:lang w:eastAsia="zh-CN"/>
              </w:rPr>
              <w:t>区税务局</w:t>
            </w:r>
            <w:r>
              <w:rPr>
                <w:rFonts w:hint="eastAsia" w:ascii="方正仿宋_GBK" w:hAnsi="方正仿宋_GBK" w:eastAsia="方正仿宋_GBK" w:cs="方正仿宋_GBK"/>
                <w:spacing w:val="-4"/>
                <w:sz w:val="21"/>
                <w:szCs w:val="21"/>
              </w:rPr>
              <w:t>、</w:t>
            </w:r>
            <w:r>
              <w:rPr>
                <w:rFonts w:hint="eastAsia" w:ascii="方正仿宋_GBK" w:hAnsi="方正仿宋_GBK" w:eastAsia="方正仿宋_GBK" w:cs="方正仿宋_GBK"/>
                <w:spacing w:val="-4"/>
                <w:sz w:val="21"/>
                <w:szCs w:val="21"/>
                <w:lang w:eastAsia="zh-CN"/>
              </w:rPr>
              <w:t>区</w:t>
            </w:r>
            <w:r>
              <w:rPr>
                <w:rFonts w:hint="eastAsia" w:ascii="方正仿宋_GBK" w:hAnsi="方正仿宋_GBK" w:eastAsia="方正仿宋_GBK" w:cs="方正仿宋_GBK"/>
                <w:spacing w:val="-4"/>
                <w:sz w:val="21"/>
                <w:szCs w:val="21"/>
              </w:rPr>
              <w:t>经济信息委、</w:t>
            </w:r>
            <w:r>
              <w:rPr>
                <w:rFonts w:hint="eastAsia" w:ascii="方正仿宋_GBK" w:hAnsi="方正仿宋_GBK" w:eastAsia="方正仿宋_GBK" w:cs="方正仿宋_GBK"/>
                <w:spacing w:val="-4"/>
                <w:sz w:val="21"/>
                <w:szCs w:val="21"/>
                <w:lang w:eastAsia="zh-CN"/>
              </w:rPr>
              <w:t>区</w:t>
            </w:r>
            <w:r>
              <w:rPr>
                <w:rFonts w:hint="eastAsia" w:ascii="方正仿宋_GBK" w:hAnsi="方正仿宋_GBK" w:eastAsia="方正仿宋_GBK" w:cs="方正仿宋_GBK"/>
                <w:spacing w:val="-4"/>
                <w:sz w:val="21"/>
                <w:szCs w:val="21"/>
              </w:rPr>
              <w:t>物流办</w:t>
            </w:r>
          </w:p>
        </w:tc>
      </w:tr>
      <w:tr w14:paraId="3A9734F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311CEE0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十九</w:t>
            </w:r>
            <w:r>
              <w:rPr>
                <w:rFonts w:hint="eastAsia" w:ascii="方正仿宋_GBK" w:hAnsi="方正仿宋_GBK" w:eastAsia="方正仿宋_GBK" w:cs="方正仿宋_GBK"/>
                <w:sz w:val="21"/>
                <w:szCs w:val="21"/>
              </w:rPr>
              <w:t>、包容普惠创新</w:t>
            </w:r>
          </w:p>
        </w:tc>
        <w:tc>
          <w:tcPr>
            <w:tcW w:w="1147" w:type="dxa"/>
            <w:vMerge w:val="continue"/>
            <w:noWrap w:val="0"/>
            <w:tcMar>
              <w:top w:w="0" w:type="dxa"/>
              <w:left w:w="17" w:type="dxa"/>
              <w:bottom w:w="0" w:type="dxa"/>
              <w:right w:w="17" w:type="dxa"/>
            </w:tcMar>
            <w:vAlign w:val="center"/>
          </w:tcPr>
          <w:p w14:paraId="4B1A447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139F7FE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）稳步推进对外投资合作。推动实施一批“一带一路”建设的重大项目，大力引导我</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有比较优势的企业加快境外布局发展，鼓励对外承包工程企业积极参与“一带一路”建设，推动餐饮、电商、零售等企业走出去；强化风险保障服务，建立“走出去”企业海外权益政策性保障机制。</w:t>
            </w:r>
          </w:p>
        </w:tc>
        <w:tc>
          <w:tcPr>
            <w:tcW w:w="1064" w:type="dxa"/>
            <w:noWrap w:val="0"/>
            <w:tcMar>
              <w:top w:w="0" w:type="dxa"/>
              <w:left w:w="17" w:type="dxa"/>
              <w:bottom w:w="0" w:type="dxa"/>
              <w:right w:w="17" w:type="dxa"/>
            </w:tcMar>
            <w:vAlign w:val="center"/>
          </w:tcPr>
          <w:p w14:paraId="226F69B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商务委</w:t>
            </w:r>
          </w:p>
        </w:tc>
        <w:tc>
          <w:tcPr>
            <w:tcW w:w="1302" w:type="dxa"/>
            <w:noWrap w:val="0"/>
            <w:tcMar>
              <w:top w:w="0" w:type="dxa"/>
              <w:left w:w="17" w:type="dxa"/>
              <w:bottom w:w="0" w:type="dxa"/>
              <w:right w:w="17" w:type="dxa"/>
            </w:tcMar>
            <w:vAlign w:val="center"/>
          </w:tcPr>
          <w:p w14:paraId="49E0FBFF">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p>
        </w:tc>
      </w:tr>
      <w:tr w14:paraId="2C5605E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2FA9DE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2153D02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3D805B1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）完善市场主体公平竞争机制。全面实施市场准入负面清单制度，清理废除妨碍统一市场和公平竞争的各种规定和做法。全面落实民间资本参与本</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重大工程建设和国有企业混合所有制改革。创新公共服务领域市场开放机制。</w:t>
            </w:r>
          </w:p>
        </w:tc>
        <w:tc>
          <w:tcPr>
            <w:tcW w:w="1064" w:type="dxa"/>
            <w:noWrap w:val="0"/>
            <w:tcMar>
              <w:top w:w="0" w:type="dxa"/>
              <w:left w:w="17" w:type="dxa"/>
              <w:bottom w:w="0" w:type="dxa"/>
              <w:right w:w="17" w:type="dxa"/>
            </w:tcMar>
            <w:vAlign w:val="center"/>
          </w:tcPr>
          <w:p w14:paraId="2444563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p>
        </w:tc>
        <w:tc>
          <w:tcPr>
            <w:tcW w:w="1302" w:type="dxa"/>
            <w:noWrap w:val="0"/>
            <w:tcMar>
              <w:top w:w="0" w:type="dxa"/>
              <w:left w:w="17" w:type="dxa"/>
              <w:bottom w:w="0" w:type="dxa"/>
              <w:right w:w="17" w:type="dxa"/>
            </w:tcMar>
            <w:vAlign w:val="center"/>
          </w:tcPr>
          <w:p w14:paraId="2AC12673">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商务委、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国资委</w:t>
            </w:r>
          </w:p>
        </w:tc>
      </w:tr>
      <w:tr w14:paraId="400415C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954C63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2BAB91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．提高基本公共服务群众满意度</w:t>
            </w:r>
          </w:p>
        </w:tc>
        <w:tc>
          <w:tcPr>
            <w:tcW w:w="5077" w:type="dxa"/>
            <w:noWrap w:val="0"/>
            <w:tcMar>
              <w:top w:w="0" w:type="dxa"/>
              <w:left w:w="17" w:type="dxa"/>
              <w:bottom w:w="0" w:type="dxa"/>
              <w:right w:w="17" w:type="dxa"/>
            </w:tcMar>
            <w:vAlign w:val="center"/>
          </w:tcPr>
          <w:p w14:paraId="37A835E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推动教育基本公共服务优质供给。实施第三期学前教育行动计划，开展城镇小区配套幼儿园专项治理。深化教育教学改革，全面提高义务教育质量，推进城乡义务教育一体化发展。实施高中阶段教育普及攻坚计划，推进普通高中育人方式改革，促进普通高中特色多样发展。完善现代职业教育体系，深化产教融合校企合作发展。提升教师队伍专业化发展水平。</w:t>
            </w:r>
          </w:p>
        </w:tc>
        <w:tc>
          <w:tcPr>
            <w:tcW w:w="1064" w:type="dxa"/>
            <w:noWrap w:val="0"/>
            <w:tcMar>
              <w:top w:w="0" w:type="dxa"/>
              <w:left w:w="17" w:type="dxa"/>
              <w:bottom w:w="0" w:type="dxa"/>
              <w:right w:w="17" w:type="dxa"/>
            </w:tcMar>
            <w:vAlign w:val="center"/>
          </w:tcPr>
          <w:p w14:paraId="124242F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教委</w:t>
            </w:r>
          </w:p>
        </w:tc>
        <w:tc>
          <w:tcPr>
            <w:tcW w:w="1302" w:type="dxa"/>
            <w:noWrap w:val="0"/>
            <w:tcMar>
              <w:top w:w="0" w:type="dxa"/>
              <w:left w:w="17" w:type="dxa"/>
              <w:bottom w:w="0" w:type="dxa"/>
              <w:right w:w="17" w:type="dxa"/>
            </w:tcMar>
            <w:vAlign w:val="center"/>
          </w:tcPr>
          <w:p w14:paraId="006D901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r>
      <w:tr w14:paraId="5D48BA3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2EE4067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6F43EC2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3CDBBB93">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提升卫生健康基本公共服务水准。推进分级诊疗制度建设。加强医联体建设，抓紧抓实“医通、人通、财通”三通改革试点。实施家庭医生签约服务，建立“保基本、买服务”的激励性财政补偿机制。健全国际医疗保险在</w:t>
            </w:r>
            <w:r>
              <w:rPr>
                <w:rFonts w:hint="eastAsia" w:ascii="方正仿宋_GBK" w:hAnsi="方正仿宋_GBK" w:eastAsia="方正仿宋_GBK" w:cs="方正仿宋_GBK"/>
                <w:sz w:val="21"/>
                <w:szCs w:val="21"/>
                <w:lang w:eastAsia="zh-CN"/>
              </w:rPr>
              <w:t>万</w:t>
            </w:r>
            <w:r>
              <w:rPr>
                <w:rFonts w:hint="eastAsia" w:ascii="方正仿宋_GBK" w:hAnsi="方正仿宋_GBK" w:eastAsia="方正仿宋_GBK" w:cs="方正仿宋_GBK"/>
                <w:sz w:val="21"/>
                <w:szCs w:val="21"/>
              </w:rPr>
              <w:t>使用机制，支持各级医疗机构开展国际医疗保险直付结算服务。</w:t>
            </w:r>
          </w:p>
        </w:tc>
        <w:tc>
          <w:tcPr>
            <w:tcW w:w="1064" w:type="dxa"/>
            <w:noWrap w:val="0"/>
            <w:tcMar>
              <w:top w:w="0" w:type="dxa"/>
              <w:left w:w="17" w:type="dxa"/>
              <w:bottom w:w="0" w:type="dxa"/>
              <w:right w:w="17" w:type="dxa"/>
            </w:tcMar>
            <w:vAlign w:val="center"/>
          </w:tcPr>
          <w:p w14:paraId="0CA5CF6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卫生健康委</w:t>
            </w:r>
          </w:p>
        </w:tc>
        <w:tc>
          <w:tcPr>
            <w:tcW w:w="1302" w:type="dxa"/>
            <w:noWrap w:val="0"/>
            <w:tcMar>
              <w:top w:w="0" w:type="dxa"/>
              <w:left w:w="17" w:type="dxa"/>
              <w:bottom w:w="0" w:type="dxa"/>
              <w:right w:w="17" w:type="dxa"/>
            </w:tcMar>
            <w:vAlign w:val="center"/>
          </w:tcPr>
          <w:p w14:paraId="52544B4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民政局</w:t>
            </w:r>
          </w:p>
        </w:tc>
      </w:tr>
      <w:tr w14:paraId="00249B5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461F9C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2CEE242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4E42DD93">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（3）推进文化体育公共服务体系建设。改造升级一批综合文化服务中心，确保实现全覆盖。</w:t>
            </w:r>
            <w:r>
              <w:rPr>
                <w:rFonts w:hint="eastAsia" w:ascii="方正仿宋_GBK" w:hAnsi="方正仿宋_GBK" w:eastAsia="方正仿宋_GBK" w:cs="方正仿宋_GBK"/>
                <w:sz w:val="21"/>
                <w:szCs w:val="21"/>
                <w:lang w:eastAsia="zh-CN"/>
              </w:rPr>
              <w:t>加快万州图书馆新馆建设，</w:t>
            </w:r>
            <w:r>
              <w:rPr>
                <w:rFonts w:hint="eastAsia" w:ascii="方正仿宋_GBK" w:hAnsi="方正仿宋_GBK" w:eastAsia="方正仿宋_GBK" w:cs="方正仿宋_GBK"/>
                <w:sz w:val="21"/>
                <w:szCs w:val="21"/>
              </w:rPr>
              <w:t>推动文化服务提档升级。抓好公共服务标准化建设试点。扩大政府购买服务范围，鼓励社会力量参与公共服务。加强群众文艺创作活动，推出一批高质量的群众喜闻乐见的优秀作品。打造全民健身品牌赛事活动，加快群众身边的全民健身设施建设。</w:t>
            </w:r>
          </w:p>
        </w:tc>
        <w:tc>
          <w:tcPr>
            <w:tcW w:w="1064" w:type="dxa"/>
            <w:noWrap w:val="0"/>
            <w:tcMar>
              <w:top w:w="0" w:type="dxa"/>
              <w:left w:w="17" w:type="dxa"/>
              <w:bottom w:w="0" w:type="dxa"/>
              <w:right w:w="17" w:type="dxa"/>
            </w:tcMar>
            <w:vAlign w:val="center"/>
          </w:tcPr>
          <w:p w14:paraId="0261E51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文化旅游委</w:t>
            </w:r>
          </w:p>
        </w:tc>
        <w:tc>
          <w:tcPr>
            <w:tcW w:w="1302" w:type="dxa"/>
            <w:noWrap w:val="0"/>
            <w:tcMar>
              <w:top w:w="0" w:type="dxa"/>
              <w:left w:w="17" w:type="dxa"/>
              <w:bottom w:w="0" w:type="dxa"/>
              <w:right w:w="17" w:type="dxa"/>
            </w:tcMar>
            <w:vAlign w:val="center"/>
          </w:tcPr>
          <w:p w14:paraId="5FE0A95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p>
        </w:tc>
      </w:tr>
      <w:tr w14:paraId="404C1FC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4103646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0CFED37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10AEC33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统筹养老基本公共服务协调发展。引导社会投资主体进入养老服务领域。开展“城企联动”普惠型养老机构建设，培育专业性养老服务企业和组织。加快推动公办养老机构改革。推动医疗卫生与养老融合发展，满足老年人医疗、康复、养老需求。</w:t>
            </w:r>
          </w:p>
        </w:tc>
        <w:tc>
          <w:tcPr>
            <w:tcW w:w="1064" w:type="dxa"/>
            <w:noWrap w:val="0"/>
            <w:tcMar>
              <w:top w:w="0" w:type="dxa"/>
              <w:left w:w="17" w:type="dxa"/>
              <w:bottom w:w="0" w:type="dxa"/>
              <w:right w:w="17" w:type="dxa"/>
            </w:tcMar>
            <w:vAlign w:val="center"/>
          </w:tcPr>
          <w:p w14:paraId="3076890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民政局</w:t>
            </w:r>
          </w:p>
        </w:tc>
        <w:tc>
          <w:tcPr>
            <w:tcW w:w="1302" w:type="dxa"/>
            <w:noWrap w:val="0"/>
            <w:tcMar>
              <w:top w:w="0" w:type="dxa"/>
              <w:left w:w="17" w:type="dxa"/>
              <w:bottom w:w="0" w:type="dxa"/>
              <w:right w:w="17" w:type="dxa"/>
            </w:tcMar>
            <w:vAlign w:val="center"/>
          </w:tcPr>
          <w:p w14:paraId="45AF1F9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财政局、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人力社保局、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卫生健康委</w:t>
            </w:r>
          </w:p>
        </w:tc>
      </w:tr>
      <w:tr w14:paraId="5C0A182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restart"/>
            <w:noWrap w:val="0"/>
            <w:tcMar>
              <w:top w:w="0" w:type="dxa"/>
              <w:left w:w="17" w:type="dxa"/>
              <w:bottom w:w="0" w:type="dxa"/>
              <w:right w:w="17" w:type="dxa"/>
            </w:tcMar>
            <w:vAlign w:val="center"/>
          </w:tcPr>
          <w:p w14:paraId="68BE4F2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十九</w:t>
            </w:r>
            <w:r>
              <w:rPr>
                <w:rFonts w:hint="eastAsia" w:ascii="方正仿宋_GBK" w:hAnsi="方正仿宋_GBK" w:eastAsia="方正仿宋_GBK" w:cs="方正仿宋_GBK"/>
                <w:sz w:val="21"/>
                <w:szCs w:val="21"/>
              </w:rPr>
              <w:t>、包容普惠创新</w:t>
            </w:r>
          </w:p>
        </w:tc>
        <w:tc>
          <w:tcPr>
            <w:tcW w:w="1147" w:type="dxa"/>
            <w:vMerge w:val="restart"/>
            <w:noWrap w:val="0"/>
            <w:tcMar>
              <w:top w:w="0" w:type="dxa"/>
              <w:left w:w="17" w:type="dxa"/>
              <w:bottom w:w="0" w:type="dxa"/>
              <w:right w:w="17" w:type="dxa"/>
            </w:tcMar>
            <w:vAlign w:val="center"/>
          </w:tcPr>
          <w:p w14:paraId="0389BA6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83</w:t>
            </w:r>
            <w:r>
              <w:rPr>
                <w:rFonts w:hint="eastAsia" w:ascii="方正仿宋_GBK" w:hAnsi="方正仿宋_GBK" w:eastAsia="方正仿宋_GBK" w:cs="方正仿宋_GBK"/>
                <w:sz w:val="21"/>
                <w:szCs w:val="21"/>
              </w:rPr>
              <w:t>．优化蓝天碧水净土森林覆盖指数</w:t>
            </w:r>
          </w:p>
        </w:tc>
        <w:tc>
          <w:tcPr>
            <w:tcW w:w="5077" w:type="dxa"/>
            <w:noWrap w:val="0"/>
            <w:tcMar>
              <w:top w:w="0" w:type="dxa"/>
              <w:left w:w="17" w:type="dxa"/>
              <w:bottom w:w="0" w:type="dxa"/>
              <w:right w:w="17" w:type="dxa"/>
            </w:tcMar>
            <w:vAlign w:val="center"/>
          </w:tcPr>
          <w:p w14:paraId="76E3C173">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（1）改善环境空气质量。进一步强化大气污染防治“四控两增”措施，实现空气质量优良天数稳定在</w:t>
            </w:r>
            <w:r>
              <w:rPr>
                <w:rFonts w:hint="eastAsia" w:ascii="方正仿宋_GBK" w:hAnsi="方正仿宋_GBK" w:eastAsia="方正仿宋_GBK" w:cs="方正仿宋_GBK"/>
                <w:color w:val="auto"/>
                <w:sz w:val="21"/>
                <w:szCs w:val="21"/>
                <w:lang w:val="en-US" w:eastAsia="zh-CN"/>
              </w:rPr>
              <w:t>300</w:t>
            </w:r>
            <w:r>
              <w:rPr>
                <w:rFonts w:hint="eastAsia" w:ascii="方正仿宋_GBK" w:hAnsi="方正仿宋_GBK" w:eastAsia="方正仿宋_GBK" w:cs="方正仿宋_GBK"/>
                <w:sz w:val="21"/>
                <w:szCs w:val="21"/>
              </w:rPr>
              <w:t>天以上，细颗粒物年均浓度达到国家目标考核要求。</w:t>
            </w:r>
          </w:p>
        </w:tc>
        <w:tc>
          <w:tcPr>
            <w:tcW w:w="1064" w:type="dxa"/>
            <w:noWrap w:val="0"/>
            <w:tcMar>
              <w:top w:w="0" w:type="dxa"/>
              <w:left w:w="17" w:type="dxa"/>
              <w:bottom w:w="0" w:type="dxa"/>
              <w:right w:w="17" w:type="dxa"/>
            </w:tcMar>
            <w:vAlign w:val="center"/>
          </w:tcPr>
          <w:p w14:paraId="48CCDDA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生态环境局</w:t>
            </w:r>
          </w:p>
        </w:tc>
        <w:tc>
          <w:tcPr>
            <w:tcW w:w="1302" w:type="dxa"/>
            <w:noWrap w:val="0"/>
            <w:tcMar>
              <w:top w:w="0" w:type="dxa"/>
              <w:left w:w="17" w:type="dxa"/>
              <w:bottom w:w="0" w:type="dxa"/>
              <w:right w:w="17" w:type="dxa"/>
            </w:tcMar>
            <w:vAlign w:val="center"/>
          </w:tcPr>
          <w:p w14:paraId="1DAF383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公安局、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交通局、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商务委、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市场监管局、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气象局</w:t>
            </w:r>
          </w:p>
        </w:tc>
      </w:tr>
      <w:tr w14:paraId="2DE3A57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9718FA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1E2A7E6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00637435">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（2）改善水体质量。全面整治不达标河流，推进城市污水管网和城市污水处理厂改造、建设和升级，实施长江入河口排查整治行动和整治污水偷排偷放行为专项行动。确保2019年底前纳入国家考核的</w:t>
            </w: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sz w:val="21"/>
                <w:szCs w:val="21"/>
              </w:rPr>
              <w:t>个断面水质</w:t>
            </w:r>
            <w:r>
              <w:rPr>
                <w:rFonts w:hint="eastAsia" w:ascii="方正仿宋_GBK" w:hAnsi="方正仿宋_GBK" w:eastAsia="方正仿宋_GBK" w:cs="方正仿宋_GBK"/>
                <w:sz w:val="21"/>
                <w:szCs w:val="21"/>
                <w:lang w:eastAsia="zh-CN"/>
              </w:rPr>
              <w:t>达标率</w:t>
            </w:r>
            <w:r>
              <w:rPr>
                <w:rFonts w:hint="eastAsia" w:ascii="方正仿宋_GBK" w:hAnsi="方正仿宋_GBK" w:eastAsia="方正仿宋_GBK" w:cs="方正仿宋_GBK"/>
                <w:sz w:val="21"/>
                <w:szCs w:val="21"/>
              </w:rPr>
              <w:t>达到</w:t>
            </w:r>
            <w:r>
              <w:rPr>
                <w:rFonts w:hint="eastAsia" w:ascii="方正仿宋_GBK" w:hAnsi="方正仿宋_GBK" w:eastAsia="方正仿宋_GBK" w:cs="方正仿宋_GBK"/>
                <w:color w:val="auto"/>
                <w:sz w:val="21"/>
                <w:szCs w:val="21"/>
                <w:lang w:val="en-US" w:eastAsia="zh-CN"/>
              </w:rPr>
              <w:t>100</w:t>
            </w:r>
            <w:r>
              <w:rPr>
                <w:rFonts w:hint="eastAsia" w:ascii="方正仿宋_GBK" w:hAnsi="方正仿宋_GBK" w:eastAsia="方正仿宋_GBK" w:cs="方正仿宋_GBK"/>
                <w:sz w:val="21"/>
                <w:szCs w:val="21"/>
              </w:rPr>
              <w:t>%。</w:t>
            </w:r>
          </w:p>
        </w:tc>
        <w:tc>
          <w:tcPr>
            <w:tcW w:w="1064" w:type="dxa"/>
            <w:noWrap w:val="0"/>
            <w:tcMar>
              <w:top w:w="0" w:type="dxa"/>
              <w:left w:w="17" w:type="dxa"/>
              <w:bottom w:w="0" w:type="dxa"/>
              <w:right w:w="17" w:type="dxa"/>
            </w:tcMar>
            <w:vAlign w:val="center"/>
          </w:tcPr>
          <w:p w14:paraId="1F91ABC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生态环境局、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p>
        </w:tc>
        <w:tc>
          <w:tcPr>
            <w:tcW w:w="1302" w:type="dxa"/>
            <w:noWrap w:val="0"/>
            <w:tcMar>
              <w:top w:w="0" w:type="dxa"/>
              <w:left w:w="17" w:type="dxa"/>
              <w:bottom w:w="0" w:type="dxa"/>
              <w:right w:w="17" w:type="dxa"/>
            </w:tcMar>
            <w:vAlign w:val="center"/>
          </w:tcPr>
          <w:p w14:paraId="07480CA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交通局、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水利局、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农业农村委</w:t>
            </w:r>
          </w:p>
        </w:tc>
      </w:tr>
      <w:tr w14:paraId="1309FB9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A7EDD8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0EE06F2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7E75EE9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（3）加强污染土地治理修复。引导工业企业聚集发展，加强工矿企业等对土壤环境的污染防治。开展疑似污染地块调查评估、风险管控及治理修复工作。</w:t>
            </w:r>
          </w:p>
        </w:tc>
        <w:tc>
          <w:tcPr>
            <w:tcW w:w="1064" w:type="dxa"/>
            <w:noWrap w:val="0"/>
            <w:tcMar>
              <w:top w:w="0" w:type="dxa"/>
              <w:left w:w="17" w:type="dxa"/>
              <w:bottom w:w="0" w:type="dxa"/>
              <w:right w:w="17" w:type="dxa"/>
            </w:tcMar>
            <w:vAlign w:val="center"/>
          </w:tcPr>
          <w:p w14:paraId="5B55867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生态环境局</w:t>
            </w:r>
          </w:p>
        </w:tc>
        <w:tc>
          <w:tcPr>
            <w:tcW w:w="1302" w:type="dxa"/>
            <w:noWrap w:val="0"/>
            <w:tcMar>
              <w:top w:w="0" w:type="dxa"/>
              <w:left w:w="17" w:type="dxa"/>
              <w:bottom w:w="0" w:type="dxa"/>
              <w:right w:w="17" w:type="dxa"/>
            </w:tcMar>
            <w:vAlign w:val="center"/>
          </w:tcPr>
          <w:p w14:paraId="29C9307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经济信息委、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农业农村委、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林业局</w:t>
            </w:r>
          </w:p>
        </w:tc>
      </w:tr>
      <w:tr w14:paraId="5BB09BB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5447EE9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1EE8F13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0D2D08A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（4）提高森林覆盖率。发展“四旁”绿化经济林。大力建设城市公园、防护绿地、区域绿地，因地制宜开展立体绿化和消落带绿化。2020年底前全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新增城市绿地</w:t>
            </w:r>
            <w:r>
              <w:rPr>
                <w:rFonts w:hint="eastAsia" w:ascii="方正仿宋_GBK" w:hAnsi="方正仿宋_GBK" w:eastAsia="方正仿宋_GBK" w:cs="方正仿宋_GBK"/>
                <w:color w:val="auto"/>
                <w:sz w:val="21"/>
                <w:szCs w:val="21"/>
                <w:lang w:val="en-US" w:eastAsia="zh-CN"/>
              </w:rPr>
              <w:t>100</w:t>
            </w:r>
            <w:r>
              <w:rPr>
                <w:rFonts w:hint="eastAsia" w:ascii="方正仿宋_GBK" w:hAnsi="方正仿宋_GBK" w:eastAsia="方正仿宋_GBK" w:cs="方正仿宋_GBK"/>
                <w:sz w:val="21"/>
                <w:szCs w:val="21"/>
              </w:rPr>
              <w:t>万平方米</w:t>
            </w:r>
            <w:r>
              <w:rPr>
                <w:rFonts w:hint="eastAsia" w:ascii="方正仿宋_GBK" w:hAnsi="方正仿宋_GBK" w:eastAsia="方正仿宋_GBK" w:cs="方正仿宋_GBK"/>
                <w:sz w:val="21"/>
                <w:szCs w:val="21"/>
                <w:lang w:val="en-US" w:eastAsia="zh-CN"/>
              </w:rPr>
              <w:t>（其中：2019年新增50万平方米，2020年新增50万平方米）</w:t>
            </w:r>
            <w:r>
              <w:rPr>
                <w:rFonts w:hint="eastAsia" w:ascii="方正仿宋_GBK" w:hAnsi="方正仿宋_GBK" w:eastAsia="方正仿宋_GBK" w:cs="方正仿宋_GBK"/>
                <w:sz w:val="21"/>
                <w:szCs w:val="21"/>
              </w:rPr>
              <w:t>，2022年底前城</w:t>
            </w:r>
            <w:r>
              <w:rPr>
                <w:rFonts w:hint="eastAsia" w:ascii="方正仿宋_GBK" w:hAnsi="方正仿宋_GBK" w:eastAsia="方正仿宋_GBK" w:cs="方正仿宋_GBK"/>
                <w:sz w:val="21"/>
                <w:szCs w:val="21"/>
                <w:lang w:eastAsia="zh-CN"/>
              </w:rPr>
              <w:t>市</w:t>
            </w:r>
            <w:r>
              <w:rPr>
                <w:rFonts w:hint="eastAsia" w:ascii="方正仿宋_GBK" w:hAnsi="方正仿宋_GBK" w:eastAsia="方正仿宋_GBK" w:cs="方正仿宋_GBK"/>
                <w:sz w:val="21"/>
                <w:szCs w:val="21"/>
              </w:rPr>
              <w:t>建成区绿化覆盖率达</w:t>
            </w:r>
            <w:r>
              <w:rPr>
                <w:rFonts w:hint="eastAsia" w:ascii="方正仿宋_GBK" w:hAnsi="方正仿宋_GBK" w:eastAsia="方正仿宋_GBK" w:cs="方正仿宋_GBK"/>
                <w:color w:val="auto"/>
                <w:sz w:val="21"/>
                <w:szCs w:val="21"/>
              </w:rPr>
              <w:t>到</w:t>
            </w:r>
            <w:r>
              <w:rPr>
                <w:rFonts w:hint="eastAsia" w:ascii="方正仿宋_GBK" w:hAnsi="方正仿宋_GBK" w:eastAsia="方正仿宋_GBK" w:cs="方正仿宋_GBK"/>
                <w:color w:val="auto"/>
                <w:sz w:val="21"/>
                <w:szCs w:val="21"/>
                <w:lang w:val="en-US" w:eastAsia="zh-CN"/>
              </w:rPr>
              <w:t>37</w:t>
            </w:r>
            <w:r>
              <w:rPr>
                <w:rFonts w:hint="eastAsia" w:ascii="方正仿宋_GBK" w:hAnsi="方正仿宋_GBK" w:eastAsia="方正仿宋_GBK" w:cs="方正仿宋_GBK"/>
                <w:sz w:val="21"/>
                <w:szCs w:val="21"/>
              </w:rPr>
              <w:t>%。</w:t>
            </w:r>
          </w:p>
        </w:tc>
        <w:tc>
          <w:tcPr>
            <w:tcW w:w="1064" w:type="dxa"/>
            <w:noWrap w:val="0"/>
            <w:tcMar>
              <w:top w:w="0" w:type="dxa"/>
              <w:left w:w="17" w:type="dxa"/>
              <w:bottom w:w="0" w:type="dxa"/>
              <w:right w:w="17" w:type="dxa"/>
            </w:tcMar>
            <w:vAlign w:val="center"/>
          </w:tcPr>
          <w:p w14:paraId="709C7E8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林业局、</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城市管理局</w:t>
            </w:r>
          </w:p>
        </w:tc>
        <w:tc>
          <w:tcPr>
            <w:tcW w:w="1302" w:type="dxa"/>
            <w:noWrap w:val="0"/>
            <w:tcMar>
              <w:top w:w="0" w:type="dxa"/>
              <w:left w:w="17" w:type="dxa"/>
              <w:bottom w:w="0" w:type="dxa"/>
              <w:right w:w="17" w:type="dxa"/>
            </w:tcMar>
            <w:vAlign w:val="center"/>
          </w:tcPr>
          <w:p w14:paraId="5CD0A44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r>
      <w:tr w14:paraId="2A47B2D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0776B7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restart"/>
            <w:noWrap w:val="0"/>
            <w:tcMar>
              <w:top w:w="0" w:type="dxa"/>
              <w:left w:w="17" w:type="dxa"/>
              <w:bottom w:w="0" w:type="dxa"/>
              <w:right w:w="17" w:type="dxa"/>
            </w:tcMar>
            <w:vAlign w:val="center"/>
          </w:tcPr>
          <w:p w14:paraId="559BC79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84</w:t>
            </w:r>
            <w:r>
              <w:rPr>
                <w:rFonts w:hint="eastAsia" w:ascii="方正仿宋_GBK" w:hAnsi="方正仿宋_GBK" w:eastAsia="方正仿宋_GBK" w:cs="方正仿宋_GBK"/>
                <w:sz w:val="21"/>
                <w:szCs w:val="21"/>
              </w:rPr>
              <w:t>．优化综合立体交通指数</w:t>
            </w:r>
          </w:p>
        </w:tc>
        <w:tc>
          <w:tcPr>
            <w:tcW w:w="5077" w:type="dxa"/>
            <w:noWrap w:val="0"/>
            <w:tcMar>
              <w:top w:w="0" w:type="dxa"/>
              <w:left w:w="17" w:type="dxa"/>
              <w:bottom w:w="0" w:type="dxa"/>
              <w:right w:w="17" w:type="dxa"/>
            </w:tcMar>
            <w:vAlign w:val="center"/>
          </w:tcPr>
          <w:p w14:paraId="0507343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（1）提升城市干线道路密度指数。着力加快城区骨架线网建设，加快实施</w:t>
            </w:r>
            <w:r>
              <w:rPr>
                <w:rFonts w:hint="eastAsia" w:ascii="方正仿宋_GBK" w:hAnsi="方正仿宋_GBK" w:eastAsia="方正仿宋_GBK" w:cs="方正仿宋_GBK"/>
                <w:color w:val="auto"/>
                <w:sz w:val="21"/>
                <w:szCs w:val="21"/>
                <w:lang w:val="en-US" w:eastAsia="zh-CN"/>
              </w:rPr>
              <w:t>13.4</w:t>
            </w:r>
            <w:r>
              <w:rPr>
                <w:rFonts w:hint="eastAsia" w:ascii="方正仿宋_GBK" w:hAnsi="方正仿宋_GBK" w:eastAsia="方正仿宋_GBK" w:cs="方正仿宋_GBK"/>
                <w:sz w:val="21"/>
                <w:szCs w:val="21"/>
              </w:rPr>
              <w:t>公里次支道路建设，打通未贯通道路，提高路网连通性，促进微循环。2022年底前城区建成区道路网密度达到</w:t>
            </w:r>
            <w:r>
              <w:rPr>
                <w:rFonts w:hint="eastAsia" w:ascii="方正仿宋_GBK" w:hAnsi="方正仿宋_GBK" w:eastAsia="方正仿宋_GBK" w:cs="方正仿宋_GBK"/>
                <w:color w:val="auto"/>
                <w:sz w:val="21"/>
                <w:szCs w:val="21"/>
                <w:lang w:val="en-US" w:eastAsia="zh-CN"/>
              </w:rPr>
              <w:t>7.8</w:t>
            </w:r>
            <w:r>
              <w:rPr>
                <w:rFonts w:hint="eastAsia" w:ascii="方正仿宋_GBK" w:hAnsi="方正仿宋_GBK" w:eastAsia="方正仿宋_GBK" w:cs="方正仿宋_GBK"/>
                <w:sz w:val="21"/>
                <w:szCs w:val="21"/>
              </w:rPr>
              <w:t>km/km</w:t>
            </w:r>
            <w:r>
              <w:rPr>
                <w:rFonts w:hint="eastAsia" w:ascii="方正仿宋_GBK" w:hAnsi="方正仿宋_GBK" w:eastAsia="方正仿宋_GBK" w:cs="方正仿宋_GBK"/>
                <w:sz w:val="21"/>
                <w:szCs w:val="21"/>
                <w:vertAlign w:val="superscript"/>
              </w:rPr>
              <w:t>2</w:t>
            </w:r>
            <w:r>
              <w:rPr>
                <w:rFonts w:hint="eastAsia" w:ascii="方正仿宋_GBK" w:hAnsi="方正仿宋_GBK" w:eastAsia="方正仿宋_GBK" w:cs="方正仿宋_GBK"/>
                <w:sz w:val="21"/>
                <w:szCs w:val="21"/>
              </w:rPr>
              <w:t>以上。</w:t>
            </w:r>
          </w:p>
        </w:tc>
        <w:tc>
          <w:tcPr>
            <w:tcW w:w="1064" w:type="dxa"/>
            <w:noWrap w:val="0"/>
            <w:tcMar>
              <w:top w:w="0" w:type="dxa"/>
              <w:left w:w="17" w:type="dxa"/>
              <w:bottom w:w="0" w:type="dxa"/>
              <w:right w:w="17" w:type="dxa"/>
            </w:tcMar>
            <w:vAlign w:val="center"/>
          </w:tcPr>
          <w:p w14:paraId="3785E6D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住房城乡建委</w:t>
            </w:r>
          </w:p>
        </w:tc>
        <w:tc>
          <w:tcPr>
            <w:tcW w:w="1302" w:type="dxa"/>
            <w:noWrap w:val="0"/>
            <w:tcMar>
              <w:top w:w="0" w:type="dxa"/>
              <w:left w:w="17" w:type="dxa"/>
              <w:bottom w:w="0" w:type="dxa"/>
              <w:right w:w="17" w:type="dxa"/>
            </w:tcMar>
            <w:vAlign w:val="center"/>
          </w:tcPr>
          <w:p w14:paraId="044DF51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r>
      <w:tr w14:paraId="4B0ADEE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369" w:hRule="atLeast"/>
          <w:jc w:val="center"/>
        </w:trPr>
        <w:tc>
          <w:tcPr>
            <w:tcW w:w="915" w:type="dxa"/>
            <w:vMerge w:val="continue"/>
            <w:noWrap w:val="0"/>
            <w:tcMar>
              <w:top w:w="0" w:type="dxa"/>
              <w:left w:w="17" w:type="dxa"/>
              <w:bottom w:w="0" w:type="dxa"/>
              <w:right w:w="17" w:type="dxa"/>
            </w:tcMar>
            <w:vAlign w:val="center"/>
          </w:tcPr>
          <w:p w14:paraId="7F270FC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1147" w:type="dxa"/>
            <w:vMerge w:val="continue"/>
            <w:noWrap w:val="0"/>
            <w:tcMar>
              <w:top w:w="0" w:type="dxa"/>
              <w:left w:w="17" w:type="dxa"/>
              <w:bottom w:w="0" w:type="dxa"/>
              <w:right w:w="17" w:type="dxa"/>
            </w:tcMar>
            <w:vAlign w:val="center"/>
          </w:tcPr>
          <w:p w14:paraId="2BF84D1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p>
        </w:tc>
        <w:tc>
          <w:tcPr>
            <w:tcW w:w="5077" w:type="dxa"/>
            <w:noWrap w:val="0"/>
            <w:tcMar>
              <w:top w:w="0" w:type="dxa"/>
              <w:left w:w="17" w:type="dxa"/>
              <w:bottom w:w="0" w:type="dxa"/>
              <w:right w:w="17" w:type="dxa"/>
            </w:tcMar>
            <w:vAlign w:val="center"/>
          </w:tcPr>
          <w:p w14:paraId="251FD32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（2）强化对外交通便捷度。着力推进城市提升交通建设“三年行动计划”，重点推进郑万高铁等铁路、万州机场改扩建等交通项目建设。2020年底前全</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基本建成水陆空铁多式联运的区域性综合交通枢纽。</w:t>
            </w:r>
          </w:p>
        </w:tc>
        <w:tc>
          <w:tcPr>
            <w:tcW w:w="1064" w:type="dxa"/>
            <w:noWrap w:val="0"/>
            <w:tcMar>
              <w:top w:w="0" w:type="dxa"/>
              <w:left w:w="17" w:type="dxa"/>
              <w:bottom w:w="0" w:type="dxa"/>
              <w:right w:w="17" w:type="dxa"/>
            </w:tcMar>
            <w:vAlign w:val="center"/>
          </w:tcPr>
          <w:p w14:paraId="7EB785C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交通局</w:t>
            </w:r>
          </w:p>
        </w:tc>
        <w:tc>
          <w:tcPr>
            <w:tcW w:w="1302" w:type="dxa"/>
            <w:noWrap w:val="0"/>
            <w:tcMar>
              <w:top w:w="0" w:type="dxa"/>
              <w:left w:w="17" w:type="dxa"/>
              <w:bottom w:w="0" w:type="dxa"/>
              <w:right w:w="17" w:type="dxa"/>
            </w:tcMar>
            <w:vAlign w:val="center"/>
          </w:tcPr>
          <w:p w14:paraId="7B12914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发展改革委、</w:t>
            </w:r>
            <w:r>
              <w:rPr>
                <w:rFonts w:hint="eastAsia" w:ascii="方正仿宋_GBK" w:hAnsi="方正仿宋_GBK" w:eastAsia="方正仿宋_GBK" w:cs="方正仿宋_GBK"/>
                <w:sz w:val="21"/>
                <w:szCs w:val="21"/>
                <w:lang w:eastAsia="zh-CN"/>
              </w:rPr>
              <w:t>区</w:t>
            </w:r>
            <w:r>
              <w:rPr>
                <w:rFonts w:hint="eastAsia" w:ascii="方正仿宋_GBK" w:hAnsi="方正仿宋_GBK" w:eastAsia="方正仿宋_GBK" w:cs="方正仿宋_GBK"/>
                <w:sz w:val="21"/>
                <w:szCs w:val="21"/>
              </w:rPr>
              <w:t>规划自然资源局</w:t>
            </w:r>
          </w:p>
        </w:tc>
      </w:tr>
    </w:tbl>
    <w:p w14:paraId="6A90F200">
      <w:pPr>
        <w:rPr>
          <w:rFonts w:hint="eastAsia"/>
        </w:rPr>
      </w:pPr>
    </w:p>
    <w:p w14:paraId="660E5EDE">
      <w:pPr>
        <w:ind w:firstLine="420" w:firstLineChars="200"/>
        <w:rPr>
          <w:rFonts w:hint="eastAsia"/>
        </w:rPr>
      </w:pPr>
    </w:p>
    <w:p w14:paraId="3B20B667">
      <w:pPr>
        <w:spacing w:line="590" w:lineRule="exact"/>
        <w:ind w:firstLine="645"/>
        <w:rPr>
          <w:rFonts w:hint="eastAsia" w:ascii="方正仿宋_GBK" w:eastAsia="方正仿宋_GBK"/>
          <w:sz w:val="32"/>
          <w:szCs w:val="32"/>
        </w:rPr>
      </w:pPr>
    </w:p>
    <w:p w14:paraId="21CBC35B">
      <w:pPr>
        <w:rPr>
          <w:rFonts w:hint="eastAsia" w:ascii="方正仿宋_GBK" w:eastAsia="方正仿宋_GBK"/>
          <w:sz w:val="32"/>
        </w:rPr>
        <w:sectPr>
          <w:footerReference r:id="rId3" w:type="default"/>
          <w:footerReference r:id="rId4" w:type="even"/>
          <w:footnotePr>
            <w:numFmt w:val="decimal"/>
          </w:footnotePr>
          <w:pgSz w:w="11906" w:h="16838"/>
          <w:pgMar w:top="1985" w:right="1474" w:bottom="1644" w:left="1588" w:header="851" w:footer="1361" w:gutter="0"/>
          <w:cols w:space="720" w:num="1"/>
          <w:docGrid w:type="lines" w:linePitch="312" w:charSpace="0"/>
        </w:sectPr>
      </w:pPr>
    </w:p>
    <w:p w14:paraId="53F885A2">
      <w:pPr>
        <w:spacing w:line="590" w:lineRule="exact"/>
        <w:ind w:right="1283" w:rightChars="611" w:firstLine="1289" w:firstLineChars="403"/>
        <w:rPr>
          <w:rFonts w:hint="eastAsia" w:ascii="方正仿宋_GBK" w:eastAsia="方正仿宋_GBK"/>
          <w:sz w:val="32"/>
        </w:rPr>
        <w:sectPr>
          <w:footerReference r:id="rId5" w:type="default"/>
          <w:footerReference r:id="rId6" w:type="even"/>
          <w:footnotePr>
            <w:numFmt w:val="decimal"/>
          </w:footnotePr>
          <w:pgSz w:w="11906" w:h="16838"/>
          <w:pgMar w:top="1985" w:right="1474" w:bottom="1644" w:left="1588" w:header="851" w:footer="1361" w:gutter="0"/>
          <w:cols w:space="720" w:num="1"/>
          <w:docGrid w:type="lines" w:linePitch="312" w:charSpace="0"/>
        </w:sectPr>
      </w:pPr>
    </w:p>
    <w:p w14:paraId="0F832E28">
      <w:pPr>
        <w:spacing w:line="590" w:lineRule="exact"/>
        <w:ind w:right="1283" w:rightChars="611" w:firstLine="1289" w:firstLineChars="403"/>
        <w:rPr>
          <w:rFonts w:hint="eastAsia" w:ascii="方正仿宋_GBK" w:eastAsia="方正仿宋_GBK"/>
          <w:sz w:val="32"/>
        </w:rPr>
      </w:pPr>
    </w:p>
    <w:p w14:paraId="2B1D8BF1">
      <w:pPr>
        <w:spacing w:line="590" w:lineRule="exact"/>
        <w:ind w:right="1283" w:rightChars="611" w:firstLine="1289" w:firstLineChars="403"/>
        <w:rPr>
          <w:rFonts w:hint="eastAsia" w:ascii="方正仿宋_GBK" w:eastAsia="方正仿宋_GBK"/>
          <w:sz w:val="32"/>
        </w:rPr>
      </w:pPr>
    </w:p>
    <w:p w14:paraId="5C9DB50F">
      <w:pPr>
        <w:spacing w:line="590" w:lineRule="exact"/>
        <w:ind w:right="1283" w:rightChars="611" w:firstLine="1289" w:firstLineChars="403"/>
        <w:rPr>
          <w:rFonts w:hint="eastAsia" w:ascii="方正仿宋_GBK" w:eastAsia="方正仿宋_GBK"/>
          <w:sz w:val="32"/>
        </w:rPr>
      </w:pPr>
    </w:p>
    <w:p w14:paraId="16767BAC">
      <w:pPr>
        <w:spacing w:line="590" w:lineRule="exact"/>
        <w:ind w:right="1283" w:rightChars="611" w:firstLine="1289" w:firstLineChars="403"/>
        <w:rPr>
          <w:rFonts w:hint="eastAsia" w:ascii="方正仿宋_GBK" w:eastAsia="方正仿宋_GBK"/>
          <w:sz w:val="32"/>
        </w:rPr>
      </w:pPr>
    </w:p>
    <w:p w14:paraId="3E1EA22F">
      <w:pPr>
        <w:spacing w:line="590" w:lineRule="exact"/>
        <w:ind w:right="1283" w:rightChars="611" w:firstLine="1289" w:firstLineChars="403"/>
        <w:rPr>
          <w:rFonts w:hint="eastAsia" w:ascii="方正仿宋_GBK" w:eastAsia="方正仿宋_GBK"/>
          <w:sz w:val="32"/>
        </w:rPr>
      </w:pPr>
    </w:p>
    <w:p w14:paraId="513A48C6">
      <w:pPr>
        <w:spacing w:line="590" w:lineRule="exact"/>
        <w:ind w:right="1283" w:rightChars="611" w:firstLine="1289" w:firstLineChars="403"/>
        <w:rPr>
          <w:rFonts w:hint="eastAsia" w:ascii="方正仿宋_GBK" w:eastAsia="方正仿宋_GBK"/>
          <w:sz w:val="32"/>
        </w:rPr>
      </w:pPr>
    </w:p>
    <w:p w14:paraId="4A9D73BD">
      <w:pPr>
        <w:spacing w:line="590" w:lineRule="exact"/>
        <w:ind w:right="1283" w:rightChars="611" w:firstLine="1289" w:firstLineChars="403"/>
        <w:rPr>
          <w:rFonts w:hint="eastAsia" w:ascii="方正仿宋_GBK" w:eastAsia="方正仿宋_GBK"/>
          <w:sz w:val="32"/>
        </w:rPr>
      </w:pPr>
    </w:p>
    <w:p w14:paraId="7280B7E3">
      <w:pPr>
        <w:spacing w:line="590" w:lineRule="exact"/>
        <w:ind w:right="1283" w:rightChars="611" w:firstLine="1289" w:firstLineChars="403"/>
        <w:rPr>
          <w:rFonts w:hint="eastAsia" w:ascii="方正仿宋_GBK" w:eastAsia="方正仿宋_GBK"/>
          <w:sz w:val="32"/>
        </w:rPr>
      </w:pPr>
    </w:p>
    <w:p w14:paraId="6C2AD416">
      <w:pPr>
        <w:spacing w:line="590" w:lineRule="exact"/>
        <w:ind w:right="1283" w:rightChars="611" w:firstLine="1289" w:firstLineChars="403"/>
        <w:rPr>
          <w:rFonts w:hint="eastAsia" w:ascii="方正仿宋_GBK" w:eastAsia="方正仿宋_GBK"/>
          <w:sz w:val="32"/>
        </w:rPr>
      </w:pPr>
    </w:p>
    <w:p w14:paraId="5425D076">
      <w:pPr>
        <w:spacing w:line="590" w:lineRule="exact"/>
        <w:ind w:right="1283" w:rightChars="611" w:firstLine="1289" w:firstLineChars="403"/>
        <w:rPr>
          <w:rFonts w:hint="eastAsia" w:ascii="方正仿宋_GBK" w:eastAsia="方正仿宋_GBK"/>
          <w:sz w:val="32"/>
        </w:rPr>
      </w:pPr>
    </w:p>
    <w:p w14:paraId="08029212">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eastAsia" w:ascii="方正仿宋_GBK" w:eastAsia="方正仿宋_GBK"/>
          <w:sz w:val="32"/>
        </w:rPr>
      </w:pPr>
    </w:p>
    <w:p w14:paraId="64B4C239">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eastAsia" w:ascii="方正仿宋_GBK" w:eastAsia="方正仿宋_GBK"/>
          <w:sz w:val="32"/>
        </w:rPr>
      </w:pPr>
    </w:p>
    <w:p w14:paraId="464FF88C">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eastAsia" w:ascii="方正仿宋_GBK" w:eastAsia="方正仿宋_GBK"/>
          <w:sz w:val="32"/>
        </w:rPr>
      </w:pPr>
    </w:p>
    <w:p w14:paraId="1730D194">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eastAsia" w:ascii="方正仿宋_GBK" w:eastAsia="方正仿宋_GBK"/>
          <w:sz w:val="32"/>
        </w:rPr>
      </w:pPr>
    </w:p>
    <w:p w14:paraId="6B945D9F">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eastAsia" w:ascii="方正仿宋_GBK" w:eastAsia="方正仿宋_GBK"/>
          <w:sz w:val="32"/>
        </w:rPr>
      </w:pPr>
    </w:p>
    <w:p w14:paraId="5EBE6785">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eastAsia" w:ascii="方正仿宋_GBK" w:eastAsia="方正仿宋_GBK"/>
          <w:sz w:val="32"/>
        </w:rPr>
      </w:pPr>
    </w:p>
    <w:p w14:paraId="2485A712">
      <w:pPr>
        <w:spacing w:line="590" w:lineRule="exact"/>
        <w:ind w:right="1283" w:rightChars="611" w:firstLine="1289" w:firstLineChars="403"/>
        <w:rPr>
          <w:rFonts w:hint="eastAsia" w:ascii="方正仿宋_GBK" w:eastAsia="方正仿宋_GBK"/>
          <w:sz w:val="32"/>
        </w:rPr>
      </w:pPr>
    </w:p>
    <w:p w14:paraId="581FC4A3">
      <w:pPr>
        <w:spacing w:line="590" w:lineRule="exact"/>
        <w:ind w:right="1283" w:rightChars="611" w:firstLine="1289" w:firstLineChars="403"/>
        <w:rPr>
          <w:rFonts w:hint="eastAsia" w:ascii="方正仿宋_GBK" w:eastAsia="方正仿宋_GBK"/>
          <w:sz w:val="32"/>
        </w:rPr>
      </w:pPr>
    </w:p>
    <w:p w14:paraId="13C93D29">
      <w:pPr>
        <w:widowControl/>
        <w:pBdr>
          <w:bottom w:val="single" w:color="auto" w:sz="8" w:space="1"/>
        </w:pBdr>
        <w:snapToGrid w:val="0"/>
        <w:spacing w:line="590" w:lineRule="exact"/>
        <w:jc w:val="left"/>
        <w:rPr>
          <w:rFonts w:hint="eastAsia" w:ascii="方正仿宋_GBK" w:hAnsi="宋体" w:eastAsia="方正仿宋_GBK" w:cs="宋体"/>
          <w:kern w:val="0"/>
          <w:sz w:val="28"/>
        </w:rPr>
      </w:pPr>
    </w:p>
    <w:p w14:paraId="4AAD4280">
      <w:pPr>
        <w:spacing w:line="590" w:lineRule="exact"/>
        <w:ind w:left="1119" w:leftChars="133" w:hanging="840" w:hangingChars="300"/>
        <w:rPr>
          <w:rFonts w:ascii="方正仿宋_GBK" w:hAnsi="宋体" w:eastAsia="方正仿宋_GBK" w:cs="宋体"/>
          <w:kern w:val="0"/>
          <w:sz w:val="28"/>
          <w:szCs w:val="28"/>
        </w:rPr>
      </w:pPr>
      <w:r>
        <w:rPr>
          <w:rFonts w:hint="eastAsia" w:ascii="方正仿宋_GBK" w:hAnsi="宋体" w:eastAsia="方正仿宋_GBK" w:cs="宋体"/>
          <w:kern w:val="0"/>
          <w:sz w:val="28"/>
          <w:szCs w:val="28"/>
        </w:rPr>
        <w:t>抄送：</w:t>
      </w:r>
      <w:r>
        <w:rPr>
          <w:rFonts w:hint="eastAsia" w:ascii="方正仿宋_GBK" w:eastAsia="方正仿宋_GBK"/>
          <w:sz w:val="28"/>
        </w:rPr>
        <w:t>区委各部委，</w:t>
      </w:r>
      <w:r>
        <w:rPr>
          <w:rFonts w:hint="eastAsia" w:ascii="方正仿宋_GBK" w:eastAsia="方正仿宋_GBK"/>
          <w:sz w:val="28"/>
          <w:lang w:eastAsia="zh-CN"/>
        </w:rPr>
        <w:t>区人大常委会办公室</w:t>
      </w:r>
      <w:r>
        <w:rPr>
          <w:rFonts w:hint="eastAsia" w:ascii="方正仿宋_GBK" w:eastAsia="方正仿宋_GBK"/>
          <w:sz w:val="28"/>
        </w:rPr>
        <w:t>，区政协办公室，万州经开区办公室，区法院，区检察院，区人武部</w:t>
      </w:r>
      <w:r>
        <w:rPr>
          <w:rFonts w:hint="eastAsia" w:ascii="方正仿宋_GBK" w:hAnsi="宋体" w:eastAsia="方正仿宋_GBK" w:cs="宋体"/>
          <w:kern w:val="0"/>
          <w:sz w:val="28"/>
          <w:szCs w:val="28"/>
        </w:rPr>
        <w:t>。</w:t>
      </w:r>
    </w:p>
    <w:p w14:paraId="08591030">
      <w:pPr>
        <w:widowControl/>
        <w:pBdr>
          <w:top w:val="single" w:color="auto" w:sz="4" w:space="1"/>
          <w:bottom w:val="single" w:color="auto" w:sz="8" w:space="1"/>
        </w:pBdr>
        <w:snapToGrid w:val="0"/>
        <w:spacing w:line="590" w:lineRule="exact"/>
        <w:jc w:val="left"/>
        <w:rPr>
          <w:rFonts w:hint="eastAsia" w:ascii="方正仿宋_GBK" w:hAnsi="宋体" w:eastAsia="方正仿宋_GBK" w:cs="宋体"/>
          <w:kern w:val="0"/>
          <w:sz w:val="28"/>
          <w:szCs w:val="28"/>
        </w:rPr>
      </w:pPr>
      <w:r>
        <w:rPr>
          <w:rFonts w:ascii="方正仿宋_GBK" w:hAnsi="宋体" w:eastAsia="方正仿宋_GBK" w:cs="宋体"/>
          <w:kern w:val="0"/>
          <w:sz w:val="28"/>
          <w:szCs w:val="28"/>
        </w:rPr>
        <w:t xml:space="preserve">  </w:t>
      </w: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eastAsia" w:ascii="方正仿宋_GBK" w:hAnsi="宋体" w:eastAsia="方正仿宋_GBK" w:cs="宋体"/>
          <w:kern w:val="0"/>
          <w:sz w:val="28"/>
          <w:szCs w:val="28"/>
          <w:lang w:val="en-US" w:eastAsia="zh-CN"/>
        </w:rPr>
        <w:t xml:space="preserve">  </w:t>
      </w:r>
      <w:r>
        <w:rPr>
          <w:rFonts w:ascii="方正仿宋_GBK" w:hAnsi="宋体" w:eastAsia="方正仿宋_GBK" w:cs="宋体"/>
          <w:kern w:val="0"/>
          <w:sz w:val="28"/>
          <w:szCs w:val="28"/>
        </w:rPr>
        <w:t xml:space="preserve">      201</w:t>
      </w:r>
      <w:r>
        <w:rPr>
          <w:rFonts w:hint="eastAsia" w:ascii="方正仿宋_GBK" w:hAnsi="宋体" w:eastAsia="方正仿宋_GBK" w:cs="宋体"/>
          <w:kern w:val="0"/>
          <w:sz w:val="28"/>
          <w:szCs w:val="28"/>
          <w:lang w:val="en-US" w:eastAsia="zh-CN"/>
        </w:rPr>
        <w:t>9</w:t>
      </w:r>
      <w:r>
        <w:rPr>
          <w:rFonts w:hint="eastAsia" w:ascii="方正仿宋_GBK" w:hAnsi="宋体" w:eastAsia="方正仿宋_GBK" w:cs="宋体"/>
          <w:kern w:val="0"/>
          <w:sz w:val="28"/>
          <w:szCs w:val="28"/>
        </w:rPr>
        <w:t>年</w:t>
      </w:r>
      <w:r>
        <w:rPr>
          <w:rFonts w:hint="eastAsia" w:ascii="方正仿宋_GBK" w:hAnsi="宋体" w:eastAsia="方正仿宋_GBK" w:cs="宋体"/>
          <w:kern w:val="0"/>
          <w:sz w:val="28"/>
          <w:szCs w:val="28"/>
          <w:lang w:val="en-US" w:eastAsia="zh-CN"/>
        </w:rPr>
        <w:t>9</w:t>
      </w:r>
      <w:r>
        <w:rPr>
          <w:rFonts w:hint="eastAsia" w:ascii="方正仿宋_GBK" w:hAnsi="宋体" w:eastAsia="方正仿宋_GBK" w:cs="宋体"/>
          <w:kern w:val="0"/>
          <w:sz w:val="28"/>
          <w:szCs w:val="28"/>
        </w:rPr>
        <w:t>月</w:t>
      </w:r>
      <w:r>
        <w:rPr>
          <w:rFonts w:hint="eastAsia" w:ascii="方正仿宋_GBK" w:hAnsi="宋体" w:eastAsia="方正仿宋_GBK" w:cs="宋体"/>
          <w:kern w:val="0"/>
          <w:sz w:val="28"/>
          <w:szCs w:val="28"/>
          <w:lang w:val="en-US" w:eastAsia="zh-CN"/>
        </w:rPr>
        <w:t>3</w:t>
      </w:r>
      <w:r>
        <w:rPr>
          <w:rFonts w:hint="eastAsia" w:ascii="方正仿宋_GBK" w:hAnsi="宋体" w:eastAsia="方正仿宋_GBK" w:cs="宋体"/>
          <w:kern w:val="0"/>
          <w:sz w:val="28"/>
          <w:szCs w:val="28"/>
        </w:rPr>
        <w:t>日印发</w:t>
      </w:r>
    </w:p>
    <w:sectPr>
      <w:footerReference r:id="rId7" w:type="default"/>
      <w:footerReference r:id="rId8" w:type="even"/>
      <w:footnotePr>
        <w:numFmt w:val="decimal"/>
      </w:footnotePr>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DEA6">
    <w:pPr>
      <w:pStyle w:val="2"/>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6DC89">
    <w:pPr>
      <w:pStyle w:val="2"/>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DF63">
    <w:pPr>
      <w:pStyle w:val="2"/>
      <w:wordWrap w:val="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394B">
    <w:pPr>
      <w:pStyle w:val="2"/>
      <w:ind w:firstLine="180" w:firstLineChars="1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0676">
    <w:pPr>
      <w:pStyle w:val="2"/>
      <w:wordWrap w:val="0"/>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9D016">
    <w:pPr>
      <w:pStyle w:val="2"/>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A115A"/>
    <w:rsid w:val="04B15CFF"/>
    <w:rsid w:val="13944F76"/>
    <w:rsid w:val="29DE4323"/>
    <w:rsid w:val="2EFF3F8D"/>
    <w:rsid w:val="379A5FD6"/>
    <w:rsid w:val="380C08CE"/>
    <w:rsid w:val="568E2509"/>
    <w:rsid w:val="593A115A"/>
    <w:rsid w:val="63D3125A"/>
    <w:rsid w:val="7CE81FCE"/>
    <w:rsid w:val="DDEFE17D"/>
    <w:rsid w:val="FBBF3E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1723"/>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C:\Users\Administrator\AppData\Roaming\Kingsoft\office6\templates\wps\zh_CN\&#19975;&#24030;&#24220;&#21150;&#2145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万州府办发.wpt</Template>
  <Company>区政府办公室</Company>
  <Pages>24</Pages>
  <Words>18479</Words>
  <Characters>18939</Characters>
  <Lines>1</Lines>
  <Paragraphs>1</Paragraphs>
  <TotalTime>5</TotalTime>
  <ScaleCrop>false</ScaleCrop>
  <LinksUpToDate>false</LinksUpToDate>
  <CharactersWithSpaces>18999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2019-09-05T02:41:00Z</dcterms:created>
  <dc:creator>Administrator</dc:creator>
  <cp:lastModifiedBy>WPS_1666744378</cp:lastModifiedBy>
  <cp:lastPrinted>2019-09-05T03:07:00Z</cp:lastPrinted>
  <dcterms:modified xsi:type="dcterms:W3CDTF">2025-08-14T02:05:36Z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B54A31A1F1E64CE88A18B9BA00555055_12</vt:lpwstr>
  </property>
</Properties>
</file>