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highlight w:val="none"/>
          <w:lang w:val="en-US" w:eastAsia="zh-CN"/>
        </w:rPr>
        <w:t>万州区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highlight w:val="none"/>
        </w:rPr>
        <w:t>年1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highlight w:val="none"/>
          <w:lang w:val="en-US" w:eastAsia="zh-CN"/>
        </w:rPr>
        <w:t>—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highlight w:val="none"/>
        </w:rPr>
        <w:t>6月预算执行情况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32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2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32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20"/>
          <w:highlight w:val="none"/>
          <w:lang w:val="en-US" w:eastAsia="zh-CN" w:bidi="ar-SA"/>
        </w:rPr>
        <w:t>一、上半年预算执行情况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今年以来，在区委的坚强领导下，在区人大、区政协的监督支持下，我们坚持以习近平新时代中国特色社会主义思想为指导，全面贯彻党的二十大和二十届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二中、三中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全会精神，深入落实中央、市委、区委经济工作会议精神，认真落实市委六届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六次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全会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、区委六届六次全会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精神，坚持稳中求进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工作总基调，完整准确全面贯彻新发展理念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锚定全区“3710”改革发展总体架构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实施更加积极的财政政策，增强财政综合统筹保障能力，兜牢兜实“三保”底线，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全区上半年财政运行总体平稳。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32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24"/>
          <w:highlight w:val="none"/>
          <w:lang w:val="en-US" w:eastAsia="zh-CN"/>
        </w:rPr>
        <w:t>（一）全区预算执行情况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1—6月，全区财政收入完成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78.82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亿元，增长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50.98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%；财政支出完成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132.81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亿元，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增长24.64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%。具体如下：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top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1.一般公共预算。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全区一般公共预算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收入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39.25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亿元，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全市排名第5，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增长8.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%，其中税收收入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24.12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亿元，全市排名第5，增长5.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%。1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个税种“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增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降”，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增值税、企业所得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税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、土地增值税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等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个税种同比增长，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房产税、印花税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和个人所得税等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个税种同比下降。非税收入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15.13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亿元，增长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12.4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%。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全区一般公共预算支出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87.17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亿元，增长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21.9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%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，增幅全市排名第2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。19个主要支出科目“十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增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八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降”，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主要是基本民生政策调标，大力支持工业企业发展、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科技创新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和刺激消费等，教育、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科技、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卫生健康、商贸服务业和节能环保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等支出保持增长；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落实隐债化解整改，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城乡社区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大幅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增长；增发国债政策到期、交通建设项目减少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等原因，农林水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、交通运输、灾害防治及应急管理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等支出下降。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2.政府性基金预算。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全区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政府性基金预算收入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32.08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亿元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（其中划拨土地收入27.37亿元）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，全市排名第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292.1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全区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政府性基金预算支出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43.42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元，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增长29.1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国有资本经营预算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国有资本经营预算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收入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7.50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国有资本经营预算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2.22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firstLine="612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20"/>
          <w:highlight w:val="none"/>
          <w:lang w:val="en-US" w:eastAsia="zh-CN" w:bidi="ar-SA"/>
        </w:rPr>
        <w:t>（二）区级预算执行情况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1.一般公共预算。</w:t>
      </w:r>
      <w:r>
        <w:rPr>
          <w:rFonts w:hint="eastAsia" w:ascii="Times New Roman" w:hAnsi="Times New Roman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区级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38.58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亿元，其中税收收入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23.56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亿元，非税收入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15.02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亿元。</w:t>
      </w:r>
      <w:r>
        <w:rPr>
          <w:rFonts w:hint="eastAsia" w:ascii="Times New Roman" w:hAnsi="Times New Roman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区级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一般公共预算支出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80.92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2.政府性基金预算。</w:t>
      </w:r>
      <w:r>
        <w:rPr>
          <w:rFonts w:hint="eastAsia" w:ascii="Times New Roman" w:hAnsi="Times New Roman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区级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政府性基金预算收入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32.05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区级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政府性基金预算支出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42.63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3.国有资本经营预算。</w:t>
      </w:r>
      <w:r>
        <w:rPr>
          <w:rFonts w:hint="eastAsia" w:ascii="Times New Roman" w:hAnsi="Times New Roman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区级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国有资本经营预算收入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完成7.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区级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国有资本经营预算支出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2.22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firstLine="612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20"/>
          <w:highlight w:val="none"/>
          <w:lang w:val="en-US" w:eastAsia="zh-CN" w:bidi="ar-SA"/>
        </w:rPr>
        <w:t>（三）乡镇预算执行情况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1.一般公共预算。</w:t>
      </w:r>
      <w:r>
        <w:rPr>
          <w:rFonts w:hint="eastAsia" w:ascii="Times New Roman" w:hAnsi="Times New Roman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乡镇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0.66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乡镇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一般公共预算支出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6.25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2.政府性基金预算。</w:t>
      </w:r>
      <w:r>
        <w:rPr>
          <w:rFonts w:hint="eastAsia" w:ascii="Times New Roman" w:hAnsi="Times New Roman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乡镇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政府性基金预算收入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226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eastAsia" w:ascii="Times New Roman" w:hAnsi="Times New Roman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乡镇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政府性基金预算支出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0.80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firstLine="612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20"/>
          <w:highlight w:val="none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“三保”执行情况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80" w:lineRule="exact"/>
        <w:ind w:right="0" w:firstLine="64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1—6月，按照国家规定的“三保”范围和标准，全区“三保”支出34.69亿元，其中“保工资”支出23.89亿元，“保运转”支出3.89亿元，“保基本民生”支出6.91亿元。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firstLine="612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五）补助资金到位情况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firstLine="61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1—6月，上级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转移支付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到位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61.07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亿元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，与上年同期（73.8亿元）下降17.25%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主要受增发国债、三峡后续工作到期等政策影响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其中，一般公共预算转移支付补助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54.94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亿元，政府性基金转移支付补助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6.11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亿元，国有资本经营预算补助20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此外，新增政府专项债券资金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13.24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亿元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再融资债券资金12.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46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亿元。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支持消费品以旧换新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，财政部和市财政局通过直接补贴市场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主体超1.9亿元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汽车、家电、家装、3C数码以旧换新拉动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我区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消费超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80" w:lineRule="exact"/>
        <w:ind w:right="0" w:firstLine="640"/>
        <w:jc w:val="both"/>
        <w:textAlignment w:val="baseline"/>
        <w:outlineLvl w:val="1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5"/>
          <w:kern w:val="2"/>
          <w:sz w:val="21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（六）政府债务管理情况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截至6月末，我区政府债务余额428.93亿元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未超过政府限额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综合债务率低于全市平均水平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风险总体可控。今年全区到期政府债券本金22.3亿元，已发行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9.46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亿元再融资债券，本级财力安排2.09亿元，全部用于到期政府债务还本。及时足额支付政府债务利息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5.88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亿元。加快专项债券使用进度，充分发挥财政资金引导作用，已拨付专项债券资金10.5亿元。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32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20"/>
          <w:highlight w:val="none"/>
          <w:lang w:val="en-US" w:eastAsia="zh-CN" w:bidi="ar-SA"/>
        </w:rPr>
        <w:t>二、国家增量政策执行情况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32" w:firstLineChars="200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根据国务院一揽子增量政策，2025年我区正有序展开对增量政策的落实，促进我区经济平稳有序运行。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严格落实特定群体资助提标扩面政策，财政支出5467万元。包括高中阶段国家助学金资助提标，中等职业学校国家助学金提标扩面</w:t>
      </w:r>
      <w:r>
        <w:rPr>
          <w:rFonts w:hint="default" w:ascii="Times New Roman" w:hAnsi="Times New Roman" w:cs="Times New Roman"/>
          <w:color w:val="auto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default" w:ascii="Times New Roman" w:hAnsi="Times New Roman" w:cs="Times New Roman"/>
          <w:color w:val="auto"/>
          <w:highlight w:val="none"/>
        </w:rPr>
        <w:t>用好债券资金，一方面上半年发行3亿元再融资债券用于置换地方政府存量债务；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另一方面预计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下半年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发行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土储专项债券用于盘活存量土地。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财政部、市财政局正逐步建立高质量发展专项资金相关制度，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我区积极争取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全市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重要城市副中心建设转移支付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firstLine="612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zh-CN" w:eastAsia="zh-CN" w:bidi="ar-SA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主要工作开展情况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一）推动做实零基预算。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20"/>
          <w:highlight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rtl w:val="0"/>
          <w:lang w:val="en-US" w:eastAsia="zh-CN"/>
        </w:rPr>
        <w:t>2025年部门预算对行政及参公单位公用经费进行规范，优化支出结构，解决制度性挪用项目资金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rtl w:val="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rtl w:val="0"/>
          <w:lang w:val="en-US" w:eastAsia="zh-CN"/>
        </w:rPr>
        <w:t>财务支出及“三公”经费管理不规范等问题。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rtl w:val="0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rtl w:val="0"/>
          <w:lang w:val="en-US" w:eastAsia="zh-CN"/>
        </w:rPr>
        <w:t>严格按照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政策规定的保障范围和标准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rtl w:val="0"/>
          <w:lang w:val="en-US" w:eastAsia="zh-CN"/>
        </w:rPr>
        <w:t>，以基数数据计算人员类经费，并全额纳入年初预算。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rtl w:val="0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rtl w:val="0"/>
          <w:lang w:val="en-US" w:eastAsia="zh-CN"/>
        </w:rPr>
        <w:t>取消资金安排基数，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将需区级财力保障的六大类常年性刚性支出项目纳入部门预算，执行过程中依据财政承受能力追加急需必须项目预算，转变财政资金分配方式，力求集中财力办大事要事，提高财政资金使用效益。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firstLine="640"/>
        <w:jc w:val="both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（二）全力组织财政收入。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20"/>
          <w:highlight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全力应对经济承压、减税降费、招商引资难等困难挑战，锚定年初任务，深化协税护税、资产盘活等工作机制，以“开局即冲刺”的决胜姿态压茬推进各项收入组织措施。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20"/>
          <w:highlight w:val="none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积极向上争取，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20"/>
          <w:highlight w:val="none"/>
          <w:lang w:val="en-US" w:eastAsia="zh-CN" w:bidi="ar-SA"/>
        </w:rPr>
        <w:t>足额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安排前期项目资金，及时兑现公用经费奖补资金，支持部门单位做实项目前期工作，抢抓国家超常规政策窗口期，力争项目和资金较上年有所增长。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firstLine="640"/>
        <w:jc w:val="both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（三）持续强化预算管理。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20"/>
          <w:highlight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严控追加预算。将落实过紧日子措施精神融入预算管理全过程，大力压减一般性项目支出，严控年度追加预算，部门确需增加的临时一般性支出，在其年初预算内统筹调剂保障。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20"/>
          <w:highlight w:val="none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加强资金调度。建立国库资金调度规则，每半月调度资金安排，根据财力及工作实际，优先保障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国家标准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“三保”支出需求，分梯次全力保障其他重点需求。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20"/>
          <w:highlight w:val="none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强化执行监管。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以预算执行监控、财会监督、绩效管理、财政评审、“纪巡审财统”五类监督贯通协调为重要抓手，对财政资金从分配、拨付到使用实行全过程监督管理，切实提高财政资金使用效益。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firstLine="640"/>
        <w:jc w:val="both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rtl w:val="0"/>
          <w:lang w:val="en-US" w:eastAsia="zh-CN" w:bidi="ar-SA"/>
        </w:rPr>
        <w:t>加大统筹调度力度。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聚焦区委区政府重大决策、重要项目，加强资金资源统筹。按照《2025年市级一般公共预算转移支付统筹方案》，已对符合统筹政策的市级资金实施统筹；对其他资金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根据性质和使用方向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合规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统筹集中财力办大事。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firstLine="640"/>
        <w:jc w:val="both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（五）加力国有资产盘活。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组建区推动国有资产盘活工作“1+4+8”工作组（专班），制定“1+3+4”盘活工作方案。聘请专业中介机构深度清理谋划政府可统筹利用资源，清理出矿产、森林、港口岸线、风能等资源资产类37项，供水、能源、客运线等特许事项13项，转由国有企业承接的政府采购事项16项等，为后续盘活变现增加财力打下坚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Chars="0" w:right="0" w:firstLine="612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（一）收支矛盾愈发突出。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2020年以来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收支矛盾逐步凸显，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累计收支缺口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逐年扩大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。从今年来看，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收入组织难度加大，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一般公共预算收入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增长乏力，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土地收入中绝大部分为划拨土地，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w:t>出让地大幅下滑；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支出压力有增无减，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形势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更加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严峻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，将长时期处于“紧平衡”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80" w:lineRule="exact"/>
        <w:ind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财政运行风险加剧。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当年可用财力无法满足支出需求，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支出金额远大于收入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库款长期低位运行，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保障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“三保”支出和其他刚性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运转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支出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捉襟见肘，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存在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财政运行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风险。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12" w:firstLineChars="200"/>
        <w:jc w:val="both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下一步工作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3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20"/>
          <w:highlight w:val="none"/>
          <w:lang w:val="en-US" w:eastAsia="zh-CN" w:bidi="ar-SA"/>
        </w:rPr>
        <w:t>（一）抓收入，增加可用财力。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全力挖潜增收，深化协税护税，强化做实非税收入，转变土地收入路径，国企税收应缴必缴尽缴。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恢复财税联席会议，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由区领导定期调度，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研究收入工作。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推动支持万州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全市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重要城市副中心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事项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和政策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落地落实，精准、高效衔接“资金池”与“项目池”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，争取高质量转移支付。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12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-5"/>
          <w:kern w:val="2"/>
          <w:sz w:val="32"/>
          <w:szCs w:val="20"/>
          <w:highlight w:val="none"/>
          <w:lang w:val="en-US" w:eastAsia="zh-CN" w:bidi="ar-SA"/>
        </w:rPr>
        <w:t>（二）推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统筹，充分调动资源。</w:t>
      </w: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及时协调、提请解决资产盘活推进中的困难问题，加快推进供排水资源盘活，强化与央企、市级国企的对接与合作。</w:t>
      </w: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统筹上级转移支付解决部门历史遗留问题，一般债券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用于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需区级财力安排的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重点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支出，专项债券统筹解决土地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成本和盘活土地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，切实化解部分财力缺口。</w:t>
      </w: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继续强化落实习惯过紧日子相关举措，除安全、应急等事项外原则上不再追加安排预算，单位新增的一般性业务支出在已下达预算中统筹列支。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（三）化债务，防范化解风险。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管好用好债券资金，坚决遏制新增隐债，妥善化解遗留问题，健全债务监管机制。督促债务主体严格落实“631”债务偿还机制，按时合规完成化解任务；聚焦市委、市政府下达的化债指标，锁定目标、打表推进，确保按时高质量完成各项化债目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rtl w:val="0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（四）强绩效，提高资金效益。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rtl w:val="0"/>
          <w:lang w:val="en-US" w:eastAsia="zh-CN" w:bidi="ar"/>
        </w:rPr>
        <w:t>科学合理设定绩效目标考核指标，提高绩效考核评价的客观量化程度。在单位和项目全周期预算管理中嵌入“全过程”绩效链条，加快实现预算和绩效管理一体化。加强绩效评价结果应用和问题整改，推动提高财政资源配置效率和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80" w:lineRule="exact"/>
        <w:ind w:right="0"/>
        <w:jc w:val="both"/>
        <w:rPr>
          <w:rFonts w:hint="default" w:ascii="Times New Roman" w:hAnsi="Times New Roman" w:eastAsia="仿宋_GB2312" w:cs="Times New Roman"/>
          <w:kern w:val="2"/>
          <w:sz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附件：1.万州区2025年1—6月各级收支预算执行情况表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1580" w:firstLineChars="5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2.万州区2025年1—6月税收收入执行情况表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1580" w:firstLineChars="5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5"/>
          <w:sz w:val="32"/>
          <w:szCs w:val="32"/>
          <w:highlight w:val="none"/>
          <w:lang w:val="en-US" w:eastAsia="zh-CN"/>
        </w:rPr>
        <w:t>万州区2025年1—6月一般公共预算支出执行情况表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  <w:t>万州区2025年1—6月各级收支预算执行情况表</w:t>
      </w:r>
    </w:p>
    <w:tbl>
      <w:tblPr>
        <w:tblStyle w:val="21"/>
        <w:tblpPr w:leftFromText="180" w:rightFromText="180" w:vertAnchor="text" w:horzAnchor="page" w:tblpX="1854" w:tblpY="255"/>
        <w:tblOverlap w:val="never"/>
        <w:tblW w:w="85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457"/>
        <w:gridCol w:w="1335"/>
        <w:gridCol w:w="1309"/>
        <w:gridCol w:w="1301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单元</w:t>
            </w:r>
          </w:p>
        </w:tc>
        <w:tc>
          <w:tcPr>
            <w:tcW w:w="24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264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收入</w:t>
            </w:r>
          </w:p>
        </w:tc>
        <w:tc>
          <w:tcPr>
            <w:tcW w:w="26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完成数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（%）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完成数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州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788,238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48.3 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1,328,089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392,472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44.7 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871,663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55.2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其中：税收收入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241,165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49.0 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151,307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39.1 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320,766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53.1 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434,234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51.7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其中：国有土地出让收入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302,667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56.5 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75,000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22,192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72.7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级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  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781,382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48.3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1,257,677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385,842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44.6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809,209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其中：税收收入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235,627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49.1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150,215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39.1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320,540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53.1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426,276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其中：国有土地出让收入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302,667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56.5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75,000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50.0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22,192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  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6,856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45.6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70,412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6,630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45.8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62,454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其中：税收收入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5,538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44.8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1,092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51.8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40.1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7,958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</w:p>
    <w:tbl>
      <w:tblPr>
        <w:tblStyle w:val="21"/>
        <w:tblpPr w:leftFromText="180" w:rightFromText="180" w:vertAnchor="text" w:horzAnchor="page" w:tblpX="1922" w:tblpY="845"/>
        <w:tblOverlap w:val="never"/>
        <w:tblW w:w="81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7"/>
        <w:gridCol w:w="1658"/>
        <w:gridCol w:w="1421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税种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1-6月完成数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进度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（％）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比去年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同期±%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10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 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241,165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49.0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99,284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49.1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51,713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56.7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9,444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51.2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3,868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61.5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12,221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48.0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12,387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27.7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-47.3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7,224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40.4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-19.3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25,946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65.7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4,051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270.1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396.3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7,384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33.9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-55.1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契税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7,091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35.5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烟叶税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532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27.8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其他税收收入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16.8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-79.8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  <w:t>万州区2025年1—6月税收收入执行情况表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4"/>
          <w:highlight w:val="none"/>
        </w:rPr>
        <w:br w:type="page"/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firstLine="352" w:firstLineChars="200"/>
        <w:jc w:val="left"/>
        <w:textAlignment w:val="baseline"/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  <w:t>万州区2025年1—6月一般公共预算支出执行情况表</w:t>
      </w:r>
    </w:p>
    <w:tbl>
      <w:tblPr>
        <w:tblStyle w:val="21"/>
        <w:tblpPr w:leftFromText="180" w:rightFromText="180" w:vertAnchor="text" w:horzAnchor="page" w:tblpX="2007" w:tblpY="299"/>
        <w:tblOverlap w:val="never"/>
        <w:tblW w:w="8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2"/>
        <w:gridCol w:w="1658"/>
        <w:gridCol w:w="1421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1-6月完成数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进度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（％）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比去年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同期±%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871,663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55.2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一般公共服务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65,554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51.8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304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47.3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31,162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60.9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149,284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60.3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30,438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79.1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9,029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38.9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-16.9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133,160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55.5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64,107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55.2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29,681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58.3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119,896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301.6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597.2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68,865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39.1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16,897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40.3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96,329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33.6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1,384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70.6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10,198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60.2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27,334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52.5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21.0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6,622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26.7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11,286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49.0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33.3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7" w:h="16840"/>
      <w:pgMar w:top="1984" w:right="1474" w:bottom="1644" w:left="1587" w:header="850" w:footer="992" w:gutter="0"/>
      <w:pgNumType w:start="1"/>
      <w:cols w:space="720" w:num="1"/>
      <w:formProt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ind w:left="320" w:leftChars="100" w:right="320" w:rightChars="100"/>
      <w:rPr>
        <w:rStyle w:val="25"/>
        <w:rFonts w:hint="eastAsia" w:ascii="宋体" w:hAnsi="宋体" w:eastAsia="宋体"/>
        <w:sz w:val="28"/>
        <w:szCs w:val="28"/>
      </w:rPr>
    </w:pPr>
    <w:r>
      <w:rPr>
        <w:rStyle w:val="25"/>
        <w:rFonts w:hint="eastAsia" w:ascii="宋体" w:hAnsi="宋体" w:eastAsia="宋体"/>
        <w:sz w:val="28"/>
        <w:szCs w:val="28"/>
      </w:rPr>
      <w:t xml:space="preserve">— </w:t>
    </w:r>
    <w:r>
      <w:rPr>
        <w:rFonts w:hint="default" w:ascii="Times New Roman" w:hAnsi="Times New Roman" w:eastAsia="宋体" w:cs="Times New Roman"/>
        <w:sz w:val="28"/>
        <w:szCs w:val="28"/>
      </w:rPr>
      <w:fldChar w:fldCharType="begin"/>
    </w:r>
    <w:r>
      <w:rPr>
        <w:rStyle w:val="25"/>
        <w:rFonts w:hint="default"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eastAsia="宋体" w:cs="Times New Roman"/>
        <w:sz w:val="28"/>
        <w:szCs w:val="28"/>
      </w:rPr>
      <w:fldChar w:fldCharType="separate"/>
    </w:r>
    <w:r>
      <w:rPr>
        <w:rStyle w:val="25"/>
        <w:rFonts w:hint="default" w:ascii="Times New Roman" w:hAnsi="Times New Roman" w:eastAsia="宋体" w:cs="Times New Roman"/>
        <w:sz w:val="28"/>
        <w:szCs w:val="28"/>
      </w:rPr>
      <w:t>2</w:t>
    </w:r>
    <w:r>
      <w:rPr>
        <w:rFonts w:hint="default"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1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0F299"/>
    <w:multiLevelType w:val="singleLevel"/>
    <w:tmpl w:val="6430F29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3"/>
  <w:hyphenationZone w:val="360"/>
  <w:drawingGridHorizontalSpacing w:val="158"/>
  <w:drawingGridVerticalSpacing w:val="579"/>
  <w:displayHorizontalDrawingGridEvery w:val="0"/>
  <w:displayVerticalDrawingGridEvery w:val="1"/>
  <w:doNotShadeFormData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UUID" w:val="1367dca-160449ca5fa-f528764d624db129b32c21fbca0cb8d6"/>
  </w:docVars>
  <w:rsids>
    <w:rsidRoot w:val="FFB2B050"/>
    <w:rsid w:val="00007384"/>
    <w:rsid w:val="00007C8E"/>
    <w:rsid w:val="00010F37"/>
    <w:rsid w:val="00021E31"/>
    <w:rsid w:val="00027012"/>
    <w:rsid w:val="00033E5E"/>
    <w:rsid w:val="00035C73"/>
    <w:rsid w:val="00067928"/>
    <w:rsid w:val="00075DB4"/>
    <w:rsid w:val="00082C92"/>
    <w:rsid w:val="00090201"/>
    <w:rsid w:val="00090B32"/>
    <w:rsid w:val="000B31C6"/>
    <w:rsid w:val="000B7C92"/>
    <w:rsid w:val="000D7D4D"/>
    <w:rsid w:val="000E3A3B"/>
    <w:rsid w:val="000E61DF"/>
    <w:rsid w:val="000F0248"/>
    <w:rsid w:val="00107793"/>
    <w:rsid w:val="001113F2"/>
    <w:rsid w:val="00116099"/>
    <w:rsid w:val="00123FDD"/>
    <w:rsid w:val="00125FB9"/>
    <w:rsid w:val="00131BA2"/>
    <w:rsid w:val="00132C59"/>
    <w:rsid w:val="00162C38"/>
    <w:rsid w:val="00165D66"/>
    <w:rsid w:val="00170FD3"/>
    <w:rsid w:val="0017384F"/>
    <w:rsid w:val="00184C04"/>
    <w:rsid w:val="001879A3"/>
    <w:rsid w:val="00191529"/>
    <w:rsid w:val="00195471"/>
    <w:rsid w:val="001A00E7"/>
    <w:rsid w:val="001A015E"/>
    <w:rsid w:val="001A4142"/>
    <w:rsid w:val="001A6498"/>
    <w:rsid w:val="001A7F89"/>
    <w:rsid w:val="001C1140"/>
    <w:rsid w:val="001C14E6"/>
    <w:rsid w:val="001C60B7"/>
    <w:rsid w:val="001D13E8"/>
    <w:rsid w:val="001D5651"/>
    <w:rsid w:val="001D60BF"/>
    <w:rsid w:val="001D76DD"/>
    <w:rsid w:val="001E6CC9"/>
    <w:rsid w:val="001F2EA8"/>
    <w:rsid w:val="001F3739"/>
    <w:rsid w:val="001F497C"/>
    <w:rsid w:val="00206740"/>
    <w:rsid w:val="00217222"/>
    <w:rsid w:val="00223B91"/>
    <w:rsid w:val="00225B2F"/>
    <w:rsid w:val="002276BD"/>
    <w:rsid w:val="00230DA0"/>
    <w:rsid w:val="00231F47"/>
    <w:rsid w:val="00235536"/>
    <w:rsid w:val="00245600"/>
    <w:rsid w:val="00252749"/>
    <w:rsid w:val="0025470F"/>
    <w:rsid w:val="0025759B"/>
    <w:rsid w:val="002615F6"/>
    <w:rsid w:val="00262387"/>
    <w:rsid w:val="00263122"/>
    <w:rsid w:val="00275310"/>
    <w:rsid w:val="00280A3D"/>
    <w:rsid w:val="002B18F6"/>
    <w:rsid w:val="002B272F"/>
    <w:rsid w:val="002B424F"/>
    <w:rsid w:val="002B44D7"/>
    <w:rsid w:val="002B64B2"/>
    <w:rsid w:val="002C4330"/>
    <w:rsid w:val="002E0955"/>
    <w:rsid w:val="002E20C2"/>
    <w:rsid w:val="002E7F8A"/>
    <w:rsid w:val="002F0D0F"/>
    <w:rsid w:val="002F2B70"/>
    <w:rsid w:val="002F2EFE"/>
    <w:rsid w:val="002F75A4"/>
    <w:rsid w:val="00302AC4"/>
    <w:rsid w:val="003040B5"/>
    <w:rsid w:val="0030450C"/>
    <w:rsid w:val="00323B9F"/>
    <w:rsid w:val="00324A2A"/>
    <w:rsid w:val="003263D5"/>
    <w:rsid w:val="00331D64"/>
    <w:rsid w:val="00345B99"/>
    <w:rsid w:val="00350EA7"/>
    <w:rsid w:val="00353543"/>
    <w:rsid w:val="00356570"/>
    <w:rsid w:val="00357026"/>
    <w:rsid w:val="0037381A"/>
    <w:rsid w:val="00374B38"/>
    <w:rsid w:val="003760EC"/>
    <w:rsid w:val="00377E34"/>
    <w:rsid w:val="003921C7"/>
    <w:rsid w:val="003927DC"/>
    <w:rsid w:val="00395399"/>
    <w:rsid w:val="003A3577"/>
    <w:rsid w:val="003A4EDE"/>
    <w:rsid w:val="003A5D45"/>
    <w:rsid w:val="003B327A"/>
    <w:rsid w:val="003B4704"/>
    <w:rsid w:val="003B4F37"/>
    <w:rsid w:val="003B689C"/>
    <w:rsid w:val="003C3088"/>
    <w:rsid w:val="003D2689"/>
    <w:rsid w:val="003D7C3C"/>
    <w:rsid w:val="003E1DE4"/>
    <w:rsid w:val="003F6E18"/>
    <w:rsid w:val="004105FB"/>
    <w:rsid w:val="00411D04"/>
    <w:rsid w:val="004155E6"/>
    <w:rsid w:val="00415BC2"/>
    <w:rsid w:val="00422752"/>
    <w:rsid w:val="004320A2"/>
    <w:rsid w:val="00435DAE"/>
    <w:rsid w:val="004360B2"/>
    <w:rsid w:val="00437B70"/>
    <w:rsid w:val="00450FF7"/>
    <w:rsid w:val="00452350"/>
    <w:rsid w:val="00457D47"/>
    <w:rsid w:val="00465024"/>
    <w:rsid w:val="00467149"/>
    <w:rsid w:val="0046720F"/>
    <w:rsid w:val="00481F41"/>
    <w:rsid w:val="00483E63"/>
    <w:rsid w:val="004849B3"/>
    <w:rsid w:val="00484BF6"/>
    <w:rsid w:val="004A4976"/>
    <w:rsid w:val="004A4C49"/>
    <w:rsid w:val="004A551C"/>
    <w:rsid w:val="004C33A3"/>
    <w:rsid w:val="004C4CD8"/>
    <w:rsid w:val="004D16A5"/>
    <w:rsid w:val="004D6ABE"/>
    <w:rsid w:val="004E3529"/>
    <w:rsid w:val="004E59F6"/>
    <w:rsid w:val="004E7004"/>
    <w:rsid w:val="004E733A"/>
    <w:rsid w:val="004F2AD3"/>
    <w:rsid w:val="00500527"/>
    <w:rsid w:val="00504F17"/>
    <w:rsid w:val="0050730D"/>
    <w:rsid w:val="005223D7"/>
    <w:rsid w:val="00523039"/>
    <w:rsid w:val="00525A9D"/>
    <w:rsid w:val="005269D5"/>
    <w:rsid w:val="00570685"/>
    <w:rsid w:val="00583246"/>
    <w:rsid w:val="00592388"/>
    <w:rsid w:val="005A4482"/>
    <w:rsid w:val="005A5515"/>
    <w:rsid w:val="005A692D"/>
    <w:rsid w:val="005B47B7"/>
    <w:rsid w:val="005C7F0A"/>
    <w:rsid w:val="005D1854"/>
    <w:rsid w:val="005D5E49"/>
    <w:rsid w:val="005E4201"/>
    <w:rsid w:val="005E6A92"/>
    <w:rsid w:val="00600CF1"/>
    <w:rsid w:val="006074C4"/>
    <w:rsid w:val="00621DA3"/>
    <w:rsid w:val="006236AF"/>
    <w:rsid w:val="006275B7"/>
    <w:rsid w:val="00656AE2"/>
    <w:rsid w:val="0066319B"/>
    <w:rsid w:val="00672BC3"/>
    <w:rsid w:val="00685257"/>
    <w:rsid w:val="00692038"/>
    <w:rsid w:val="006956BA"/>
    <w:rsid w:val="00696320"/>
    <w:rsid w:val="006A3FF7"/>
    <w:rsid w:val="006B47BC"/>
    <w:rsid w:val="006B6889"/>
    <w:rsid w:val="006C1E18"/>
    <w:rsid w:val="006D606D"/>
    <w:rsid w:val="006D6BEC"/>
    <w:rsid w:val="006E3DDE"/>
    <w:rsid w:val="006E6841"/>
    <w:rsid w:val="00710D44"/>
    <w:rsid w:val="00727545"/>
    <w:rsid w:val="00730103"/>
    <w:rsid w:val="00730E88"/>
    <w:rsid w:val="0074039D"/>
    <w:rsid w:val="00744848"/>
    <w:rsid w:val="00750FB0"/>
    <w:rsid w:val="007519C7"/>
    <w:rsid w:val="00754E61"/>
    <w:rsid w:val="00775D42"/>
    <w:rsid w:val="007807DA"/>
    <w:rsid w:val="007808FD"/>
    <w:rsid w:val="00783245"/>
    <w:rsid w:val="00786B64"/>
    <w:rsid w:val="00787020"/>
    <w:rsid w:val="007A00DD"/>
    <w:rsid w:val="007A7977"/>
    <w:rsid w:val="007B0D41"/>
    <w:rsid w:val="007B25D4"/>
    <w:rsid w:val="007C0712"/>
    <w:rsid w:val="007C1567"/>
    <w:rsid w:val="007C6E26"/>
    <w:rsid w:val="007D61BA"/>
    <w:rsid w:val="007D6AF1"/>
    <w:rsid w:val="007E0A44"/>
    <w:rsid w:val="007E430F"/>
    <w:rsid w:val="007E7634"/>
    <w:rsid w:val="008020EA"/>
    <w:rsid w:val="00805A58"/>
    <w:rsid w:val="008217E0"/>
    <w:rsid w:val="00824C27"/>
    <w:rsid w:val="00830AD9"/>
    <w:rsid w:val="0083568A"/>
    <w:rsid w:val="008407A6"/>
    <w:rsid w:val="00843C88"/>
    <w:rsid w:val="00844CF0"/>
    <w:rsid w:val="00852E83"/>
    <w:rsid w:val="00854C84"/>
    <w:rsid w:val="00860AD9"/>
    <w:rsid w:val="00862812"/>
    <w:rsid w:val="008734D7"/>
    <w:rsid w:val="00890989"/>
    <w:rsid w:val="00894A4F"/>
    <w:rsid w:val="008A06DE"/>
    <w:rsid w:val="008A7EEF"/>
    <w:rsid w:val="008B77D3"/>
    <w:rsid w:val="008D77B2"/>
    <w:rsid w:val="008E29A1"/>
    <w:rsid w:val="008E2D1C"/>
    <w:rsid w:val="008E5BFD"/>
    <w:rsid w:val="008F0CE3"/>
    <w:rsid w:val="008F5C9E"/>
    <w:rsid w:val="008F5CCC"/>
    <w:rsid w:val="008F7CFF"/>
    <w:rsid w:val="0091435B"/>
    <w:rsid w:val="0092212B"/>
    <w:rsid w:val="009318BA"/>
    <w:rsid w:val="00934A2C"/>
    <w:rsid w:val="009418C7"/>
    <w:rsid w:val="0095276D"/>
    <w:rsid w:val="00953662"/>
    <w:rsid w:val="00955FC2"/>
    <w:rsid w:val="00957086"/>
    <w:rsid w:val="009612FF"/>
    <w:rsid w:val="009646C0"/>
    <w:rsid w:val="009669BC"/>
    <w:rsid w:val="00981ABE"/>
    <w:rsid w:val="00981E9B"/>
    <w:rsid w:val="00983B03"/>
    <w:rsid w:val="009958FE"/>
    <w:rsid w:val="00997371"/>
    <w:rsid w:val="00997E9A"/>
    <w:rsid w:val="009A3BD4"/>
    <w:rsid w:val="009A6CDF"/>
    <w:rsid w:val="009B4960"/>
    <w:rsid w:val="009C2081"/>
    <w:rsid w:val="009C2846"/>
    <w:rsid w:val="009C4A71"/>
    <w:rsid w:val="009D3ECE"/>
    <w:rsid w:val="009F45DA"/>
    <w:rsid w:val="00A03E98"/>
    <w:rsid w:val="00A152FA"/>
    <w:rsid w:val="00A16608"/>
    <w:rsid w:val="00A213B3"/>
    <w:rsid w:val="00A27DB9"/>
    <w:rsid w:val="00A31EB0"/>
    <w:rsid w:val="00A323F0"/>
    <w:rsid w:val="00A34C6A"/>
    <w:rsid w:val="00A353B6"/>
    <w:rsid w:val="00A41DF3"/>
    <w:rsid w:val="00A4239D"/>
    <w:rsid w:val="00A442CB"/>
    <w:rsid w:val="00A519CC"/>
    <w:rsid w:val="00A571CD"/>
    <w:rsid w:val="00A57AD3"/>
    <w:rsid w:val="00A6072C"/>
    <w:rsid w:val="00A60B32"/>
    <w:rsid w:val="00A6621B"/>
    <w:rsid w:val="00A75BDD"/>
    <w:rsid w:val="00A8746B"/>
    <w:rsid w:val="00AA097E"/>
    <w:rsid w:val="00AA1B8F"/>
    <w:rsid w:val="00AA411B"/>
    <w:rsid w:val="00AB0534"/>
    <w:rsid w:val="00AB1516"/>
    <w:rsid w:val="00AB56AB"/>
    <w:rsid w:val="00AD0C1D"/>
    <w:rsid w:val="00AE351E"/>
    <w:rsid w:val="00B039C6"/>
    <w:rsid w:val="00B04092"/>
    <w:rsid w:val="00B10C65"/>
    <w:rsid w:val="00B128B6"/>
    <w:rsid w:val="00B159EF"/>
    <w:rsid w:val="00B162F5"/>
    <w:rsid w:val="00B174FE"/>
    <w:rsid w:val="00B2378D"/>
    <w:rsid w:val="00B245D7"/>
    <w:rsid w:val="00B35801"/>
    <w:rsid w:val="00B67F7E"/>
    <w:rsid w:val="00B77117"/>
    <w:rsid w:val="00B86B91"/>
    <w:rsid w:val="00B93ABE"/>
    <w:rsid w:val="00B96832"/>
    <w:rsid w:val="00BA3999"/>
    <w:rsid w:val="00BA577E"/>
    <w:rsid w:val="00BA7027"/>
    <w:rsid w:val="00BA73A2"/>
    <w:rsid w:val="00BB08FB"/>
    <w:rsid w:val="00BB254B"/>
    <w:rsid w:val="00BB57B4"/>
    <w:rsid w:val="00BC107C"/>
    <w:rsid w:val="00BC1646"/>
    <w:rsid w:val="00BC225E"/>
    <w:rsid w:val="00BD0C60"/>
    <w:rsid w:val="00BF233A"/>
    <w:rsid w:val="00BF3082"/>
    <w:rsid w:val="00C00AC9"/>
    <w:rsid w:val="00C032CA"/>
    <w:rsid w:val="00C148FF"/>
    <w:rsid w:val="00C17D6A"/>
    <w:rsid w:val="00C27AEC"/>
    <w:rsid w:val="00C32E02"/>
    <w:rsid w:val="00C401EC"/>
    <w:rsid w:val="00C45A31"/>
    <w:rsid w:val="00C5047B"/>
    <w:rsid w:val="00C52468"/>
    <w:rsid w:val="00C56578"/>
    <w:rsid w:val="00C65155"/>
    <w:rsid w:val="00C662FE"/>
    <w:rsid w:val="00C70243"/>
    <w:rsid w:val="00C735A3"/>
    <w:rsid w:val="00C73C5E"/>
    <w:rsid w:val="00C83177"/>
    <w:rsid w:val="00C87399"/>
    <w:rsid w:val="00C95121"/>
    <w:rsid w:val="00CA0C7E"/>
    <w:rsid w:val="00CA0F63"/>
    <w:rsid w:val="00CB10CC"/>
    <w:rsid w:val="00CB660C"/>
    <w:rsid w:val="00CB714F"/>
    <w:rsid w:val="00CB7B5C"/>
    <w:rsid w:val="00CC4978"/>
    <w:rsid w:val="00CC63F7"/>
    <w:rsid w:val="00CD0F42"/>
    <w:rsid w:val="00CD487C"/>
    <w:rsid w:val="00CD6098"/>
    <w:rsid w:val="00CE1EFF"/>
    <w:rsid w:val="00CE2317"/>
    <w:rsid w:val="00CE62FF"/>
    <w:rsid w:val="00CE6959"/>
    <w:rsid w:val="00D06633"/>
    <w:rsid w:val="00D074CD"/>
    <w:rsid w:val="00D16757"/>
    <w:rsid w:val="00D16FE7"/>
    <w:rsid w:val="00D17A51"/>
    <w:rsid w:val="00D27D99"/>
    <w:rsid w:val="00D318E8"/>
    <w:rsid w:val="00D33465"/>
    <w:rsid w:val="00D37455"/>
    <w:rsid w:val="00D430D5"/>
    <w:rsid w:val="00D455D8"/>
    <w:rsid w:val="00D4688F"/>
    <w:rsid w:val="00D609F0"/>
    <w:rsid w:val="00D649E3"/>
    <w:rsid w:val="00D72A99"/>
    <w:rsid w:val="00D76FF6"/>
    <w:rsid w:val="00D85F74"/>
    <w:rsid w:val="00D91F97"/>
    <w:rsid w:val="00D97AC6"/>
    <w:rsid w:val="00DA27AF"/>
    <w:rsid w:val="00DB06C8"/>
    <w:rsid w:val="00DB7ECC"/>
    <w:rsid w:val="00DC6B34"/>
    <w:rsid w:val="00DE3F9A"/>
    <w:rsid w:val="00DE5474"/>
    <w:rsid w:val="00DF6C7F"/>
    <w:rsid w:val="00E00839"/>
    <w:rsid w:val="00E0696D"/>
    <w:rsid w:val="00E06E40"/>
    <w:rsid w:val="00E06E58"/>
    <w:rsid w:val="00E07AD9"/>
    <w:rsid w:val="00E20F4B"/>
    <w:rsid w:val="00E24611"/>
    <w:rsid w:val="00E327F1"/>
    <w:rsid w:val="00E42488"/>
    <w:rsid w:val="00E441D2"/>
    <w:rsid w:val="00E5302F"/>
    <w:rsid w:val="00E53985"/>
    <w:rsid w:val="00E57E04"/>
    <w:rsid w:val="00E611B2"/>
    <w:rsid w:val="00E67633"/>
    <w:rsid w:val="00E72188"/>
    <w:rsid w:val="00E724FE"/>
    <w:rsid w:val="00E73B38"/>
    <w:rsid w:val="00E76511"/>
    <w:rsid w:val="00E847DB"/>
    <w:rsid w:val="00E86FDE"/>
    <w:rsid w:val="00E97823"/>
    <w:rsid w:val="00EA0D6F"/>
    <w:rsid w:val="00EA5F7B"/>
    <w:rsid w:val="00EB240F"/>
    <w:rsid w:val="00EB476C"/>
    <w:rsid w:val="00EC3852"/>
    <w:rsid w:val="00EC4170"/>
    <w:rsid w:val="00EC4D15"/>
    <w:rsid w:val="00EC589A"/>
    <w:rsid w:val="00EC6DC9"/>
    <w:rsid w:val="00ED7304"/>
    <w:rsid w:val="00ED7705"/>
    <w:rsid w:val="00EF13DD"/>
    <w:rsid w:val="00EF2A1D"/>
    <w:rsid w:val="00EF361E"/>
    <w:rsid w:val="00F07A6A"/>
    <w:rsid w:val="00F153BE"/>
    <w:rsid w:val="00F201E5"/>
    <w:rsid w:val="00F31630"/>
    <w:rsid w:val="00F32EB5"/>
    <w:rsid w:val="00F33046"/>
    <w:rsid w:val="00F34AC0"/>
    <w:rsid w:val="00F37ACF"/>
    <w:rsid w:val="00F43B5D"/>
    <w:rsid w:val="00F5559B"/>
    <w:rsid w:val="00F5596D"/>
    <w:rsid w:val="00F620BA"/>
    <w:rsid w:val="00F8404B"/>
    <w:rsid w:val="00F94619"/>
    <w:rsid w:val="00F954F7"/>
    <w:rsid w:val="00FB40B2"/>
    <w:rsid w:val="00FB5B3F"/>
    <w:rsid w:val="00FD6AF0"/>
    <w:rsid w:val="00FE3324"/>
    <w:rsid w:val="00FE3636"/>
    <w:rsid w:val="00FE7197"/>
    <w:rsid w:val="1C952F5F"/>
    <w:rsid w:val="1DEF2D3D"/>
    <w:rsid w:val="1FA9511C"/>
    <w:rsid w:val="1FC5C0A3"/>
    <w:rsid w:val="24EBD67F"/>
    <w:rsid w:val="333FBF4B"/>
    <w:rsid w:val="37FBFC3C"/>
    <w:rsid w:val="3A477DB8"/>
    <w:rsid w:val="3ADF7B3F"/>
    <w:rsid w:val="3B6F3427"/>
    <w:rsid w:val="3BE1C81D"/>
    <w:rsid w:val="3BFBB4E4"/>
    <w:rsid w:val="3E0D6786"/>
    <w:rsid w:val="3FFA5798"/>
    <w:rsid w:val="454C6980"/>
    <w:rsid w:val="4BD772CC"/>
    <w:rsid w:val="4DA7501A"/>
    <w:rsid w:val="511B21A6"/>
    <w:rsid w:val="5A215D06"/>
    <w:rsid w:val="5A9B0982"/>
    <w:rsid w:val="5BDECCC4"/>
    <w:rsid w:val="5DFFC618"/>
    <w:rsid w:val="5EA36ECE"/>
    <w:rsid w:val="5EFE9121"/>
    <w:rsid w:val="5F7DB676"/>
    <w:rsid w:val="5F9B3419"/>
    <w:rsid w:val="5FB75498"/>
    <w:rsid w:val="5FCE2349"/>
    <w:rsid w:val="5FD70426"/>
    <w:rsid w:val="5FEBFE40"/>
    <w:rsid w:val="5FEF17BD"/>
    <w:rsid w:val="5FFF5383"/>
    <w:rsid w:val="65FEBE9D"/>
    <w:rsid w:val="67BC6E5C"/>
    <w:rsid w:val="67DD1186"/>
    <w:rsid w:val="696E9342"/>
    <w:rsid w:val="6BF5E910"/>
    <w:rsid w:val="6BFEBFC6"/>
    <w:rsid w:val="6CFE56C9"/>
    <w:rsid w:val="6DD7FFEA"/>
    <w:rsid w:val="733715A8"/>
    <w:rsid w:val="7366C063"/>
    <w:rsid w:val="73FB6468"/>
    <w:rsid w:val="74BEA7AA"/>
    <w:rsid w:val="77D8AA82"/>
    <w:rsid w:val="77DF127A"/>
    <w:rsid w:val="77F7884C"/>
    <w:rsid w:val="77FF76AA"/>
    <w:rsid w:val="77FF7772"/>
    <w:rsid w:val="7B6FBE7C"/>
    <w:rsid w:val="7BBB79BB"/>
    <w:rsid w:val="7C5FA7C2"/>
    <w:rsid w:val="7CFB6E81"/>
    <w:rsid w:val="7D73A8E0"/>
    <w:rsid w:val="7DFE1FFC"/>
    <w:rsid w:val="7DFF73FA"/>
    <w:rsid w:val="7E272190"/>
    <w:rsid w:val="7E4C8A36"/>
    <w:rsid w:val="7E9FD95D"/>
    <w:rsid w:val="7EF10160"/>
    <w:rsid w:val="7F4F48BA"/>
    <w:rsid w:val="7F5FCAD0"/>
    <w:rsid w:val="7F72337B"/>
    <w:rsid w:val="7F737C80"/>
    <w:rsid w:val="7F7E3437"/>
    <w:rsid w:val="7FAB48F4"/>
    <w:rsid w:val="7FEF2865"/>
    <w:rsid w:val="857AB5E5"/>
    <w:rsid w:val="9DEF6870"/>
    <w:rsid w:val="AFED37B5"/>
    <w:rsid w:val="B7BBD07B"/>
    <w:rsid w:val="B7FF5FC8"/>
    <w:rsid w:val="BABDDB08"/>
    <w:rsid w:val="BBB95AF2"/>
    <w:rsid w:val="BDFDA91B"/>
    <w:rsid w:val="BF3EF7EE"/>
    <w:rsid w:val="BF591773"/>
    <w:rsid w:val="BF65531F"/>
    <w:rsid w:val="BFB16F90"/>
    <w:rsid w:val="BFE69C6C"/>
    <w:rsid w:val="BFEF5809"/>
    <w:rsid w:val="BFFE72D9"/>
    <w:rsid w:val="BFFFECEB"/>
    <w:rsid w:val="C7E336D9"/>
    <w:rsid w:val="CF6823F6"/>
    <w:rsid w:val="CFE621AB"/>
    <w:rsid w:val="D7978E3B"/>
    <w:rsid w:val="D7F39FAC"/>
    <w:rsid w:val="DAEF02BB"/>
    <w:rsid w:val="DBFFCCED"/>
    <w:rsid w:val="DC7F7438"/>
    <w:rsid w:val="DD3F5D35"/>
    <w:rsid w:val="DEBF2290"/>
    <w:rsid w:val="DFD3BF0E"/>
    <w:rsid w:val="DFDF409B"/>
    <w:rsid w:val="E6B72FE5"/>
    <w:rsid w:val="E6BFAFD5"/>
    <w:rsid w:val="E7FFB3A9"/>
    <w:rsid w:val="ECFBB67A"/>
    <w:rsid w:val="EDFBBAC1"/>
    <w:rsid w:val="EEE7B70E"/>
    <w:rsid w:val="EF8FB9CA"/>
    <w:rsid w:val="EFE72719"/>
    <w:rsid w:val="EFE95BB1"/>
    <w:rsid w:val="F0B20CB5"/>
    <w:rsid w:val="F3EE2B68"/>
    <w:rsid w:val="F5FFAFEA"/>
    <w:rsid w:val="F69B2362"/>
    <w:rsid w:val="F75F553F"/>
    <w:rsid w:val="F777874C"/>
    <w:rsid w:val="F7BD8153"/>
    <w:rsid w:val="F7EAFE55"/>
    <w:rsid w:val="F7EB0C5B"/>
    <w:rsid w:val="FCFA5C0B"/>
    <w:rsid w:val="FD63352F"/>
    <w:rsid w:val="FD773F49"/>
    <w:rsid w:val="FD7B5895"/>
    <w:rsid w:val="FDBE7387"/>
    <w:rsid w:val="FDBF5534"/>
    <w:rsid w:val="FDFE956D"/>
    <w:rsid w:val="FE5E2EC8"/>
    <w:rsid w:val="FE7D1FC5"/>
    <w:rsid w:val="FEFF5B96"/>
    <w:rsid w:val="FF4560A3"/>
    <w:rsid w:val="FF57DC7D"/>
    <w:rsid w:val="FF6F2415"/>
    <w:rsid w:val="FFB2B050"/>
    <w:rsid w:val="FFBDF412"/>
    <w:rsid w:val="FFDFB4BE"/>
    <w:rsid w:val="FFF3CD9C"/>
    <w:rsid w:val="FFFF0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590" w:lineRule="exact"/>
      <w:ind w:firstLine="420" w:firstLineChars="200"/>
      <w:jc w:val="both"/>
      <w:outlineLvl w:val="1"/>
    </w:pPr>
    <w:rPr>
      <w:rFonts w:ascii="Arial" w:hAnsi="Arial" w:eastAsia="方正黑体_GBK" w:cs="Times New Roman"/>
      <w:kern w:val="2"/>
      <w:sz w:val="32"/>
      <w:lang w:val="en-US" w:eastAsia="zh-CN" w:bidi="ar-SA"/>
    </w:rPr>
  </w:style>
  <w:style w:type="paragraph" w:styleId="6">
    <w:name w:val="heading 3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590" w:lineRule="exact"/>
      <w:ind w:firstLine="420" w:firstLineChars="200"/>
      <w:jc w:val="both"/>
      <w:outlineLvl w:val="2"/>
    </w:pPr>
    <w:rPr>
      <w:rFonts w:ascii="Calibri" w:hAnsi="Calibri" w:eastAsia="方正楷体_GBK" w:cs="Times New Roman"/>
      <w:kern w:val="2"/>
      <w:sz w:val="32"/>
      <w:lang w:val="en-US" w:eastAsia="zh-CN" w:bidi="ar-SA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214"/>
    </w:pPr>
    <w:rPr>
      <w:rFonts w:ascii="仿宋_GB2312" w:eastAsia="仿宋_GB2312"/>
      <w:sz w:val="32"/>
    </w:rPr>
  </w:style>
  <w:style w:type="paragraph" w:customStyle="1" w:styleId="3">
    <w:name w:val="默认"/>
    <w:qFormat/>
    <w:uiPriority w:val="0"/>
    <w:rPr>
      <w:rFonts w:ascii="Helvetica" w:hAnsi="Helvetica" w:eastAsia="宋体" w:cs="宋体"/>
      <w:color w:val="000000"/>
      <w:sz w:val="22"/>
      <w:szCs w:val="22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semiHidden/>
    <w:qFormat/>
    <w:uiPriority w:val="0"/>
    <w:pPr>
      <w:jc w:val="left"/>
    </w:pPr>
  </w:style>
  <w:style w:type="paragraph" w:styleId="10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11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2">
    <w:name w:val="Balloon Text"/>
    <w:basedOn w:val="1"/>
    <w:link w:val="29"/>
    <w:qFormat/>
    <w:uiPriority w:val="0"/>
    <w:rPr>
      <w:sz w:val="18"/>
      <w:szCs w:val="18"/>
    </w:rPr>
  </w:style>
  <w:style w:type="paragraph" w:styleId="1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next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Body Text First Indent"/>
    <w:basedOn w:val="2"/>
    <w:uiPriority w:val="0"/>
    <w:pPr>
      <w:ind w:firstLine="420" w:firstLineChars="100"/>
    </w:pPr>
  </w:style>
  <w:style w:type="paragraph" w:styleId="16">
    <w:name w:val="index 7"/>
    <w:basedOn w:val="1"/>
    <w:next w:val="1"/>
    <w:qFormat/>
    <w:uiPriority w:val="0"/>
    <w:pPr>
      <w:ind w:left="2520"/>
    </w:pPr>
  </w:style>
  <w:style w:type="paragraph" w:styleId="17">
    <w:name w:val="Body Text 2"/>
    <w:basedOn w:val="1"/>
    <w:qFormat/>
    <w:uiPriority w:val="99"/>
    <w:pPr>
      <w:spacing w:before="60" w:after="60"/>
    </w:pPr>
    <w:rPr>
      <w:rFonts w:ascii="Arial" w:hAnsi="Arial" w:eastAsia="仿宋_GB2312"/>
      <w:spacing w:val="-5"/>
      <w:szCs w:val="20"/>
      <w:lang w:val="zh-CN" w:eastAsia="en-US"/>
    </w:rPr>
  </w:style>
  <w:style w:type="paragraph" w:styleId="18">
    <w:name w:val="Normal (Web)"/>
    <w:basedOn w:val="1"/>
    <w:qFormat/>
    <w:uiPriority w:val="0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19">
    <w:name w:val="Title"/>
    <w:next w:val="1"/>
    <w:qFormat/>
    <w:uiPriority w:val="0"/>
    <w:pPr>
      <w:widowControl w:val="0"/>
      <w:spacing w:before="240" w:after="60" w:line="580" w:lineRule="exact"/>
      <w:jc w:val="center"/>
      <w:outlineLvl w:val="0"/>
    </w:pPr>
    <w:rPr>
      <w:rFonts w:ascii="Cambria" w:hAnsi="Cambria" w:eastAsia="宋体" w:cs="Times New Roman"/>
      <w:b/>
      <w:bCs/>
      <w:kern w:val="2"/>
      <w:sz w:val="32"/>
      <w:lang w:val="en-US" w:eastAsia="zh-CN" w:bidi="ar-SA"/>
    </w:rPr>
  </w:style>
  <w:style w:type="paragraph" w:styleId="20">
    <w:name w:val="Body Text First Indent 2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2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qFormat/>
    <w:uiPriority w:val="0"/>
    <w:rPr>
      <w:color w:val="0000FF"/>
      <w:u w:val="single"/>
    </w:rPr>
  </w:style>
  <w:style w:type="character" w:styleId="27">
    <w:name w:val="annotation reference"/>
    <w:semiHidden/>
    <w:qFormat/>
    <w:uiPriority w:val="0"/>
    <w:rPr>
      <w:sz w:val="21"/>
    </w:rPr>
  </w:style>
  <w:style w:type="character" w:customStyle="1" w:styleId="28">
    <w:name w:val="日期 字符"/>
    <w:link w:val="11"/>
    <w:qFormat/>
    <w:uiPriority w:val="0"/>
    <w:rPr>
      <w:rFonts w:eastAsia="仿宋_GB2312"/>
      <w:kern w:val="2"/>
      <w:sz w:val="32"/>
    </w:rPr>
  </w:style>
  <w:style w:type="character" w:customStyle="1" w:styleId="29">
    <w:name w:val="批注框文本 字符"/>
    <w:link w:val="12"/>
    <w:qFormat/>
    <w:uiPriority w:val="0"/>
    <w:rPr>
      <w:rFonts w:eastAsia="仿宋_GB2312"/>
      <w:kern w:val="2"/>
      <w:sz w:val="18"/>
      <w:szCs w:val="18"/>
    </w:rPr>
  </w:style>
  <w:style w:type="paragraph" w:customStyle="1" w:styleId="30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仿宋_GB2312" w:hAnsi="Calibri" w:cs="宋体"/>
      <w:color w:val="000000"/>
      <w:kern w:val="0"/>
      <w:sz w:val="24"/>
      <w:szCs w:val="24"/>
    </w:rPr>
  </w:style>
  <w:style w:type="paragraph" w:customStyle="1" w:styleId="31">
    <w:name w:val="Normal Indent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FootnoteText"/>
    <w:qFormat/>
    <w:uiPriority w:val="0"/>
    <w:pPr>
      <w:widowControl w:val="0"/>
      <w:snapToGrid w:val="0"/>
      <w:spacing w:line="600" w:lineRule="exact"/>
      <w:ind w:firstLine="880" w:firstLineChars="200"/>
      <w:jc w:val="left"/>
      <w:textAlignment w:val="baseline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33">
    <w:name w:val="NormalCharacter"/>
    <w:link w:val="34"/>
    <w:qFormat/>
    <w:uiPriority w:val="0"/>
    <w:rPr>
      <w:rFonts w:eastAsia="方正仿宋_GBK"/>
      <w:sz w:val="32"/>
    </w:rPr>
  </w:style>
  <w:style w:type="paragraph" w:customStyle="1" w:styleId="34">
    <w:name w:val="UserStyle_14"/>
    <w:basedOn w:val="1"/>
    <w:link w:val="33"/>
    <w:qFormat/>
    <w:uiPriority w:val="0"/>
    <w:pPr>
      <w:widowControl/>
      <w:spacing w:after="160" w:line="240" w:lineRule="exact"/>
      <w:jc w:val="left"/>
    </w:pPr>
    <w:rPr>
      <w:rFonts w:eastAsia="方正仿宋_GBK"/>
      <w:sz w:val="32"/>
    </w:rPr>
  </w:style>
  <w:style w:type="paragraph" w:customStyle="1" w:styleId="35">
    <w:name w:val="默认段落字体 Para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36">
    <w:name w:val="_Style 10"/>
    <w:basedOn w:val="1"/>
    <w:next w:val="37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发文单位"/>
    <w:basedOn w:val="1"/>
    <w:qFormat/>
    <w:uiPriority w:val="0"/>
    <w:pPr>
      <w:adjustRightInd w:val="0"/>
      <w:spacing w:before="120" w:after="120" w:line="560" w:lineRule="atLeast"/>
      <w:jc w:val="center"/>
    </w:pPr>
    <w:rPr>
      <w:rFonts w:ascii="黑体" w:eastAsia="黑体"/>
      <w:color w:val="FF0000"/>
      <w:spacing w:val="60"/>
      <w:kern w:val="0"/>
      <w:sz w:val="52"/>
    </w:rPr>
  </w:style>
  <w:style w:type="paragraph" w:customStyle="1" w:styleId="39">
    <w:name w:val="列出段落1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customStyle="1" w:styleId="41">
    <w:name w:val="BodyText2"/>
    <w:basedOn w:val="1"/>
    <w:qFormat/>
    <w:uiPriority w:val="0"/>
    <w:pPr>
      <w:spacing w:before="60" w:after="60"/>
      <w:jc w:val="both"/>
      <w:textAlignment w:val="baseline"/>
    </w:pPr>
    <w:rPr>
      <w:rFonts w:ascii="Arial" w:hAnsi="Arial" w:eastAsia="仿宋_GB2312"/>
      <w:spacing w:val="-5"/>
      <w:kern w:val="2"/>
      <w:sz w:val="21"/>
      <w:szCs w:val="20"/>
      <w:lang w:val="zh-CN" w:eastAsia="en-US"/>
    </w:rPr>
  </w:style>
  <w:style w:type="character" w:customStyle="1" w:styleId="42">
    <w:name w:val="Char Style 6"/>
    <w:basedOn w:val="23"/>
    <w:link w:val="43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43">
    <w:name w:val="Style 5"/>
    <w:link w:val="42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44">
    <w:name w:val="font81"/>
    <w:basedOn w:val="2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45">
    <w:name w:val="BodyText"/>
    <w:basedOn w:val="1"/>
    <w:next w:val="41"/>
    <w:qFormat/>
    <w:uiPriority w:val="0"/>
    <w:pPr>
      <w:spacing w:line="360" w:lineRule="auto"/>
      <w:jc w:val="both"/>
      <w:textAlignment w:val="baseline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46">
    <w:name w:val="正文（缩进）"/>
    <w:basedOn w:val="1"/>
    <w:next w:val="1"/>
    <w:qFormat/>
    <w:uiPriority w:val="0"/>
    <w:pPr>
      <w:spacing w:beforeLines="50" w:afterLines="50"/>
      <w:ind w:firstLine="480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.local\share\Kingsoft\office6\templates\wps\zh_CN\&#19975;&#24030;&#24220;&#35758;&#32418;&#2283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万州府议红头.wpt</Template>
  <Pages>2</Pages>
  <Words>29</Words>
  <Characters>35</Characters>
  <Lines>54</Lines>
  <Paragraphs>15</Paragraphs>
  <TotalTime>98</TotalTime>
  <ScaleCrop>false</ScaleCrop>
  <LinksUpToDate>false</LinksUpToDate>
  <CharactersWithSpaces>45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2025-06-19T01:31:00Z</dcterms:created>
  <dc:creator>user</dc:creator>
  <cp:lastModifiedBy>史继术</cp:lastModifiedBy>
  <cp:lastPrinted>2025-08-15T10:10:00Z</cp:lastPrinted>
  <dcterms:modified xsi:type="dcterms:W3CDTF">2025-08-25T02:49:16Z</dcterms:modified>
  <dc:subject>2004年度审计文书模板</dc:subject>
  <dc:title>中华人民共和国审计署文件(下行).dot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秘密等级">
    <vt:lpwstr/>
  </property>
  <property fmtid="{D5CDD505-2E9C-101B-9397-08002B2CF9AE}" pid="3" name="紧急程度">
    <vt:lpwstr/>
  </property>
  <property fmtid="{D5CDD505-2E9C-101B-9397-08002B2CF9AE}" pid="4" name="主题词行">
    <vt:lpwstr/>
  </property>
  <property fmtid="{D5CDD505-2E9C-101B-9397-08002B2CF9AE}" pid="5" name="主送行">
    <vt:lpwstr/>
  </property>
  <property fmtid="{D5CDD505-2E9C-101B-9397-08002B2CF9AE}" pid="6" name="报送行">
    <vt:lpwstr/>
  </property>
  <property fmtid="{D5CDD505-2E9C-101B-9397-08002B2CF9AE}" pid="7" name="抄送行">
    <vt:lpwstr/>
  </property>
  <property fmtid="{D5CDD505-2E9C-101B-9397-08002B2CF9AE}" pid="8" name="文种代表字">
    <vt:lpwstr>췢</vt:lpwstr>
  </property>
  <property fmtid="{D5CDD505-2E9C-101B-9397-08002B2CF9AE}" pid="9" name="标识1">
    <vt:lpwstr>л񹲺͹</vt:lpwstr>
  </property>
  <property fmtid="{D5CDD505-2E9C-101B-9397-08002B2CF9AE}" pid="10" name="标识2">
    <vt:lpwstr/>
  </property>
  <property fmtid="{D5CDD505-2E9C-101B-9397-08002B2CF9AE}" pid="11" name="标识3">
    <vt:lpwstr/>
  </property>
  <property fmtid="{D5CDD505-2E9C-101B-9397-08002B2CF9AE}" pid="12" name="标识4">
    <vt:lpwstr/>
  </property>
  <property fmtid="{D5CDD505-2E9C-101B-9397-08002B2CF9AE}" pid="13" name="标识5">
    <vt:lpwstr/>
  </property>
  <property fmtid="{D5CDD505-2E9C-101B-9397-08002B2CF9AE}" pid="14" name="标识6">
    <vt:lpwstr/>
  </property>
  <property fmtid="{D5CDD505-2E9C-101B-9397-08002B2CF9AE}" pid="15" name="标识7">
    <vt:lpwstr/>
  </property>
  <property fmtid="{D5CDD505-2E9C-101B-9397-08002B2CF9AE}" pid="16" name="标识8">
    <vt:lpwstr/>
  </property>
  <property fmtid="{D5CDD505-2E9C-101B-9397-08002B2CF9AE}" pid="17" name="标识9">
    <vt:lpwstr/>
  </property>
  <property fmtid="{D5CDD505-2E9C-101B-9397-08002B2CF9AE}" pid="18" name="标识10">
    <vt:lpwstr/>
  </property>
  <property fmtid="{D5CDD505-2E9C-101B-9397-08002B2CF9AE}" pid="19" name="KSOProductBuildVer">
    <vt:lpwstr>2052-11.8.6.8810</vt:lpwstr>
  </property>
  <property fmtid="{D5CDD505-2E9C-101B-9397-08002B2CF9AE}" pid="20" name="ICV">
    <vt:lpwstr>8DA1F374FB78F75A4DDE0867CC14B9CD_42</vt:lpwstr>
  </property>
</Properties>
</file>