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关于重庆市万州区2022年预算执行情况和2023年预算草案的报告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书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2023年2月19日在重庆市万州区六届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人民代表大会第三次会议上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重庆市万州区财政局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各位代表：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受区人民政府委托，现将万州区2022年预算执行情况和2023年预算草案提请</w:t>
      </w:r>
      <w:bookmarkStart w:id="0" w:name="_GoBack"/>
      <w:bookmarkEnd w:id="0"/>
      <w:r>
        <w:rPr>
          <w:rFonts w:hint="default" w:ascii="Times New Roman" w:hAnsi="Times New Roman" w:eastAsia="方正仿宋_GBK" w:cs="Times New Roman"/>
          <w:color w:val="auto"/>
          <w:sz w:val="32"/>
          <w:szCs w:val="32"/>
          <w:highlight w:val="none"/>
          <w:lang w:val="en-US" w:eastAsia="zh-CN"/>
        </w:rPr>
        <w:t>区六届人民代表大会第三次会议审查，并请区政协委员和其他列席人员提出意见。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一、2022年预算执行情况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2022年，万州经济社会发展经受了疫情、旱情、灾情和缺水、缺电等超预期因素的多重冲击，财政平稳运行承压、平衡难度空前。在区委的坚强领导下，我们坚持以习近平新时代中国特色社会主义思想为指导，深入贯彻党的十九大和</w:t>
      </w:r>
      <w:r>
        <w:rPr>
          <w:rFonts w:hint="eastAsia" w:ascii="Times New Roman" w:hAnsi="Times New Roman" w:eastAsia="方正仿宋_GBK" w:cs="Times New Roman"/>
          <w:color w:val="auto"/>
          <w:sz w:val="32"/>
          <w:szCs w:val="32"/>
          <w:highlight w:val="none"/>
          <w:lang w:val="en-US" w:eastAsia="zh-CN"/>
        </w:rPr>
        <w:t>党的</w:t>
      </w:r>
      <w:r>
        <w:rPr>
          <w:rFonts w:hint="default" w:ascii="Times New Roman" w:hAnsi="Times New Roman" w:eastAsia="方正仿宋_GBK" w:cs="Times New Roman"/>
          <w:color w:val="auto"/>
          <w:sz w:val="32"/>
          <w:szCs w:val="32"/>
          <w:highlight w:val="none"/>
          <w:lang w:val="en-US" w:eastAsia="zh-CN"/>
        </w:rPr>
        <w:t>二十大精神，高效统筹疫情防控和经济社会发展，统筹发展和安全，完整、准确、全面贯彻新发展理念，积极服务和融入新发展格局，坚持稳中求进工作总基调，坚持积极的财政政策提升效能、更加注重精准可持续，全区预算执行、财政运行总体平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（一）预算调整情况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预算执行中因新增</w:t>
      </w:r>
      <w:r>
        <w:rPr>
          <w:rFonts w:hint="eastAsia" w:ascii="Times New Roman" w:hAnsi="Times New Roman" w:eastAsia="方正仿宋_GBK" w:cs="Times New Roman"/>
          <w:color w:val="auto"/>
          <w:sz w:val="32"/>
          <w:szCs w:val="32"/>
          <w:highlight w:val="none"/>
          <w:lang w:val="en-US" w:eastAsia="zh-CN"/>
        </w:rPr>
        <w:t>地方</w:t>
      </w:r>
      <w:r>
        <w:rPr>
          <w:rFonts w:hint="default" w:ascii="Times New Roman" w:hAnsi="Times New Roman" w:eastAsia="方正仿宋_GBK" w:cs="Times New Roman"/>
          <w:color w:val="auto"/>
          <w:sz w:val="32"/>
          <w:szCs w:val="32"/>
          <w:highlight w:val="none"/>
          <w:lang w:val="en-US" w:eastAsia="zh-CN"/>
        </w:rPr>
        <w:t>政府债券纳入预算管理需要增加预算总支出等因素，根据预算法规定，经区六届人大常委会第六次会议审查批准，对年初收支预算作相应调整，调整之后收支平衡。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预算调整情况表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1"/>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4"/>
          <w:szCs w:val="24"/>
          <w:highlight w:val="none"/>
          <w:lang w:val="en-US" w:eastAsia="zh-CN"/>
        </w:rPr>
        <w:t>单位：亿元</w:t>
      </w:r>
    </w:p>
    <w:tbl>
      <w:tblPr>
        <w:tblStyle w:val="9"/>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243"/>
        <w:gridCol w:w="1417"/>
        <w:gridCol w:w="1419"/>
        <w:gridCol w:w="141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预算</w:t>
            </w:r>
          </w:p>
        </w:tc>
        <w:tc>
          <w:tcPr>
            <w:tcW w:w="1243"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财政单元</w:t>
            </w:r>
          </w:p>
        </w:tc>
        <w:tc>
          <w:tcPr>
            <w:tcW w:w="2836"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收入</w:t>
            </w:r>
          </w:p>
        </w:tc>
        <w:tc>
          <w:tcPr>
            <w:tcW w:w="2835" w:type="dxa"/>
            <w:gridSpan w:val="2"/>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rPr>
            </w:pPr>
          </w:p>
        </w:tc>
        <w:tc>
          <w:tcPr>
            <w:tcW w:w="1243"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rPr>
            </w:pP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年初预算</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lang w:val="en-US" w:eastAsia="zh-CN"/>
              </w:rPr>
            </w:pPr>
            <w:r>
              <w:rPr>
                <w:rFonts w:hint="default" w:ascii="Times New Roman" w:hAnsi="Times New Roman" w:eastAsia="方正黑体_GBK" w:cs="Times New Roman"/>
                <w:color w:val="auto"/>
                <w:sz w:val="24"/>
                <w:szCs w:val="24"/>
                <w:highlight w:val="none"/>
                <w:vertAlign w:val="baseline"/>
                <w:lang w:val="en-US" w:eastAsia="zh-CN"/>
              </w:rPr>
              <w:t>调整预算</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rPr>
            </w:pPr>
            <w:r>
              <w:rPr>
                <w:rFonts w:hint="default" w:ascii="Times New Roman" w:hAnsi="Times New Roman" w:eastAsia="方正黑体_GBK" w:cs="Times New Roman"/>
                <w:color w:val="auto"/>
                <w:sz w:val="24"/>
                <w:szCs w:val="24"/>
                <w:highlight w:val="none"/>
                <w:vertAlign w:val="baseline"/>
                <w:lang w:val="en-US" w:eastAsia="zh-CN"/>
              </w:rPr>
              <w:t>年初预算</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4"/>
                <w:szCs w:val="24"/>
                <w:highlight w:val="none"/>
                <w:vertAlign w:val="baseline"/>
              </w:rPr>
            </w:pPr>
            <w:r>
              <w:rPr>
                <w:rFonts w:hint="default" w:ascii="Times New Roman" w:hAnsi="Times New Roman" w:eastAsia="方正黑体_GBK" w:cs="Times New Roman"/>
                <w:color w:val="auto"/>
                <w:sz w:val="24"/>
                <w:szCs w:val="24"/>
                <w:highlight w:val="none"/>
                <w:vertAlign w:val="baseline"/>
                <w:lang w:val="en-US" w:eastAsia="zh-CN"/>
              </w:rPr>
              <w:t>调整预算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vertAlign w:val="baseline"/>
                <w:lang w:val="en-US" w:eastAsia="zh-CN"/>
              </w:rPr>
              <w:t>一般公共预算</w:t>
            </w: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vertAlign w:val="baseline"/>
                <w:lang w:val="en-US" w:eastAsia="zh-CN"/>
              </w:rPr>
              <w:t>全区</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rPr>
            </w:pPr>
            <w:r>
              <w:rPr>
                <w:rFonts w:hint="default" w:ascii="Times New Roman" w:hAnsi="Times New Roman" w:eastAsia="方正仿宋_GBK" w:cs="Times New Roman"/>
                <w:color w:val="auto"/>
                <w:sz w:val="21"/>
                <w:szCs w:val="21"/>
                <w:highlight w:val="none"/>
                <w:vertAlign w:val="baseline"/>
                <w:lang w:val="en-US" w:eastAsia="zh-CN"/>
              </w:rPr>
              <w:t>74.0</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71.5</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119.6</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vertAlign w:val="baseline"/>
                <w:lang w:val="en-US" w:eastAsia="zh-CN"/>
              </w:rPr>
              <w:t>区本级</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47.2</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45.7</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83.6</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vertAlign w:val="baseline"/>
                <w:lang w:val="en-US" w:eastAsia="zh-CN"/>
              </w:rPr>
              <w:t>政府性基金预算</w:t>
            </w: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全区</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59.2</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61.4</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90.4</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区本级</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rPr>
            </w:pPr>
            <w:r>
              <w:rPr>
                <w:rFonts w:hint="default" w:ascii="Times New Roman" w:hAnsi="Times New Roman" w:eastAsia="方正仿宋_GBK" w:cs="Times New Roman"/>
                <w:color w:val="auto"/>
                <w:sz w:val="21"/>
                <w:szCs w:val="21"/>
                <w:highlight w:val="none"/>
                <w:vertAlign w:val="baseline"/>
                <w:lang w:val="en-US" w:eastAsia="zh-CN"/>
              </w:rPr>
              <w:t>31.0</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28.5</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61.7</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vertAlign w:val="baseline"/>
                <w:lang w:val="en-US" w:eastAsia="zh-CN"/>
              </w:rPr>
              <w:t>国有资本经营预算</w:t>
            </w: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全区</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2.2</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4.4</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2.2</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4"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p>
        </w:tc>
        <w:tc>
          <w:tcPr>
            <w:tcW w:w="1243"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区本级</w:t>
            </w:r>
          </w:p>
        </w:tc>
        <w:tc>
          <w:tcPr>
            <w:tcW w:w="141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1.3</w:t>
            </w:r>
          </w:p>
        </w:tc>
        <w:tc>
          <w:tcPr>
            <w:tcW w:w="141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1.4</w:t>
            </w:r>
          </w:p>
        </w:tc>
        <w:tc>
          <w:tcPr>
            <w:tcW w:w="141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1.3</w:t>
            </w:r>
          </w:p>
        </w:tc>
        <w:tc>
          <w:tcPr>
            <w:tcW w:w="142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highlight w:val="none"/>
                <w:vertAlign w:val="baseline"/>
              </w:rPr>
            </w:pPr>
            <w:r>
              <w:rPr>
                <w:rFonts w:hint="default" w:ascii="Times New Roman" w:hAnsi="Times New Roman" w:eastAsia="方正仿宋_GBK" w:cs="Times New Roman"/>
                <w:color w:val="auto"/>
                <w:sz w:val="21"/>
                <w:szCs w:val="21"/>
                <w:highlight w:val="none"/>
                <w:vertAlign w:val="baseline"/>
                <w:lang w:val="en-US" w:eastAsia="zh-CN"/>
              </w:rPr>
              <w:t>1.5</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（二）全区预算执行情况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1.一般公共预算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71.5</w:t>
      </w:r>
      <w:r>
        <w:rPr>
          <w:rFonts w:hint="default" w:ascii="Times New Roman" w:hAnsi="Times New Roman" w:eastAsia="方正仿宋_GBK" w:cs="Times New Roman"/>
          <w:color w:val="auto"/>
          <w:sz w:val="32"/>
          <w:szCs w:val="20"/>
          <w:highlight w:val="none"/>
        </w:rPr>
        <w:t>亿元，为预算（调整预算，下同）的</w:t>
      </w:r>
      <w:r>
        <w:rPr>
          <w:rFonts w:hint="default" w:ascii="Times New Roman" w:hAnsi="Times New Roman" w:eastAsia="方正仿宋_GBK" w:cs="Times New Roman"/>
          <w:color w:val="auto"/>
          <w:sz w:val="32"/>
          <w:szCs w:val="20"/>
          <w:highlight w:val="none"/>
          <w:lang w:val="en-US" w:eastAsia="zh-CN"/>
        </w:rPr>
        <w:t>100.1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扣除留抵退税因素后增长6%，按自然口径计算增长0.1%</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38.1</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100.2</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扣除留抵退税因素后</w:t>
      </w:r>
      <w:r>
        <w:rPr>
          <w:rFonts w:hint="default" w:ascii="Times New Roman" w:hAnsi="Times New Roman" w:eastAsia="方正仿宋_GBK" w:cs="Times New Roman"/>
          <w:color w:val="auto"/>
          <w:sz w:val="32"/>
          <w:szCs w:val="20"/>
          <w:highlight w:val="none"/>
        </w:rPr>
        <w:t>增长</w:t>
      </w:r>
      <w:r>
        <w:rPr>
          <w:rFonts w:hint="default" w:ascii="Times New Roman" w:hAnsi="Times New Roman" w:eastAsia="方正仿宋_GBK" w:cs="Times New Roman"/>
          <w:color w:val="auto"/>
          <w:sz w:val="32"/>
          <w:szCs w:val="20"/>
          <w:highlight w:val="none"/>
          <w:lang w:val="en-US" w:eastAsia="zh-CN"/>
        </w:rPr>
        <w:t>0.7%，按自然口径计算下降9.4%</w:t>
      </w:r>
      <w:r>
        <w:rPr>
          <w:rFonts w:hint="default" w:ascii="Times New Roman" w:hAnsi="Times New Roman" w:eastAsia="方正仿宋_GBK" w:cs="Times New Roman"/>
          <w:color w:val="auto"/>
          <w:sz w:val="32"/>
          <w:szCs w:val="20"/>
          <w:highlight w:val="none"/>
        </w:rPr>
        <w:t>；非税收入</w:t>
      </w:r>
      <w:r>
        <w:rPr>
          <w:rFonts w:hint="default" w:ascii="Times New Roman" w:hAnsi="Times New Roman" w:eastAsia="方正仿宋_GBK" w:cs="Times New Roman"/>
          <w:color w:val="auto"/>
          <w:sz w:val="32"/>
          <w:szCs w:val="20"/>
          <w:highlight w:val="none"/>
          <w:lang w:val="en-US" w:eastAsia="zh-CN"/>
        </w:rPr>
        <w:t>33.5</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100.1</w:t>
      </w:r>
      <w:r>
        <w:rPr>
          <w:rFonts w:hint="default" w:ascii="Times New Roman" w:hAnsi="Times New Roman" w:eastAsia="方正仿宋_GBK" w:cs="Times New Roman"/>
          <w:color w:val="auto"/>
          <w:sz w:val="32"/>
          <w:szCs w:val="20"/>
          <w:highlight w:val="none"/>
        </w:rPr>
        <w:t>%，增长</w:t>
      </w:r>
      <w:r>
        <w:rPr>
          <w:rFonts w:hint="default" w:ascii="Times New Roman" w:hAnsi="Times New Roman" w:eastAsia="方正仿宋_GBK" w:cs="Times New Roman"/>
          <w:color w:val="auto"/>
          <w:sz w:val="32"/>
          <w:szCs w:val="20"/>
          <w:highlight w:val="none"/>
          <w:lang w:val="en-US" w:eastAsia="zh-CN"/>
        </w:rPr>
        <w:t>13.7</w:t>
      </w:r>
      <w:r>
        <w:rPr>
          <w:rFonts w:hint="default" w:ascii="Times New Roman" w:hAnsi="Times New Roman" w:eastAsia="方正仿宋_GBK" w:cs="Times New Roman"/>
          <w:color w:val="auto"/>
          <w:sz w:val="32"/>
          <w:szCs w:val="20"/>
          <w:highlight w:val="none"/>
        </w:rPr>
        <w:t>%。加上年结转结余</w:t>
      </w:r>
      <w:r>
        <w:rPr>
          <w:rFonts w:hint="default" w:ascii="Times New Roman" w:hAnsi="Times New Roman" w:eastAsia="方正仿宋_GBK" w:cs="Times New Roman"/>
          <w:color w:val="auto"/>
          <w:sz w:val="32"/>
          <w:szCs w:val="20"/>
          <w:highlight w:val="none"/>
          <w:lang w:val="en-US" w:eastAsia="zh-CN"/>
        </w:rPr>
        <w:t>1.2</w:t>
      </w:r>
      <w:r>
        <w:rPr>
          <w:rFonts w:hint="default" w:ascii="Times New Roman" w:hAnsi="Times New Roman" w:eastAsia="方正仿宋_GBK" w:cs="Times New Roman"/>
          <w:color w:val="auto"/>
          <w:sz w:val="32"/>
          <w:szCs w:val="20"/>
          <w:highlight w:val="none"/>
        </w:rPr>
        <w:t>亿元、地方政府一般债务转贷收入</w:t>
      </w:r>
      <w:r>
        <w:rPr>
          <w:rFonts w:hint="default" w:ascii="Times New Roman" w:hAnsi="Times New Roman" w:eastAsia="方正仿宋_GBK" w:cs="Times New Roman"/>
          <w:color w:val="auto"/>
          <w:sz w:val="32"/>
          <w:szCs w:val="20"/>
          <w:highlight w:val="none"/>
          <w:lang w:val="en-US" w:eastAsia="zh-CN"/>
        </w:rPr>
        <w:t>16</w:t>
      </w:r>
      <w:r>
        <w:rPr>
          <w:rFonts w:hint="default" w:ascii="Times New Roman" w:hAnsi="Times New Roman" w:eastAsia="方正仿宋_GBK" w:cs="Times New Roman"/>
          <w:color w:val="auto"/>
          <w:sz w:val="32"/>
          <w:szCs w:val="20"/>
          <w:highlight w:val="none"/>
        </w:rPr>
        <w:t>亿元、上级补助</w:t>
      </w:r>
      <w:r>
        <w:rPr>
          <w:rFonts w:hint="default" w:ascii="Times New Roman" w:hAnsi="Times New Roman" w:eastAsia="方正仿宋_GBK" w:cs="Times New Roman"/>
          <w:color w:val="auto"/>
          <w:sz w:val="32"/>
          <w:szCs w:val="20"/>
          <w:highlight w:val="none"/>
          <w:lang w:val="en-US" w:eastAsia="zh-CN"/>
        </w:rPr>
        <w:t>71.9</w:t>
      </w:r>
      <w:r>
        <w:rPr>
          <w:rFonts w:hint="default" w:ascii="Times New Roman" w:hAnsi="Times New Roman" w:eastAsia="方正仿宋_GBK" w:cs="Times New Roman"/>
          <w:color w:val="auto"/>
          <w:sz w:val="32"/>
          <w:szCs w:val="20"/>
          <w:highlight w:val="none"/>
        </w:rPr>
        <w:t>亿元、从预算稳定调节基金、政府性基金预算和国有资本经营预算调入资金</w:t>
      </w:r>
      <w:r>
        <w:rPr>
          <w:rFonts w:hint="default" w:ascii="Times New Roman" w:hAnsi="Times New Roman" w:eastAsia="方正仿宋_GBK" w:cs="Times New Roman"/>
          <w:color w:val="auto"/>
          <w:sz w:val="32"/>
          <w:szCs w:val="20"/>
          <w:highlight w:val="none"/>
          <w:lang w:val="en-US" w:eastAsia="zh-CN"/>
        </w:rPr>
        <w:t>19.3</w:t>
      </w:r>
      <w:r>
        <w:rPr>
          <w:rFonts w:hint="default" w:ascii="Times New Roman" w:hAnsi="Times New Roman" w:eastAsia="方正仿宋_GBK" w:cs="Times New Roman"/>
          <w:color w:val="auto"/>
          <w:sz w:val="32"/>
          <w:szCs w:val="20"/>
          <w:highlight w:val="none"/>
        </w:rPr>
        <w:t>亿元，收入总计</w:t>
      </w:r>
      <w:r>
        <w:rPr>
          <w:rFonts w:hint="default" w:ascii="Times New Roman" w:hAnsi="Times New Roman" w:eastAsia="方正仿宋_GBK" w:cs="Times New Roman"/>
          <w:color w:val="auto"/>
          <w:sz w:val="32"/>
          <w:szCs w:val="20"/>
          <w:highlight w:val="none"/>
          <w:lang w:val="en-US" w:eastAsia="zh-CN"/>
        </w:rPr>
        <w:t>179.9</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outlineLvl w:val="0"/>
        <w:rPr>
          <w:rFonts w:ascii="Times New Roman" w:hAnsi="Times New Roman" w:eastAsia="方正黑体_GBK" w:cs="Times New Roman"/>
          <w:color w:val="auto"/>
          <w:sz w:val="32"/>
          <w:szCs w:val="20"/>
          <w:highlight w:val="none"/>
        </w:rPr>
      </w:pPr>
      <w:r>
        <w:rPr>
          <w:rFonts w:hint="default" w:ascii="Times New Roman" w:hAnsi="Times New Roman" w:eastAsia="方正黑体_GBK" w:cs="Times New Roman"/>
          <w:color w:val="auto"/>
          <w:sz w:val="32"/>
          <w:szCs w:val="20"/>
          <w:highlight w:val="none"/>
        </w:rPr>
        <w:t>全区一般公共预算主要收入项目执行情况</w:t>
      </w:r>
    </w:p>
    <w:p>
      <w:pPr>
        <w:spacing w:line="520" w:lineRule="exact"/>
        <w:ind w:firstLine="0" w:firstLineChars="0"/>
        <w:jc w:val="right"/>
        <w:outlineLvl w:val="1"/>
        <w:rPr>
          <w:rFonts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4"/>
          <w:szCs w:val="24"/>
          <w:highlight w:val="none"/>
        </w:rPr>
        <w:t>单位：亿元</w:t>
      </w:r>
    </w:p>
    <w:tbl>
      <w:tblPr>
        <w:tblStyle w:val="8"/>
        <w:tblW w:w="88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243"/>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主要收入项目</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执行数</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同比±</w:t>
            </w:r>
            <w:r>
              <w:rPr>
                <w:rFonts w:ascii="Times New Roman" w:hAnsi="Times New Roman" w:eastAsia="方正黑体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增值税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16.3</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企业所得税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6.1</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个人所得税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城市维护建设税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2.3</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房产税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1.9</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12.</w:t>
            </w:r>
            <w:r>
              <w:rPr>
                <w:rFonts w:hint="eastAsia" w:ascii="Times New Roman" w:hAnsi="Times New Roman" w:eastAsia="方正仿宋_GBK" w:cs="Times New Roman"/>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城镇土地使用税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3.3</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契税</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2.1</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专项收入</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主要是教育附加费收入</w:t>
            </w:r>
            <w:r>
              <w:rPr>
                <w:rFonts w:hint="eastAsia" w:ascii="Times New Roman" w:hAnsi="Times New Roman" w:eastAsia="方正仿宋_GBK" w:cs="Times New Roman"/>
                <w:color w:val="auto"/>
                <w:sz w:val="21"/>
                <w:szCs w:val="21"/>
                <w:highlight w:val="none"/>
                <w:lang w:val="en-US" w:eastAsia="zh-CN"/>
              </w:rPr>
              <w:t>）</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1.4</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eastAsia="方正仿宋_GBK" w:cs="Times New Roman"/>
                <w:color w:val="auto"/>
                <w:sz w:val="21"/>
                <w:szCs w:val="21"/>
                <w:highlight w:val="none"/>
              </w:rPr>
            </w:pPr>
            <w:r>
              <w:rPr>
                <w:rFonts w:ascii="Times New Roman" w:hAnsi="Times New Roman" w:eastAsia="方正仿宋_GBK" w:cs="Times New Roman"/>
                <w:color w:val="auto"/>
                <w:sz w:val="21"/>
                <w:szCs w:val="21"/>
                <w:highlight w:val="none"/>
              </w:rPr>
              <w:t>国有资源（资产）有偿使用收入</w:t>
            </w:r>
          </w:p>
        </w:tc>
        <w:tc>
          <w:tcPr>
            <w:tcW w:w="22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26.7</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27.7</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152.1</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增长3.6</w:t>
      </w:r>
      <w:r>
        <w:rPr>
          <w:rFonts w:hint="default" w:ascii="Times New Roman" w:hAnsi="Times New Roman" w:eastAsia="方正仿宋_GBK" w:cs="Times New Roman"/>
          <w:color w:val="auto"/>
          <w:sz w:val="32"/>
          <w:szCs w:val="20"/>
          <w:highlight w:val="none"/>
        </w:rPr>
        <w:t>%。加上解上级支出</w:t>
      </w:r>
      <w:r>
        <w:rPr>
          <w:rFonts w:hint="default" w:ascii="Times New Roman" w:hAnsi="Times New Roman" w:eastAsia="方正仿宋_GBK" w:cs="Times New Roman"/>
          <w:color w:val="auto"/>
          <w:sz w:val="32"/>
          <w:szCs w:val="20"/>
          <w:highlight w:val="none"/>
          <w:lang w:val="en-US" w:eastAsia="zh-CN"/>
        </w:rPr>
        <w:t>11.3</w:t>
      </w:r>
      <w:r>
        <w:rPr>
          <w:rFonts w:hint="default" w:ascii="Times New Roman" w:hAnsi="Times New Roman" w:eastAsia="方正仿宋_GBK" w:cs="Times New Roman"/>
          <w:color w:val="auto"/>
          <w:sz w:val="32"/>
          <w:szCs w:val="20"/>
          <w:highlight w:val="none"/>
        </w:rPr>
        <w:t>亿元、地方政府一般债务还本支出</w:t>
      </w:r>
      <w:r>
        <w:rPr>
          <w:rFonts w:hint="default" w:ascii="Times New Roman" w:hAnsi="Times New Roman" w:eastAsia="方正仿宋_GBK" w:cs="Times New Roman"/>
          <w:color w:val="auto"/>
          <w:sz w:val="32"/>
          <w:szCs w:val="20"/>
          <w:highlight w:val="none"/>
          <w:lang w:val="en-US" w:eastAsia="zh-CN"/>
        </w:rPr>
        <w:t>12.7</w:t>
      </w:r>
      <w:r>
        <w:rPr>
          <w:rFonts w:hint="default" w:ascii="Times New Roman" w:hAnsi="Times New Roman" w:eastAsia="方正仿宋_GBK" w:cs="Times New Roman"/>
          <w:color w:val="auto"/>
          <w:sz w:val="32"/>
          <w:szCs w:val="20"/>
          <w:highlight w:val="none"/>
        </w:rPr>
        <w:t>亿元、安排预算稳定调节基金</w:t>
      </w:r>
      <w:r>
        <w:rPr>
          <w:rFonts w:hint="default" w:ascii="Times New Roman" w:hAnsi="Times New Roman" w:eastAsia="方正仿宋_GBK" w:cs="Times New Roman"/>
          <w:color w:val="auto"/>
          <w:sz w:val="32"/>
          <w:szCs w:val="20"/>
          <w:highlight w:val="none"/>
          <w:lang w:val="en-US" w:eastAsia="zh-CN"/>
        </w:rPr>
        <w:t>0.1</w:t>
      </w:r>
      <w:r>
        <w:rPr>
          <w:rFonts w:hint="default" w:ascii="Times New Roman" w:hAnsi="Times New Roman" w:eastAsia="方正仿宋_GBK" w:cs="Times New Roman"/>
          <w:color w:val="auto"/>
          <w:sz w:val="32"/>
          <w:szCs w:val="20"/>
          <w:highlight w:val="none"/>
        </w:rPr>
        <w:t>亿元、结转下年支出</w:t>
      </w:r>
      <w:r>
        <w:rPr>
          <w:rFonts w:hint="default" w:ascii="Times New Roman" w:hAnsi="Times New Roman" w:eastAsia="方正仿宋_GBK" w:cs="Times New Roman"/>
          <w:color w:val="auto"/>
          <w:sz w:val="32"/>
          <w:szCs w:val="20"/>
          <w:highlight w:val="none"/>
          <w:lang w:val="en-US" w:eastAsia="zh-CN"/>
        </w:rPr>
        <w:t>3.7</w:t>
      </w:r>
      <w:r>
        <w:rPr>
          <w:rFonts w:hint="default" w:ascii="Times New Roman" w:hAnsi="Times New Roman" w:eastAsia="方正仿宋_GBK" w:cs="Times New Roman"/>
          <w:color w:val="auto"/>
          <w:sz w:val="32"/>
          <w:szCs w:val="20"/>
          <w:highlight w:val="none"/>
        </w:rPr>
        <w:t>亿元，支出总计</w:t>
      </w:r>
      <w:r>
        <w:rPr>
          <w:rFonts w:hint="default" w:ascii="Times New Roman" w:hAnsi="Times New Roman" w:eastAsia="方正仿宋_GBK" w:cs="Times New Roman"/>
          <w:color w:val="auto"/>
          <w:sz w:val="32"/>
          <w:szCs w:val="20"/>
          <w:highlight w:val="none"/>
          <w:lang w:val="en-US" w:eastAsia="zh-CN"/>
        </w:rPr>
        <w:t>179.9</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outlineLvl w:val="0"/>
        <w:rPr>
          <w:rFonts w:ascii="Times New Roman" w:hAnsi="Times New Roman" w:eastAsia="方正黑体_GBK" w:cs="Times New Roman"/>
          <w:color w:val="auto"/>
          <w:sz w:val="32"/>
          <w:szCs w:val="20"/>
          <w:highlight w:val="none"/>
        </w:rPr>
      </w:pPr>
      <w:r>
        <w:rPr>
          <w:rFonts w:hint="default" w:ascii="Times New Roman" w:hAnsi="Times New Roman" w:eastAsia="方正黑体_GBK" w:cs="Times New Roman"/>
          <w:color w:val="auto"/>
          <w:sz w:val="32"/>
          <w:szCs w:val="20"/>
          <w:highlight w:val="none"/>
        </w:rPr>
        <w:t>全区一般公共预算主要支出项目执行情况</w:t>
      </w:r>
    </w:p>
    <w:p>
      <w:pPr>
        <w:spacing w:line="520" w:lineRule="exact"/>
        <w:ind w:firstLine="0" w:firstLineChars="0"/>
        <w:jc w:val="right"/>
        <w:outlineLvl w:val="1"/>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单位：亿元</w:t>
      </w:r>
    </w:p>
    <w:tbl>
      <w:tblPr>
        <w:tblStyle w:val="8"/>
        <w:tblW w:w="8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2232"/>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主要支出项目</w:t>
            </w:r>
          </w:p>
        </w:tc>
        <w:tc>
          <w:tcPr>
            <w:tcW w:w="2232"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执行数</w:t>
            </w:r>
          </w:p>
        </w:tc>
        <w:tc>
          <w:tcPr>
            <w:tcW w:w="2216"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同比±</w:t>
            </w:r>
            <w:r>
              <w:rPr>
                <w:rFonts w:ascii="Times New Roman" w:hAnsi="Times New Roman" w:eastAsia="方正黑体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一般公共服务支出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12.8</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公共安全支出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6.3</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教育支出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27.9</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科技支出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3.7</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文化旅游体育传媒支出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2.2</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社会保障与就业支出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21.7</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卫生健康支出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13.7</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节能环保支出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5.2</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城乡社区支出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8.8</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农林水支出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18.4</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交通运输支出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3.9</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资源勘探信息支出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主要用于企业补助等</w:t>
            </w:r>
            <w:r>
              <w:rPr>
                <w:rFonts w:hint="default" w:ascii="Times New Roman" w:hAnsi="Times New Roman" w:eastAsia="方正仿宋_GBK" w:cs="Times New Roman"/>
                <w:color w:val="auto"/>
                <w:sz w:val="24"/>
                <w:szCs w:val="24"/>
                <w:highlight w:val="none"/>
                <w:lang w:eastAsia="zh-CN"/>
              </w:rPr>
              <w:t>）</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15.8</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金融支出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1.6</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4014.3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自然资源海洋气象支出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主要用于土地整理、农村建设用地复垦、土地勘察测绘等</w:t>
            </w:r>
            <w:r>
              <w:rPr>
                <w:rFonts w:hint="default" w:ascii="Times New Roman" w:hAnsi="Times New Roman" w:eastAsia="方正仿宋_GBK" w:cs="Times New Roman"/>
                <w:color w:val="auto"/>
                <w:sz w:val="24"/>
                <w:szCs w:val="24"/>
                <w:highlight w:val="none"/>
                <w:lang w:eastAsia="zh-CN"/>
              </w:rPr>
              <w:t>）</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1.6</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住房保障支出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4.2</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债务付息支出</w:t>
            </w:r>
          </w:p>
        </w:tc>
        <w:tc>
          <w:tcPr>
            <w:tcW w:w="2232"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2.5</w:t>
            </w:r>
          </w:p>
        </w:tc>
        <w:tc>
          <w:tcPr>
            <w:tcW w:w="2216"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4.4</w:t>
            </w:r>
          </w:p>
        </w:tc>
      </w:tr>
    </w:tbl>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0"/>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2.政府性基金预算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62</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下降2.1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其中，国有</w:t>
      </w:r>
      <w:r>
        <w:rPr>
          <w:rFonts w:hint="eastAsia" w:ascii="Times New Roman" w:hAnsi="Times New Roman" w:eastAsia="方正仿宋_GBK" w:cs="Times New Roman"/>
          <w:color w:val="auto"/>
          <w:sz w:val="32"/>
          <w:szCs w:val="20"/>
          <w:highlight w:val="none"/>
          <w:lang w:val="en-US" w:eastAsia="zh-CN"/>
        </w:rPr>
        <w:t>土</w:t>
      </w:r>
      <w:r>
        <w:rPr>
          <w:rFonts w:hint="default" w:ascii="Times New Roman" w:hAnsi="Times New Roman" w:eastAsia="方正仿宋_GBK" w:cs="Times New Roman"/>
          <w:color w:val="auto"/>
          <w:sz w:val="32"/>
          <w:szCs w:val="20"/>
          <w:highlight w:val="none"/>
          <w:lang w:val="en-US" w:eastAsia="zh-CN"/>
        </w:rPr>
        <w:t>地使用权出让收入56.5亿元，增长5.2%</w:t>
      </w:r>
      <w:r>
        <w:rPr>
          <w:rFonts w:hint="default" w:ascii="Times New Roman" w:hAnsi="Times New Roman" w:eastAsia="方正仿宋_GBK" w:cs="Times New Roman"/>
          <w:color w:val="auto"/>
          <w:sz w:val="32"/>
          <w:szCs w:val="20"/>
          <w:highlight w:val="none"/>
        </w:rPr>
        <w:t>。加上年结转结余</w:t>
      </w:r>
      <w:r>
        <w:rPr>
          <w:rFonts w:hint="default" w:ascii="Times New Roman" w:hAnsi="Times New Roman" w:eastAsia="方正仿宋_GBK" w:cs="Times New Roman"/>
          <w:color w:val="auto"/>
          <w:sz w:val="32"/>
          <w:szCs w:val="20"/>
          <w:highlight w:val="none"/>
          <w:lang w:val="en-US" w:eastAsia="zh-CN"/>
        </w:rPr>
        <w:t>29.8</w:t>
      </w:r>
      <w:r>
        <w:rPr>
          <w:rFonts w:hint="default" w:ascii="Times New Roman" w:hAnsi="Times New Roman" w:eastAsia="方正仿宋_GBK" w:cs="Times New Roman"/>
          <w:color w:val="auto"/>
          <w:sz w:val="32"/>
          <w:szCs w:val="20"/>
          <w:highlight w:val="none"/>
        </w:rPr>
        <w:t>亿元、上级补助</w:t>
      </w:r>
      <w:r>
        <w:rPr>
          <w:rFonts w:hint="default" w:ascii="Times New Roman" w:hAnsi="Times New Roman" w:eastAsia="方正仿宋_GBK" w:cs="Times New Roman"/>
          <w:color w:val="auto"/>
          <w:sz w:val="32"/>
          <w:szCs w:val="20"/>
          <w:highlight w:val="none"/>
          <w:lang w:val="en-US" w:eastAsia="zh-CN"/>
        </w:rPr>
        <w:t>18.3</w:t>
      </w:r>
      <w:r>
        <w:rPr>
          <w:rFonts w:hint="default" w:ascii="Times New Roman" w:hAnsi="Times New Roman" w:eastAsia="方正仿宋_GBK" w:cs="Times New Roman"/>
          <w:color w:val="auto"/>
          <w:sz w:val="32"/>
          <w:szCs w:val="20"/>
          <w:highlight w:val="none"/>
        </w:rPr>
        <w:t>亿元、地方政府专项债务转贷收入</w:t>
      </w:r>
      <w:r>
        <w:rPr>
          <w:rFonts w:hint="default" w:ascii="Times New Roman" w:hAnsi="Times New Roman" w:eastAsia="方正仿宋_GBK" w:cs="Times New Roman"/>
          <w:color w:val="auto"/>
          <w:sz w:val="32"/>
          <w:szCs w:val="20"/>
          <w:highlight w:val="none"/>
          <w:lang w:val="en-US" w:eastAsia="zh-CN"/>
        </w:rPr>
        <w:t>58</w:t>
      </w:r>
      <w:r>
        <w:rPr>
          <w:rFonts w:hint="default" w:ascii="Times New Roman" w:hAnsi="Times New Roman" w:eastAsia="方正仿宋_GBK" w:cs="Times New Roman"/>
          <w:color w:val="auto"/>
          <w:sz w:val="32"/>
          <w:szCs w:val="20"/>
          <w:highlight w:val="none"/>
        </w:rPr>
        <w:t>亿元，收入总计</w:t>
      </w:r>
      <w:r>
        <w:rPr>
          <w:rFonts w:hint="default" w:ascii="Times New Roman" w:hAnsi="Times New Roman" w:eastAsia="方正仿宋_GBK" w:cs="Times New Roman"/>
          <w:color w:val="auto"/>
          <w:sz w:val="32"/>
          <w:szCs w:val="20"/>
          <w:highlight w:val="none"/>
          <w:lang w:val="en-US" w:eastAsia="zh-CN"/>
        </w:rPr>
        <w:t>168.1</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124.3</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33.2</w:t>
      </w:r>
      <w:r>
        <w:rPr>
          <w:rFonts w:hint="default" w:ascii="Times New Roman" w:hAnsi="Times New Roman" w:eastAsia="方正仿宋_GBK" w:cs="Times New Roman"/>
          <w:color w:val="auto"/>
          <w:sz w:val="32"/>
          <w:szCs w:val="20"/>
          <w:highlight w:val="none"/>
        </w:rPr>
        <w:t>%。加上解上级支出</w:t>
      </w:r>
      <w:r>
        <w:rPr>
          <w:rFonts w:hint="default" w:ascii="Times New Roman" w:hAnsi="Times New Roman" w:eastAsia="方正仿宋_GBK" w:cs="Times New Roman"/>
          <w:color w:val="auto"/>
          <w:sz w:val="32"/>
          <w:szCs w:val="20"/>
          <w:highlight w:val="none"/>
          <w:lang w:val="en-US" w:eastAsia="zh-CN"/>
        </w:rPr>
        <w:t>3.5</w:t>
      </w:r>
      <w:r>
        <w:rPr>
          <w:rFonts w:hint="default" w:ascii="Times New Roman" w:hAnsi="Times New Roman" w:eastAsia="方正仿宋_GBK" w:cs="Times New Roman"/>
          <w:color w:val="auto"/>
          <w:sz w:val="32"/>
          <w:szCs w:val="20"/>
          <w:highlight w:val="none"/>
        </w:rPr>
        <w:t>亿元、地方政府专项债务还本支出</w:t>
      </w:r>
      <w:r>
        <w:rPr>
          <w:rFonts w:hint="default" w:ascii="Times New Roman" w:hAnsi="Times New Roman" w:eastAsia="方正仿宋_GBK" w:cs="Times New Roman"/>
          <w:color w:val="auto"/>
          <w:sz w:val="32"/>
          <w:szCs w:val="20"/>
          <w:highlight w:val="none"/>
          <w:lang w:val="en-US" w:eastAsia="zh-CN"/>
        </w:rPr>
        <w:t>6.3</w:t>
      </w:r>
      <w:r>
        <w:rPr>
          <w:rFonts w:hint="default" w:ascii="Times New Roman" w:hAnsi="Times New Roman" w:eastAsia="方正仿宋_GBK" w:cs="Times New Roman"/>
          <w:color w:val="auto"/>
          <w:sz w:val="32"/>
          <w:szCs w:val="20"/>
          <w:highlight w:val="none"/>
        </w:rPr>
        <w:t>亿元、调出资金</w:t>
      </w:r>
      <w:r>
        <w:rPr>
          <w:rFonts w:hint="default" w:ascii="Times New Roman" w:hAnsi="Times New Roman" w:eastAsia="方正仿宋_GBK" w:cs="Times New Roman"/>
          <w:color w:val="auto"/>
          <w:sz w:val="32"/>
          <w:szCs w:val="20"/>
          <w:highlight w:val="none"/>
          <w:lang w:val="en-US" w:eastAsia="zh-CN"/>
        </w:rPr>
        <w:t>18.4</w:t>
      </w:r>
      <w:r>
        <w:rPr>
          <w:rFonts w:hint="default" w:ascii="Times New Roman" w:hAnsi="Times New Roman" w:eastAsia="方正仿宋_GBK" w:cs="Times New Roman"/>
          <w:color w:val="auto"/>
          <w:sz w:val="32"/>
          <w:szCs w:val="20"/>
          <w:highlight w:val="none"/>
        </w:rPr>
        <w:t>亿元、结转下年支出</w:t>
      </w:r>
      <w:r>
        <w:rPr>
          <w:rFonts w:hint="default" w:ascii="Times New Roman" w:hAnsi="Times New Roman" w:eastAsia="方正仿宋_GBK" w:cs="Times New Roman"/>
          <w:color w:val="auto"/>
          <w:sz w:val="32"/>
          <w:szCs w:val="20"/>
          <w:highlight w:val="none"/>
          <w:lang w:val="en-US" w:eastAsia="zh-CN"/>
        </w:rPr>
        <w:t>15.6</w:t>
      </w:r>
      <w:r>
        <w:rPr>
          <w:rFonts w:hint="default" w:ascii="Times New Roman" w:hAnsi="Times New Roman" w:eastAsia="方正仿宋_GBK" w:cs="Times New Roman"/>
          <w:color w:val="auto"/>
          <w:sz w:val="32"/>
          <w:szCs w:val="20"/>
          <w:highlight w:val="none"/>
        </w:rPr>
        <w:t>亿元，支出总计</w:t>
      </w:r>
      <w:r>
        <w:rPr>
          <w:rFonts w:hint="default" w:ascii="Times New Roman" w:hAnsi="Times New Roman" w:eastAsia="方正仿宋_GBK" w:cs="Times New Roman"/>
          <w:color w:val="auto"/>
          <w:sz w:val="32"/>
          <w:szCs w:val="20"/>
          <w:highlight w:val="none"/>
          <w:lang w:val="en-US" w:eastAsia="zh-CN"/>
        </w:rPr>
        <w:t>168.1</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0"/>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3.国有资本经营预算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4.5</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100.1</w:t>
      </w:r>
      <w:r>
        <w:rPr>
          <w:rFonts w:hint="default" w:ascii="Times New Roman" w:hAnsi="Times New Roman" w:eastAsia="方正仿宋_GBK" w:cs="Times New Roman"/>
          <w:color w:val="auto"/>
          <w:sz w:val="32"/>
          <w:szCs w:val="20"/>
          <w:highlight w:val="none"/>
        </w:rPr>
        <w:t>%，增长</w:t>
      </w:r>
      <w:r>
        <w:rPr>
          <w:rFonts w:hint="default" w:ascii="Times New Roman" w:hAnsi="Times New Roman" w:eastAsia="方正仿宋_GBK" w:cs="Times New Roman"/>
          <w:color w:val="auto"/>
          <w:sz w:val="32"/>
          <w:szCs w:val="20"/>
          <w:highlight w:val="none"/>
          <w:lang w:val="en-US" w:eastAsia="zh-CN"/>
        </w:rPr>
        <w:t>7.9</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其中，经开集团公司3亿元、三峡平湖公司1.1亿元、其他区属国有企业0.3亿元。加</w:t>
      </w:r>
      <w:r>
        <w:rPr>
          <w:rFonts w:hint="default" w:ascii="Times New Roman" w:hAnsi="Times New Roman" w:eastAsia="方正仿宋_GBK" w:cs="Times New Roman"/>
          <w:color w:val="auto"/>
          <w:sz w:val="32"/>
          <w:szCs w:val="20"/>
          <w:highlight w:val="none"/>
        </w:rPr>
        <w:t>上年结转结余</w:t>
      </w:r>
      <w:r>
        <w:rPr>
          <w:rFonts w:hint="default" w:ascii="Times New Roman" w:hAnsi="Times New Roman" w:eastAsia="方正仿宋_GBK" w:cs="Times New Roman"/>
          <w:color w:val="auto"/>
          <w:sz w:val="32"/>
          <w:szCs w:val="20"/>
          <w:highlight w:val="none"/>
          <w:lang w:val="en-US" w:eastAsia="zh-CN"/>
        </w:rPr>
        <w:t>248万</w:t>
      </w:r>
      <w:r>
        <w:rPr>
          <w:rFonts w:hint="default" w:ascii="Times New Roman" w:hAnsi="Times New Roman" w:eastAsia="方正仿宋_GBK" w:cs="Times New Roman"/>
          <w:color w:val="auto"/>
          <w:sz w:val="32"/>
          <w:szCs w:val="20"/>
          <w:highlight w:val="none"/>
        </w:rPr>
        <w:t>元，收入总计</w:t>
      </w:r>
      <w:r>
        <w:rPr>
          <w:rFonts w:hint="default" w:ascii="Times New Roman" w:hAnsi="Times New Roman" w:eastAsia="方正仿宋_GBK" w:cs="Times New Roman"/>
          <w:color w:val="auto"/>
          <w:sz w:val="32"/>
          <w:szCs w:val="20"/>
          <w:highlight w:val="none"/>
          <w:lang w:val="en-US" w:eastAsia="zh-CN"/>
        </w:rPr>
        <w:t>4.5</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4.4</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增长156.7</w:t>
      </w:r>
      <w:r>
        <w:rPr>
          <w:rFonts w:hint="default" w:ascii="Times New Roman" w:hAnsi="Times New Roman" w:eastAsia="方正仿宋_GBK" w:cs="Times New Roman"/>
          <w:color w:val="auto"/>
          <w:sz w:val="32"/>
          <w:szCs w:val="20"/>
          <w:highlight w:val="none"/>
        </w:rPr>
        <w:t>%。加调出资金</w:t>
      </w:r>
      <w:r>
        <w:rPr>
          <w:rFonts w:hint="default" w:ascii="Times New Roman" w:hAnsi="Times New Roman" w:eastAsia="方正仿宋_GBK" w:cs="Times New Roman"/>
          <w:color w:val="auto"/>
          <w:sz w:val="32"/>
          <w:szCs w:val="20"/>
          <w:highlight w:val="none"/>
          <w:lang w:val="en-US" w:eastAsia="zh-CN"/>
        </w:rPr>
        <w:t>822万元</w:t>
      </w:r>
      <w:r>
        <w:rPr>
          <w:rFonts w:hint="default" w:ascii="Times New Roman" w:hAnsi="Times New Roman" w:eastAsia="方正仿宋_GBK" w:cs="Times New Roman"/>
          <w:color w:val="auto"/>
          <w:sz w:val="32"/>
          <w:szCs w:val="20"/>
          <w:highlight w:val="none"/>
        </w:rPr>
        <w:t>，支出总计</w:t>
      </w:r>
      <w:r>
        <w:rPr>
          <w:rFonts w:hint="default" w:ascii="Times New Roman" w:hAnsi="Times New Roman" w:eastAsia="方正仿宋_GBK" w:cs="Times New Roman"/>
          <w:color w:val="auto"/>
          <w:sz w:val="32"/>
          <w:szCs w:val="20"/>
          <w:highlight w:val="none"/>
          <w:lang w:val="en-US" w:eastAsia="zh-CN"/>
        </w:rPr>
        <w:t>4.5</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（三）区本级预算执行情况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2"/>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1.一般公共预算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46</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100.6</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增长4.2</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20.7</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101.3</w:t>
      </w:r>
      <w:r>
        <w:rPr>
          <w:rFonts w:hint="default" w:ascii="Times New Roman" w:hAnsi="Times New Roman" w:eastAsia="方正仿宋_GBK" w:cs="Times New Roman"/>
          <w:color w:val="auto"/>
          <w:sz w:val="32"/>
          <w:szCs w:val="20"/>
          <w:highlight w:val="none"/>
        </w:rPr>
        <w:t>%，增长</w:t>
      </w:r>
      <w:r>
        <w:rPr>
          <w:rFonts w:hint="default" w:ascii="Times New Roman" w:hAnsi="Times New Roman" w:eastAsia="方正仿宋_GBK" w:cs="Times New Roman"/>
          <w:color w:val="auto"/>
          <w:sz w:val="32"/>
          <w:szCs w:val="20"/>
          <w:highlight w:val="none"/>
          <w:lang w:val="en-US" w:eastAsia="zh-CN"/>
        </w:rPr>
        <w:t>1.3</w:t>
      </w:r>
      <w:r>
        <w:rPr>
          <w:rFonts w:hint="default" w:ascii="Times New Roman" w:hAnsi="Times New Roman" w:eastAsia="方正仿宋_GBK" w:cs="Times New Roman"/>
          <w:color w:val="auto"/>
          <w:sz w:val="32"/>
          <w:szCs w:val="20"/>
          <w:highlight w:val="none"/>
        </w:rPr>
        <w:t>%；非税收入</w:t>
      </w:r>
      <w:r>
        <w:rPr>
          <w:rFonts w:hint="default" w:ascii="Times New Roman" w:hAnsi="Times New Roman" w:eastAsia="方正仿宋_GBK" w:cs="Times New Roman"/>
          <w:color w:val="auto"/>
          <w:sz w:val="32"/>
          <w:szCs w:val="20"/>
          <w:highlight w:val="none"/>
          <w:lang w:val="en-US" w:eastAsia="zh-CN"/>
        </w:rPr>
        <w:t>25.3</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100.1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增长6.6</w:t>
      </w:r>
      <w:r>
        <w:rPr>
          <w:rFonts w:hint="default" w:ascii="Times New Roman" w:hAnsi="Times New Roman" w:eastAsia="方正仿宋_GBK" w:cs="Times New Roman"/>
          <w:color w:val="auto"/>
          <w:sz w:val="32"/>
          <w:szCs w:val="20"/>
          <w:highlight w:val="none"/>
        </w:rPr>
        <w:t>%。加上年结转结余</w:t>
      </w:r>
      <w:r>
        <w:rPr>
          <w:rFonts w:hint="default" w:ascii="Times New Roman" w:hAnsi="Times New Roman" w:eastAsia="方正仿宋_GBK" w:cs="Times New Roman"/>
          <w:color w:val="auto"/>
          <w:sz w:val="32"/>
          <w:szCs w:val="20"/>
          <w:highlight w:val="none"/>
          <w:lang w:val="en-US" w:eastAsia="zh-CN"/>
        </w:rPr>
        <w:t>1</w:t>
      </w:r>
      <w:r>
        <w:rPr>
          <w:rFonts w:hint="default" w:ascii="Times New Roman" w:hAnsi="Times New Roman" w:eastAsia="方正仿宋_GBK" w:cs="Times New Roman"/>
          <w:color w:val="auto"/>
          <w:sz w:val="32"/>
          <w:szCs w:val="20"/>
          <w:highlight w:val="none"/>
        </w:rPr>
        <w:t>亿元、地方政府一般债务转贷收入</w:t>
      </w:r>
      <w:r>
        <w:rPr>
          <w:rFonts w:hint="default" w:ascii="Times New Roman" w:hAnsi="Times New Roman" w:eastAsia="方正仿宋_GBK" w:cs="Times New Roman"/>
          <w:color w:val="auto"/>
          <w:sz w:val="32"/>
          <w:szCs w:val="20"/>
          <w:highlight w:val="none"/>
          <w:lang w:val="en-US" w:eastAsia="zh-CN"/>
        </w:rPr>
        <w:t>5.1</w:t>
      </w:r>
      <w:r>
        <w:rPr>
          <w:rFonts w:hint="default" w:ascii="Times New Roman" w:hAnsi="Times New Roman" w:eastAsia="方正仿宋_GBK" w:cs="Times New Roman"/>
          <w:color w:val="auto"/>
          <w:sz w:val="32"/>
          <w:szCs w:val="20"/>
          <w:highlight w:val="none"/>
        </w:rPr>
        <w:t>亿元、上级补助</w:t>
      </w:r>
      <w:r>
        <w:rPr>
          <w:rFonts w:hint="default" w:ascii="Times New Roman" w:hAnsi="Times New Roman" w:eastAsia="方正仿宋_GBK" w:cs="Times New Roman"/>
          <w:color w:val="auto"/>
          <w:sz w:val="32"/>
          <w:szCs w:val="20"/>
          <w:highlight w:val="none"/>
          <w:lang w:val="en-US" w:eastAsia="zh-CN"/>
        </w:rPr>
        <w:t>71.9</w:t>
      </w:r>
      <w:r>
        <w:rPr>
          <w:rFonts w:hint="default" w:ascii="Times New Roman" w:hAnsi="Times New Roman" w:eastAsia="方正仿宋_GBK" w:cs="Times New Roman"/>
          <w:color w:val="auto"/>
          <w:sz w:val="32"/>
          <w:szCs w:val="20"/>
          <w:highlight w:val="none"/>
        </w:rPr>
        <w:t>亿元、下级上解收入</w:t>
      </w:r>
      <w:r>
        <w:rPr>
          <w:rFonts w:hint="default" w:ascii="Times New Roman" w:hAnsi="Times New Roman" w:eastAsia="方正仿宋_GBK" w:cs="Times New Roman"/>
          <w:color w:val="auto"/>
          <w:sz w:val="32"/>
          <w:szCs w:val="20"/>
          <w:highlight w:val="none"/>
          <w:lang w:val="en-US" w:eastAsia="zh-CN"/>
        </w:rPr>
        <w:t>12.1</w:t>
      </w:r>
      <w:r>
        <w:rPr>
          <w:rFonts w:hint="default" w:ascii="Times New Roman" w:hAnsi="Times New Roman" w:eastAsia="方正仿宋_GBK" w:cs="Times New Roman"/>
          <w:color w:val="auto"/>
          <w:sz w:val="32"/>
          <w:szCs w:val="20"/>
          <w:highlight w:val="none"/>
        </w:rPr>
        <w:t>亿元、从预算稳定调节基金、政府性基金预算和国有资本经营预算调入资金</w:t>
      </w:r>
      <w:r>
        <w:rPr>
          <w:rFonts w:hint="default" w:ascii="Times New Roman" w:hAnsi="Times New Roman" w:eastAsia="方正仿宋_GBK" w:cs="Times New Roman"/>
          <w:color w:val="auto"/>
          <w:sz w:val="32"/>
          <w:szCs w:val="20"/>
          <w:highlight w:val="none"/>
          <w:lang w:val="en-US" w:eastAsia="zh-CN"/>
        </w:rPr>
        <w:t>19.3</w:t>
      </w:r>
      <w:r>
        <w:rPr>
          <w:rFonts w:hint="default" w:ascii="Times New Roman" w:hAnsi="Times New Roman" w:eastAsia="方正仿宋_GBK" w:cs="Times New Roman"/>
          <w:color w:val="auto"/>
          <w:sz w:val="32"/>
          <w:szCs w:val="20"/>
          <w:highlight w:val="none"/>
        </w:rPr>
        <w:t>亿元，收入总计</w:t>
      </w:r>
      <w:r>
        <w:rPr>
          <w:rFonts w:hint="default" w:ascii="Times New Roman" w:hAnsi="Times New Roman" w:eastAsia="方正仿宋_GBK" w:cs="Times New Roman"/>
          <w:color w:val="auto"/>
          <w:sz w:val="32"/>
          <w:szCs w:val="20"/>
          <w:highlight w:val="none"/>
          <w:lang w:val="en-US" w:eastAsia="zh-CN"/>
        </w:rPr>
        <w:t>155.4</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111.6</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增长5.6</w:t>
      </w:r>
      <w:r>
        <w:rPr>
          <w:rFonts w:hint="default" w:ascii="Times New Roman" w:hAnsi="Times New Roman" w:eastAsia="方正仿宋_GBK" w:cs="Times New Roman"/>
          <w:color w:val="auto"/>
          <w:sz w:val="32"/>
          <w:szCs w:val="20"/>
          <w:highlight w:val="none"/>
        </w:rPr>
        <w:t>%。加上解上级支出</w:t>
      </w:r>
      <w:r>
        <w:rPr>
          <w:rFonts w:hint="default" w:ascii="Times New Roman" w:hAnsi="Times New Roman" w:eastAsia="方正仿宋_GBK" w:cs="Times New Roman"/>
          <w:color w:val="auto"/>
          <w:sz w:val="32"/>
          <w:szCs w:val="20"/>
          <w:highlight w:val="none"/>
          <w:lang w:val="en-US" w:eastAsia="zh-CN"/>
        </w:rPr>
        <w:t>11.3</w:t>
      </w:r>
      <w:r>
        <w:rPr>
          <w:rFonts w:hint="default" w:ascii="Times New Roman" w:hAnsi="Times New Roman" w:eastAsia="方正仿宋_GBK" w:cs="Times New Roman"/>
          <w:color w:val="auto"/>
          <w:sz w:val="32"/>
          <w:szCs w:val="20"/>
          <w:highlight w:val="none"/>
        </w:rPr>
        <w:t>亿元、补助下级支出</w:t>
      </w:r>
      <w:r>
        <w:rPr>
          <w:rFonts w:hint="default" w:ascii="Times New Roman" w:hAnsi="Times New Roman" w:eastAsia="方正仿宋_GBK" w:cs="Times New Roman"/>
          <w:color w:val="auto"/>
          <w:sz w:val="32"/>
          <w:szCs w:val="20"/>
          <w:highlight w:val="none"/>
          <w:lang w:val="en-US" w:eastAsia="zh-CN"/>
        </w:rPr>
        <w:t>27.4</w:t>
      </w:r>
      <w:r>
        <w:rPr>
          <w:rFonts w:hint="default" w:ascii="Times New Roman" w:hAnsi="Times New Roman" w:eastAsia="方正仿宋_GBK" w:cs="Times New Roman"/>
          <w:color w:val="auto"/>
          <w:sz w:val="32"/>
          <w:szCs w:val="20"/>
          <w:highlight w:val="none"/>
        </w:rPr>
        <w:t>亿元、地方政府一般债务还本支出</w:t>
      </w:r>
      <w:r>
        <w:rPr>
          <w:rFonts w:hint="default" w:ascii="Times New Roman" w:hAnsi="Times New Roman" w:eastAsia="方正仿宋_GBK" w:cs="Times New Roman"/>
          <w:color w:val="auto"/>
          <w:sz w:val="32"/>
          <w:szCs w:val="20"/>
          <w:highlight w:val="none"/>
          <w:lang w:val="en-US" w:eastAsia="zh-CN"/>
        </w:rPr>
        <w:t>2.9</w:t>
      </w:r>
      <w:r>
        <w:rPr>
          <w:rFonts w:hint="default" w:ascii="Times New Roman" w:hAnsi="Times New Roman" w:eastAsia="方正仿宋_GBK" w:cs="Times New Roman"/>
          <w:color w:val="auto"/>
          <w:sz w:val="32"/>
          <w:szCs w:val="20"/>
          <w:highlight w:val="none"/>
        </w:rPr>
        <w:t>亿元、地方政府向国际组织借款还本支出</w:t>
      </w:r>
      <w:r>
        <w:rPr>
          <w:rFonts w:hint="default" w:ascii="Times New Roman" w:hAnsi="Times New Roman" w:eastAsia="方正仿宋_GBK" w:cs="Times New Roman"/>
          <w:color w:val="auto"/>
          <w:sz w:val="32"/>
          <w:szCs w:val="20"/>
          <w:highlight w:val="none"/>
          <w:lang w:val="en-US" w:eastAsia="zh-CN"/>
        </w:rPr>
        <w:t>0.2亿元、</w:t>
      </w:r>
      <w:r>
        <w:rPr>
          <w:rFonts w:hint="default" w:ascii="Times New Roman" w:hAnsi="Times New Roman" w:eastAsia="方正仿宋_GBK" w:cs="Times New Roman"/>
          <w:color w:val="auto"/>
          <w:sz w:val="32"/>
          <w:szCs w:val="20"/>
          <w:highlight w:val="none"/>
        </w:rPr>
        <w:t>安排预算稳定调节基金</w:t>
      </w:r>
      <w:r>
        <w:rPr>
          <w:rFonts w:hint="default" w:ascii="Times New Roman" w:hAnsi="Times New Roman" w:eastAsia="方正仿宋_GBK" w:cs="Times New Roman"/>
          <w:color w:val="auto"/>
          <w:sz w:val="32"/>
          <w:szCs w:val="20"/>
          <w:highlight w:val="none"/>
          <w:lang w:val="en-US" w:eastAsia="zh-CN"/>
        </w:rPr>
        <w:t>0.1</w:t>
      </w:r>
      <w:r>
        <w:rPr>
          <w:rFonts w:hint="default" w:ascii="Times New Roman" w:hAnsi="Times New Roman" w:eastAsia="方正仿宋_GBK" w:cs="Times New Roman"/>
          <w:color w:val="auto"/>
          <w:sz w:val="32"/>
          <w:szCs w:val="20"/>
          <w:highlight w:val="none"/>
        </w:rPr>
        <w:t>亿元、结转下年支出</w:t>
      </w:r>
      <w:r>
        <w:rPr>
          <w:rFonts w:hint="default" w:ascii="Times New Roman" w:hAnsi="Times New Roman" w:eastAsia="方正仿宋_GBK" w:cs="Times New Roman"/>
          <w:color w:val="auto"/>
          <w:sz w:val="32"/>
          <w:szCs w:val="20"/>
          <w:highlight w:val="none"/>
          <w:lang w:val="en-US" w:eastAsia="zh-CN"/>
        </w:rPr>
        <w:t>1.9</w:t>
      </w:r>
      <w:r>
        <w:rPr>
          <w:rFonts w:hint="default" w:ascii="Times New Roman" w:hAnsi="Times New Roman" w:eastAsia="方正仿宋_GBK" w:cs="Times New Roman"/>
          <w:color w:val="auto"/>
          <w:sz w:val="32"/>
          <w:szCs w:val="20"/>
          <w:highlight w:val="none"/>
        </w:rPr>
        <w:t>亿元，支出总计</w:t>
      </w:r>
      <w:r>
        <w:rPr>
          <w:rFonts w:hint="default" w:ascii="Times New Roman" w:hAnsi="Times New Roman" w:eastAsia="方正仿宋_GBK" w:cs="Times New Roman"/>
          <w:color w:val="auto"/>
          <w:sz w:val="32"/>
          <w:szCs w:val="20"/>
          <w:highlight w:val="none"/>
          <w:lang w:val="en-US" w:eastAsia="zh-CN"/>
        </w:rPr>
        <w:t>155.4</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2"/>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2.政府性基金预算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29</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101.6</w:t>
      </w:r>
      <w:r>
        <w:rPr>
          <w:rFonts w:hint="default" w:ascii="Times New Roman" w:hAnsi="Times New Roman" w:eastAsia="方正仿宋_GBK" w:cs="Times New Roman"/>
          <w:color w:val="auto"/>
          <w:sz w:val="32"/>
          <w:szCs w:val="20"/>
          <w:highlight w:val="none"/>
        </w:rPr>
        <w:t>%，增长</w:t>
      </w:r>
      <w:r>
        <w:rPr>
          <w:rFonts w:hint="default" w:ascii="Times New Roman" w:hAnsi="Times New Roman" w:eastAsia="方正仿宋_GBK" w:cs="Times New Roman"/>
          <w:color w:val="auto"/>
          <w:sz w:val="32"/>
          <w:szCs w:val="20"/>
          <w:highlight w:val="none"/>
          <w:lang w:val="en-US" w:eastAsia="zh-CN"/>
        </w:rPr>
        <w:t>68.6</w:t>
      </w:r>
      <w:r>
        <w:rPr>
          <w:rFonts w:hint="default" w:ascii="Times New Roman" w:hAnsi="Times New Roman" w:eastAsia="方正仿宋_GBK" w:cs="Times New Roman"/>
          <w:color w:val="auto"/>
          <w:sz w:val="32"/>
          <w:szCs w:val="20"/>
          <w:highlight w:val="none"/>
        </w:rPr>
        <w:t>%。加上年结转结余</w:t>
      </w:r>
      <w:r>
        <w:rPr>
          <w:rFonts w:hint="default" w:ascii="Times New Roman" w:hAnsi="Times New Roman" w:eastAsia="方正仿宋_GBK" w:cs="Times New Roman"/>
          <w:color w:val="auto"/>
          <w:sz w:val="32"/>
          <w:szCs w:val="20"/>
          <w:highlight w:val="none"/>
          <w:lang w:val="en-US" w:eastAsia="zh-CN"/>
        </w:rPr>
        <w:t>22.6</w:t>
      </w:r>
      <w:r>
        <w:rPr>
          <w:rFonts w:hint="default" w:ascii="Times New Roman" w:hAnsi="Times New Roman" w:eastAsia="方正仿宋_GBK" w:cs="Times New Roman"/>
          <w:color w:val="auto"/>
          <w:sz w:val="32"/>
          <w:szCs w:val="20"/>
          <w:highlight w:val="none"/>
        </w:rPr>
        <w:t>亿元、上级补助</w:t>
      </w:r>
      <w:r>
        <w:rPr>
          <w:rFonts w:hint="default" w:ascii="Times New Roman" w:hAnsi="Times New Roman" w:eastAsia="方正仿宋_GBK" w:cs="Times New Roman"/>
          <w:color w:val="auto"/>
          <w:sz w:val="32"/>
          <w:szCs w:val="20"/>
          <w:highlight w:val="none"/>
          <w:lang w:val="en-US" w:eastAsia="zh-CN"/>
        </w:rPr>
        <w:t>18.3</w:t>
      </w:r>
      <w:r>
        <w:rPr>
          <w:rFonts w:hint="default" w:ascii="Times New Roman" w:hAnsi="Times New Roman" w:eastAsia="方正仿宋_GBK" w:cs="Times New Roman"/>
          <w:color w:val="auto"/>
          <w:sz w:val="32"/>
          <w:szCs w:val="20"/>
          <w:highlight w:val="none"/>
        </w:rPr>
        <w:t>亿元、地方政府专项债务转贷收入</w:t>
      </w:r>
      <w:r>
        <w:rPr>
          <w:rFonts w:hint="default" w:ascii="Times New Roman" w:hAnsi="Times New Roman" w:eastAsia="方正仿宋_GBK" w:cs="Times New Roman"/>
          <w:color w:val="auto"/>
          <w:sz w:val="32"/>
          <w:szCs w:val="20"/>
          <w:highlight w:val="none"/>
          <w:lang w:val="en-US" w:eastAsia="zh-CN"/>
        </w:rPr>
        <w:t>39.6</w:t>
      </w:r>
      <w:r>
        <w:rPr>
          <w:rFonts w:hint="default" w:ascii="Times New Roman" w:hAnsi="Times New Roman" w:eastAsia="方正仿宋_GBK" w:cs="Times New Roman"/>
          <w:color w:val="auto"/>
          <w:sz w:val="32"/>
          <w:szCs w:val="20"/>
          <w:highlight w:val="none"/>
        </w:rPr>
        <w:t>亿元、下级上解收入</w:t>
      </w:r>
      <w:r>
        <w:rPr>
          <w:rFonts w:hint="default" w:ascii="Times New Roman" w:hAnsi="Times New Roman" w:eastAsia="方正仿宋_GBK" w:cs="Times New Roman"/>
          <w:color w:val="auto"/>
          <w:sz w:val="32"/>
          <w:szCs w:val="20"/>
          <w:highlight w:val="none"/>
          <w:lang w:val="en-US" w:eastAsia="zh-CN"/>
        </w:rPr>
        <w:t>8.2</w:t>
      </w:r>
      <w:r>
        <w:rPr>
          <w:rFonts w:hint="default" w:ascii="Times New Roman" w:hAnsi="Times New Roman" w:eastAsia="方正仿宋_GBK" w:cs="Times New Roman"/>
          <w:color w:val="auto"/>
          <w:sz w:val="32"/>
          <w:szCs w:val="20"/>
          <w:highlight w:val="none"/>
        </w:rPr>
        <w:t>亿元，收入总计</w:t>
      </w:r>
      <w:r>
        <w:rPr>
          <w:rFonts w:hint="default" w:ascii="Times New Roman" w:hAnsi="Times New Roman" w:eastAsia="方正仿宋_GBK" w:cs="Times New Roman"/>
          <w:color w:val="auto"/>
          <w:sz w:val="32"/>
          <w:szCs w:val="20"/>
          <w:highlight w:val="none"/>
          <w:lang w:val="en-US" w:eastAsia="zh-CN"/>
        </w:rPr>
        <w:t>117.7</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74</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74.3</w:t>
      </w:r>
      <w:r>
        <w:rPr>
          <w:rFonts w:hint="default" w:ascii="Times New Roman" w:hAnsi="Times New Roman" w:eastAsia="方正仿宋_GBK" w:cs="Times New Roman"/>
          <w:color w:val="auto"/>
          <w:sz w:val="32"/>
          <w:szCs w:val="20"/>
          <w:highlight w:val="none"/>
        </w:rPr>
        <w:t>%。加上解上级支出</w:t>
      </w:r>
      <w:r>
        <w:rPr>
          <w:rFonts w:hint="default" w:ascii="Times New Roman" w:hAnsi="Times New Roman" w:eastAsia="方正仿宋_GBK" w:cs="Times New Roman"/>
          <w:color w:val="auto"/>
          <w:sz w:val="32"/>
          <w:szCs w:val="20"/>
          <w:highlight w:val="none"/>
          <w:lang w:val="en-US" w:eastAsia="zh-CN"/>
        </w:rPr>
        <w:t>3.5</w:t>
      </w:r>
      <w:r>
        <w:rPr>
          <w:rFonts w:hint="default" w:ascii="Times New Roman" w:hAnsi="Times New Roman" w:eastAsia="方正仿宋_GBK" w:cs="Times New Roman"/>
          <w:color w:val="auto"/>
          <w:sz w:val="32"/>
          <w:szCs w:val="20"/>
          <w:highlight w:val="none"/>
        </w:rPr>
        <w:t>亿元、补助下级支出</w:t>
      </w:r>
      <w:r>
        <w:rPr>
          <w:rFonts w:hint="default" w:ascii="Times New Roman" w:hAnsi="Times New Roman" w:eastAsia="方正仿宋_GBK" w:cs="Times New Roman"/>
          <w:color w:val="auto"/>
          <w:sz w:val="32"/>
          <w:szCs w:val="20"/>
          <w:highlight w:val="none"/>
          <w:lang w:val="en-US" w:eastAsia="zh-CN"/>
        </w:rPr>
        <w:t>6.6</w:t>
      </w:r>
      <w:r>
        <w:rPr>
          <w:rFonts w:hint="default" w:ascii="Times New Roman" w:hAnsi="Times New Roman" w:eastAsia="方正仿宋_GBK" w:cs="Times New Roman"/>
          <w:color w:val="auto"/>
          <w:sz w:val="32"/>
          <w:szCs w:val="20"/>
          <w:highlight w:val="none"/>
        </w:rPr>
        <w:t>亿元、地方政府专项债务还本支出</w:t>
      </w:r>
      <w:r>
        <w:rPr>
          <w:rFonts w:hint="default" w:ascii="Times New Roman" w:hAnsi="Times New Roman" w:eastAsia="方正仿宋_GBK" w:cs="Times New Roman"/>
          <w:color w:val="auto"/>
          <w:sz w:val="32"/>
          <w:szCs w:val="20"/>
          <w:highlight w:val="none"/>
          <w:lang w:val="en-US" w:eastAsia="zh-CN"/>
        </w:rPr>
        <w:t>3.9</w:t>
      </w:r>
      <w:r>
        <w:rPr>
          <w:rFonts w:hint="default" w:ascii="Times New Roman" w:hAnsi="Times New Roman" w:eastAsia="方正仿宋_GBK" w:cs="Times New Roman"/>
          <w:color w:val="auto"/>
          <w:sz w:val="32"/>
          <w:szCs w:val="20"/>
          <w:highlight w:val="none"/>
        </w:rPr>
        <w:t>亿元、调出资金</w:t>
      </w:r>
      <w:r>
        <w:rPr>
          <w:rFonts w:hint="default" w:ascii="Times New Roman" w:hAnsi="Times New Roman" w:eastAsia="方正仿宋_GBK" w:cs="Times New Roman"/>
          <w:color w:val="auto"/>
          <w:sz w:val="32"/>
          <w:szCs w:val="20"/>
          <w:highlight w:val="none"/>
          <w:lang w:val="en-US" w:eastAsia="zh-CN"/>
        </w:rPr>
        <w:t>18.4</w:t>
      </w:r>
      <w:r>
        <w:rPr>
          <w:rFonts w:hint="default" w:ascii="Times New Roman" w:hAnsi="Times New Roman" w:eastAsia="方正仿宋_GBK" w:cs="Times New Roman"/>
          <w:color w:val="auto"/>
          <w:sz w:val="32"/>
          <w:szCs w:val="20"/>
          <w:highlight w:val="none"/>
        </w:rPr>
        <w:t>亿元、结转下年支出</w:t>
      </w:r>
      <w:r>
        <w:rPr>
          <w:rFonts w:hint="default" w:ascii="Times New Roman" w:hAnsi="Times New Roman" w:eastAsia="方正仿宋_GBK" w:cs="Times New Roman"/>
          <w:color w:val="auto"/>
          <w:sz w:val="32"/>
          <w:szCs w:val="20"/>
          <w:highlight w:val="none"/>
          <w:lang w:val="en-US" w:eastAsia="zh-CN"/>
        </w:rPr>
        <w:t>11.3</w:t>
      </w:r>
      <w:r>
        <w:rPr>
          <w:rFonts w:hint="default" w:ascii="Times New Roman" w:hAnsi="Times New Roman" w:eastAsia="方正仿宋_GBK" w:cs="Times New Roman"/>
          <w:color w:val="auto"/>
          <w:sz w:val="32"/>
          <w:szCs w:val="20"/>
          <w:highlight w:val="none"/>
        </w:rPr>
        <w:t>亿元，支出总计</w:t>
      </w:r>
      <w:r>
        <w:rPr>
          <w:rFonts w:hint="default" w:ascii="Times New Roman" w:hAnsi="Times New Roman" w:eastAsia="方正仿宋_GBK" w:cs="Times New Roman"/>
          <w:color w:val="auto"/>
          <w:sz w:val="32"/>
          <w:szCs w:val="20"/>
          <w:highlight w:val="none"/>
          <w:lang w:val="en-US" w:eastAsia="zh-CN"/>
        </w:rPr>
        <w:t>117.7</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outlineLvl w:val="2"/>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3.国有资本经营预算</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——完成收入</w:t>
      </w:r>
      <w:r>
        <w:rPr>
          <w:rFonts w:hint="default" w:ascii="Times New Roman" w:hAnsi="Times New Roman" w:eastAsia="方正仿宋_GBK" w:cs="Times New Roman"/>
          <w:color w:val="auto"/>
          <w:sz w:val="32"/>
          <w:szCs w:val="20"/>
          <w:highlight w:val="none"/>
          <w:lang w:val="en-US" w:eastAsia="zh-CN"/>
        </w:rPr>
        <w:t>1.4</w:t>
      </w:r>
      <w:r>
        <w:rPr>
          <w:rFonts w:hint="default" w:ascii="Times New Roman" w:hAnsi="Times New Roman" w:eastAsia="方正仿宋_GBK" w:cs="Times New Roman"/>
          <w:color w:val="auto"/>
          <w:sz w:val="32"/>
          <w:szCs w:val="20"/>
          <w:highlight w:val="none"/>
        </w:rPr>
        <w:t>亿元，为预算的</w:t>
      </w:r>
      <w:r>
        <w:rPr>
          <w:rFonts w:hint="default" w:ascii="Times New Roman" w:hAnsi="Times New Roman" w:eastAsia="方正仿宋_GBK" w:cs="Times New Roman"/>
          <w:color w:val="auto"/>
          <w:sz w:val="32"/>
          <w:szCs w:val="20"/>
          <w:highlight w:val="none"/>
          <w:lang w:val="en-US" w:eastAsia="zh-CN"/>
        </w:rPr>
        <w:t>109</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下降55.1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加</w:t>
      </w:r>
      <w:r>
        <w:rPr>
          <w:rFonts w:hint="default" w:ascii="Times New Roman" w:hAnsi="Times New Roman" w:eastAsia="方正仿宋_GBK" w:cs="Times New Roman"/>
          <w:color w:val="auto"/>
          <w:sz w:val="32"/>
          <w:szCs w:val="20"/>
          <w:highlight w:val="none"/>
        </w:rPr>
        <w:t>上年结转结余</w:t>
      </w:r>
      <w:r>
        <w:rPr>
          <w:rFonts w:hint="default" w:ascii="Times New Roman" w:hAnsi="Times New Roman" w:eastAsia="方正仿宋_GBK" w:cs="Times New Roman"/>
          <w:color w:val="auto"/>
          <w:sz w:val="32"/>
          <w:szCs w:val="20"/>
          <w:highlight w:val="none"/>
          <w:lang w:val="en-US" w:eastAsia="zh-CN"/>
        </w:rPr>
        <w:t>248万元</w:t>
      </w:r>
      <w:r>
        <w:rPr>
          <w:rFonts w:hint="default" w:ascii="Times New Roman" w:hAnsi="Times New Roman" w:eastAsia="方正仿宋_GBK" w:cs="Times New Roman"/>
          <w:color w:val="auto"/>
          <w:sz w:val="32"/>
          <w:szCs w:val="20"/>
          <w:highlight w:val="none"/>
        </w:rPr>
        <w:t>，收入总计</w:t>
      </w:r>
      <w:r>
        <w:rPr>
          <w:rFonts w:hint="default" w:ascii="Times New Roman" w:hAnsi="Times New Roman" w:eastAsia="方正仿宋_GBK" w:cs="Times New Roman"/>
          <w:color w:val="auto"/>
          <w:sz w:val="32"/>
          <w:szCs w:val="20"/>
          <w:highlight w:val="none"/>
          <w:lang w:val="en-US" w:eastAsia="zh-CN"/>
        </w:rPr>
        <w:t>1.5</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——完成支出</w:t>
      </w:r>
      <w:r>
        <w:rPr>
          <w:rFonts w:hint="default" w:ascii="Times New Roman" w:hAnsi="Times New Roman" w:eastAsia="方正仿宋_GBK" w:cs="Times New Roman"/>
          <w:color w:val="auto"/>
          <w:sz w:val="32"/>
          <w:szCs w:val="20"/>
          <w:highlight w:val="none"/>
          <w:lang w:val="en-US" w:eastAsia="zh-CN"/>
        </w:rPr>
        <w:t>1.4</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71.6</w:t>
      </w:r>
      <w:r>
        <w:rPr>
          <w:rFonts w:hint="default" w:ascii="Times New Roman" w:hAnsi="Times New Roman" w:eastAsia="方正仿宋_GBK" w:cs="Times New Roman"/>
          <w:color w:val="auto"/>
          <w:sz w:val="32"/>
          <w:szCs w:val="20"/>
          <w:highlight w:val="none"/>
        </w:rPr>
        <w:t>%。加调出资金</w:t>
      </w:r>
      <w:r>
        <w:rPr>
          <w:rFonts w:hint="default" w:ascii="Times New Roman" w:hAnsi="Times New Roman" w:eastAsia="方正仿宋_GBK" w:cs="Times New Roman"/>
          <w:color w:val="auto"/>
          <w:sz w:val="32"/>
          <w:szCs w:val="20"/>
          <w:highlight w:val="none"/>
          <w:lang w:val="en-US" w:eastAsia="zh-CN"/>
        </w:rPr>
        <w:t>822万</w:t>
      </w:r>
      <w:r>
        <w:rPr>
          <w:rFonts w:hint="default" w:ascii="Times New Roman" w:hAnsi="Times New Roman" w:eastAsia="方正仿宋_GBK" w:cs="Times New Roman"/>
          <w:color w:val="auto"/>
          <w:sz w:val="32"/>
          <w:szCs w:val="20"/>
          <w:highlight w:val="none"/>
        </w:rPr>
        <w:t>元，支出总计</w:t>
      </w:r>
      <w:r>
        <w:rPr>
          <w:rFonts w:hint="default" w:ascii="Times New Roman" w:hAnsi="Times New Roman" w:eastAsia="方正仿宋_GBK" w:cs="Times New Roman"/>
          <w:color w:val="auto"/>
          <w:sz w:val="32"/>
          <w:szCs w:val="20"/>
          <w:highlight w:val="none"/>
          <w:lang w:val="en-US" w:eastAsia="zh-CN"/>
        </w:rPr>
        <w:t>1.5</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（四）万州经开区、渝东新区、镇乡街道预算执行情况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1.万州经开区</w:t>
      </w:r>
      <w:r>
        <w:rPr>
          <w:rFonts w:hint="default" w:ascii="Times New Roman" w:hAnsi="Times New Roman" w:eastAsia="方正仿宋_GBK" w:cs="Times New Roman"/>
          <w:color w:val="auto"/>
          <w:sz w:val="32"/>
          <w:szCs w:val="20"/>
          <w:highlight w:val="none"/>
        </w:rPr>
        <w:t>。一般公共预算收入</w:t>
      </w:r>
      <w:r>
        <w:rPr>
          <w:rFonts w:hint="default" w:ascii="Times New Roman" w:hAnsi="Times New Roman" w:eastAsia="方正仿宋_GBK" w:cs="Times New Roman"/>
          <w:color w:val="auto"/>
          <w:sz w:val="32"/>
          <w:szCs w:val="20"/>
          <w:highlight w:val="none"/>
          <w:lang w:val="en-US" w:eastAsia="zh-CN"/>
        </w:rPr>
        <w:t>18.7</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20.5</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11</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下降1.2</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15.6</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增长36</w:t>
      </w:r>
      <w:r>
        <w:rPr>
          <w:rFonts w:hint="default" w:ascii="Times New Roman" w:hAnsi="Times New Roman" w:eastAsia="方正仿宋_GBK" w:cs="Times New Roman"/>
          <w:color w:val="auto"/>
          <w:sz w:val="32"/>
          <w:szCs w:val="20"/>
          <w:highlight w:val="none"/>
        </w:rPr>
        <w:t>%。政府性基金预算收入</w:t>
      </w:r>
      <w:r>
        <w:rPr>
          <w:rFonts w:hint="default" w:ascii="Times New Roman" w:hAnsi="Times New Roman" w:eastAsia="方正仿宋_GBK" w:cs="Times New Roman"/>
          <w:color w:val="auto"/>
          <w:sz w:val="32"/>
          <w:szCs w:val="20"/>
          <w:highlight w:val="none"/>
          <w:lang w:val="en-US" w:eastAsia="zh-CN"/>
        </w:rPr>
        <w:t>33</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下降7.4</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40.2</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8.9</w:t>
      </w:r>
      <w:r>
        <w:rPr>
          <w:rFonts w:hint="default" w:ascii="Times New Roman" w:hAnsi="Times New Roman" w:eastAsia="方正仿宋_GBK" w:cs="Times New Roman"/>
          <w:color w:val="auto"/>
          <w:sz w:val="32"/>
          <w:szCs w:val="20"/>
          <w:highlight w:val="none"/>
        </w:rPr>
        <w:t>%。国有资本经营预算收入</w:t>
      </w:r>
      <w:r>
        <w:rPr>
          <w:rFonts w:hint="default" w:ascii="Times New Roman" w:hAnsi="Times New Roman" w:eastAsia="方正仿宋_GBK" w:cs="Times New Roman"/>
          <w:color w:val="auto"/>
          <w:sz w:val="32"/>
          <w:szCs w:val="20"/>
          <w:highlight w:val="none"/>
          <w:lang w:val="en-US" w:eastAsia="zh-CN"/>
        </w:rPr>
        <w:t>3</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增长233%</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3</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2.渝东新区</w:t>
      </w:r>
      <w:r>
        <w:rPr>
          <w:rFonts w:hint="default" w:ascii="Times New Roman" w:hAnsi="Times New Roman" w:eastAsia="方正仿宋_GBK" w:cs="Times New Roman"/>
          <w:color w:val="auto"/>
          <w:sz w:val="32"/>
          <w:szCs w:val="20"/>
          <w:highlight w:val="none"/>
        </w:rPr>
        <w:t>。一般公共预算收入</w:t>
      </w:r>
      <w:r>
        <w:rPr>
          <w:rFonts w:hint="default" w:ascii="Times New Roman" w:hAnsi="Times New Roman" w:eastAsia="方正仿宋_GBK" w:cs="Times New Roman"/>
          <w:color w:val="auto"/>
          <w:sz w:val="32"/>
          <w:szCs w:val="20"/>
          <w:highlight w:val="none"/>
          <w:lang w:val="en-US" w:eastAsia="zh-CN"/>
        </w:rPr>
        <w:t>3.6</w:t>
      </w:r>
      <w:r>
        <w:rPr>
          <w:rFonts w:hint="default" w:ascii="Times New Roman" w:hAnsi="Times New Roman" w:eastAsia="方正仿宋_GBK" w:cs="Times New Roman"/>
          <w:color w:val="auto"/>
          <w:sz w:val="32"/>
          <w:szCs w:val="20"/>
          <w:highlight w:val="none"/>
        </w:rPr>
        <w:t>亿元、下降</w:t>
      </w:r>
      <w:r>
        <w:rPr>
          <w:rFonts w:hint="default" w:ascii="Times New Roman" w:hAnsi="Times New Roman" w:eastAsia="方正仿宋_GBK" w:cs="Times New Roman"/>
          <w:color w:val="auto"/>
          <w:sz w:val="32"/>
          <w:szCs w:val="20"/>
          <w:highlight w:val="none"/>
          <w:lang w:val="en-US" w:eastAsia="zh-CN"/>
        </w:rPr>
        <w:t>42</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3.5</w:t>
      </w:r>
      <w:r>
        <w:rPr>
          <w:rFonts w:hint="default" w:ascii="Times New Roman" w:hAnsi="Times New Roman" w:eastAsia="方正仿宋_GBK" w:cs="Times New Roman"/>
          <w:color w:val="auto"/>
          <w:sz w:val="32"/>
          <w:szCs w:val="20"/>
          <w:highlight w:val="none"/>
        </w:rPr>
        <w:t>亿元、下降</w:t>
      </w:r>
      <w:r>
        <w:rPr>
          <w:rFonts w:hint="default" w:ascii="Times New Roman" w:hAnsi="Times New Roman" w:eastAsia="方正仿宋_GBK" w:cs="Times New Roman"/>
          <w:color w:val="auto"/>
          <w:sz w:val="32"/>
          <w:szCs w:val="20"/>
          <w:highlight w:val="none"/>
          <w:lang w:val="en-US" w:eastAsia="zh-CN"/>
        </w:rPr>
        <w:t>32.7</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2.9</w:t>
      </w:r>
      <w:r>
        <w:rPr>
          <w:rFonts w:hint="default" w:ascii="Times New Roman" w:hAnsi="Times New Roman" w:eastAsia="方正仿宋_GBK" w:cs="Times New Roman"/>
          <w:color w:val="auto"/>
          <w:sz w:val="32"/>
          <w:szCs w:val="20"/>
          <w:highlight w:val="none"/>
        </w:rPr>
        <w:t>亿元，下降</w:t>
      </w:r>
      <w:r>
        <w:rPr>
          <w:rFonts w:hint="default" w:ascii="Times New Roman" w:hAnsi="Times New Roman" w:eastAsia="方正仿宋_GBK" w:cs="Times New Roman"/>
          <w:color w:val="auto"/>
          <w:sz w:val="32"/>
          <w:szCs w:val="20"/>
          <w:highlight w:val="none"/>
          <w:lang w:val="en-US" w:eastAsia="zh-CN"/>
        </w:rPr>
        <w:t>48.9</w:t>
      </w:r>
      <w:r>
        <w:rPr>
          <w:rFonts w:hint="default" w:ascii="Times New Roman" w:hAnsi="Times New Roman" w:eastAsia="方正仿宋_GBK" w:cs="Times New Roman"/>
          <w:color w:val="auto"/>
          <w:sz w:val="32"/>
          <w:szCs w:val="20"/>
          <w:highlight w:val="none"/>
        </w:rPr>
        <w:t>%。政府性基金预算</w:t>
      </w:r>
      <w:r>
        <w:rPr>
          <w:rFonts w:hint="default" w:ascii="Times New Roman" w:hAnsi="Times New Roman" w:eastAsia="方正仿宋_GBK" w:cs="Times New Roman"/>
          <w:color w:val="auto"/>
          <w:sz w:val="32"/>
          <w:szCs w:val="20"/>
          <w:highlight w:val="none"/>
          <w:lang w:val="en-US" w:eastAsia="zh-CN"/>
        </w:rPr>
        <w:t>支出5.5亿元</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val="en-US" w:eastAsia="zh-CN"/>
        </w:rPr>
        <w:t>下降43.1</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支出来源主要是专项债券和上级专项补助</w:t>
      </w:r>
      <w:r>
        <w:rPr>
          <w:rFonts w:hint="default" w:ascii="Times New Roman" w:hAnsi="Times New Roman" w:eastAsia="方正仿宋_GBK" w:cs="Times New Roman"/>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3.镇乡街道</w:t>
      </w:r>
      <w:r>
        <w:rPr>
          <w:rFonts w:hint="default" w:ascii="Times New Roman" w:hAnsi="Times New Roman" w:eastAsia="方正仿宋_GBK" w:cs="Times New Roman"/>
          <w:color w:val="auto"/>
          <w:sz w:val="32"/>
          <w:szCs w:val="20"/>
          <w:highlight w:val="none"/>
        </w:rPr>
        <w:t>。一般公共预算收入</w:t>
      </w:r>
      <w:r>
        <w:rPr>
          <w:rFonts w:hint="default" w:ascii="Times New Roman" w:hAnsi="Times New Roman" w:eastAsia="方正仿宋_GBK" w:cs="Times New Roman"/>
          <w:color w:val="auto"/>
          <w:sz w:val="32"/>
          <w:szCs w:val="20"/>
          <w:highlight w:val="none"/>
          <w:lang w:val="en-US" w:eastAsia="zh-CN"/>
        </w:rPr>
        <w:t>3.1</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下降42.4</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2.8</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下降45.7</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22</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下降8.4</w:t>
      </w:r>
      <w:r>
        <w:rPr>
          <w:rFonts w:hint="default" w:ascii="Times New Roman" w:hAnsi="Times New Roman" w:eastAsia="方正仿宋_GBK" w:cs="Times New Roman"/>
          <w:color w:val="auto"/>
          <w:sz w:val="32"/>
          <w:szCs w:val="20"/>
          <w:highlight w:val="none"/>
        </w:rPr>
        <w:t>%。政府性基金预算收入</w:t>
      </w:r>
      <w:r>
        <w:rPr>
          <w:rFonts w:hint="default" w:ascii="Times New Roman" w:hAnsi="Times New Roman" w:eastAsia="方正仿宋_GBK" w:cs="Times New Roman"/>
          <w:color w:val="auto"/>
          <w:sz w:val="32"/>
          <w:szCs w:val="20"/>
          <w:highlight w:val="none"/>
          <w:lang w:val="en-US" w:eastAsia="zh-CN"/>
        </w:rPr>
        <w:t>777</w:t>
      </w:r>
      <w:r>
        <w:rPr>
          <w:rFonts w:hint="default" w:ascii="Times New Roman" w:hAnsi="Times New Roman" w:eastAsia="方正仿宋_GBK" w:cs="Times New Roman"/>
          <w:color w:val="auto"/>
          <w:sz w:val="32"/>
          <w:szCs w:val="20"/>
          <w:highlight w:val="none"/>
        </w:rPr>
        <w:t>万元，</w:t>
      </w:r>
      <w:r>
        <w:rPr>
          <w:rFonts w:hint="default" w:ascii="Times New Roman" w:hAnsi="Times New Roman" w:eastAsia="方正仿宋_GBK" w:cs="Times New Roman"/>
          <w:color w:val="auto"/>
          <w:sz w:val="32"/>
          <w:szCs w:val="20"/>
          <w:highlight w:val="none"/>
          <w:lang w:val="en-US" w:eastAsia="zh-CN"/>
        </w:rPr>
        <w:t>增长41.3</w:t>
      </w:r>
      <w:r>
        <w:rPr>
          <w:rFonts w:hint="default" w:ascii="Times New Roman" w:hAnsi="Times New Roman" w:eastAsia="方正仿宋_GBK" w:cs="Times New Roman"/>
          <w:color w:val="auto"/>
          <w:sz w:val="32"/>
          <w:szCs w:val="20"/>
          <w:highlight w:val="none"/>
        </w:rPr>
        <w:t>%；支出</w:t>
      </w:r>
      <w:r>
        <w:rPr>
          <w:rFonts w:hint="default" w:ascii="Times New Roman" w:hAnsi="Times New Roman" w:eastAsia="方正仿宋_GBK" w:cs="Times New Roman"/>
          <w:color w:val="auto"/>
          <w:sz w:val="32"/>
          <w:szCs w:val="20"/>
          <w:highlight w:val="none"/>
          <w:lang w:val="en-US" w:eastAsia="zh-CN"/>
        </w:rPr>
        <w:t>4.6</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增长7.9</w:t>
      </w:r>
      <w:r>
        <w:rPr>
          <w:rFonts w:hint="default" w:ascii="Times New Roman" w:hAnsi="Times New Roman" w:eastAsia="方正仿宋_GBK" w:cs="Times New Roman"/>
          <w:color w:val="auto"/>
          <w:sz w:val="32"/>
          <w:szCs w:val="2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（五）重点</w:t>
      </w:r>
      <w:r>
        <w:rPr>
          <w:rFonts w:hint="default" w:ascii="Times New Roman" w:hAnsi="Times New Roman" w:eastAsia="方正楷体_GBK" w:cs="Times New Roman"/>
          <w:color w:val="auto"/>
          <w:sz w:val="32"/>
          <w:szCs w:val="20"/>
          <w:highlight w:val="none"/>
          <w:lang w:val="en-US" w:eastAsia="zh-CN"/>
        </w:rPr>
        <w:t>专项</w:t>
      </w:r>
      <w:r>
        <w:rPr>
          <w:rFonts w:hint="default" w:ascii="Times New Roman" w:hAnsi="Times New Roman" w:eastAsia="方正楷体_GBK" w:cs="Times New Roman"/>
          <w:color w:val="auto"/>
          <w:sz w:val="32"/>
          <w:szCs w:val="20"/>
          <w:highlight w:val="none"/>
        </w:rPr>
        <w:t>事项</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1.上级转移支付资金使用情况</w:t>
      </w:r>
      <w:r>
        <w:rPr>
          <w:rFonts w:hint="default" w:ascii="Times New Roman" w:hAnsi="Times New Roman" w:eastAsia="方正仿宋_GBK" w:cs="Times New Roman"/>
          <w:color w:val="auto"/>
          <w:sz w:val="32"/>
          <w:szCs w:val="20"/>
          <w:highlight w:val="none"/>
        </w:rPr>
        <w:t>。202</w:t>
      </w:r>
      <w:r>
        <w:rPr>
          <w:rFonts w:hint="default" w:ascii="Times New Roman" w:hAnsi="Times New Roman" w:eastAsia="方正仿宋_GBK" w:cs="Times New Roman"/>
          <w:color w:val="auto"/>
          <w:sz w:val="32"/>
          <w:szCs w:val="20"/>
          <w:highlight w:val="none"/>
          <w:lang w:val="en-US" w:eastAsia="zh-CN"/>
        </w:rPr>
        <w:t>2</w:t>
      </w:r>
      <w:r>
        <w:rPr>
          <w:rFonts w:hint="default" w:ascii="Times New Roman" w:hAnsi="Times New Roman" w:eastAsia="方正仿宋_GBK" w:cs="Times New Roman"/>
          <w:color w:val="auto"/>
          <w:sz w:val="32"/>
          <w:szCs w:val="20"/>
          <w:highlight w:val="none"/>
        </w:rPr>
        <w:t>年，争取上级转移支付资金</w:t>
      </w:r>
      <w:r>
        <w:rPr>
          <w:rFonts w:hint="default" w:ascii="Times New Roman" w:hAnsi="Times New Roman" w:eastAsia="方正仿宋_GBK" w:cs="Times New Roman"/>
          <w:color w:val="auto"/>
          <w:sz w:val="32"/>
          <w:szCs w:val="20"/>
          <w:highlight w:val="none"/>
          <w:lang w:val="en-US" w:eastAsia="zh-CN"/>
        </w:rPr>
        <w:t>90.2</w:t>
      </w:r>
      <w:r>
        <w:rPr>
          <w:rFonts w:hint="default" w:ascii="Times New Roman" w:hAnsi="Times New Roman" w:eastAsia="方正仿宋_GBK" w:cs="Times New Roman"/>
          <w:color w:val="auto"/>
          <w:sz w:val="32"/>
          <w:szCs w:val="20"/>
          <w:highlight w:val="none"/>
        </w:rPr>
        <w:t>亿元</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rPr>
        <w:t>其中，返还性收入</w:t>
      </w:r>
      <w:r>
        <w:rPr>
          <w:rFonts w:hint="default" w:ascii="Times New Roman" w:hAnsi="Times New Roman" w:eastAsia="方正仿宋_GBK" w:cs="Times New Roman"/>
          <w:color w:val="auto"/>
          <w:sz w:val="32"/>
          <w:szCs w:val="20"/>
          <w:highlight w:val="none"/>
          <w:lang w:val="en-US" w:eastAsia="zh-CN"/>
        </w:rPr>
        <w:t>2.2亿元；</w:t>
      </w:r>
      <w:r>
        <w:rPr>
          <w:rFonts w:hint="default" w:ascii="Times New Roman" w:hAnsi="Times New Roman" w:eastAsia="方正仿宋_GBK" w:cs="Times New Roman"/>
          <w:color w:val="auto"/>
          <w:sz w:val="32"/>
          <w:szCs w:val="20"/>
          <w:highlight w:val="none"/>
        </w:rPr>
        <w:t>一般</w:t>
      </w:r>
      <w:r>
        <w:rPr>
          <w:rFonts w:hint="default" w:ascii="Times New Roman" w:hAnsi="Times New Roman" w:eastAsia="方正仿宋_GBK" w:cs="Times New Roman"/>
          <w:color w:val="auto"/>
          <w:sz w:val="32"/>
          <w:szCs w:val="20"/>
          <w:highlight w:val="none"/>
          <w:lang w:val="en-US" w:eastAsia="zh-CN"/>
        </w:rPr>
        <w:t>性</w:t>
      </w:r>
      <w:r>
        <w:rPr>
          <w:rFonts w:hint="default" w:ascii="Times New Roman" w:hAnsi="Times New Roman" w:eastAsia="方正仿宋_GBK" w:cs="Times New Roman"/>
          <w:color w:val="auto"/>
          <w:sz w:val="32"/>
          <w:szCs w:val="20"/>
          <w:highlight w:val="none"/>
        </w:rPr>
        <w:t>转移支付</w:t>
      </w:r>
      <w:r>
        <w:rPr>
          <w:rFonts w:hint="default" w:ascii="Times New Roman" w:hAnsi="Times New Roman" w:eastAsia="方正仿宋_GBK" w:cs="Times New Roman"/>
          <w:color w:val="auto"/>
          <w:sz w:val="32"/>
          <w:szCs w:val="20"/>
          <w:highlight w:val="none"/>
          <w:lang w:val="en-US" w:eastAsia="zh-CN"/>
        </w:rPr>
        <w:t>53.4</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财力性转移支付25.3亿元</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lang w:val="en-US" w:eastAsia="zh-CN"/>
        </w:rPr>
        <w:t>教育等共同事权转移支付25.3亿元</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lang w:val="en-US" w:eastAsia="zh-CN"/>
        </w:rPr>
        <w:t>其他一般性转移支付2.8亿元</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主要用于“三保”支出；专项转移支付</w:t>
      </w:r>
      <w:r>
        <w:rPr>
          <w:rFonts w:hint="default" w:ascii="Times New Roman" w:hAnsi="Times New Roman" w:eastAsia="方正仿宋_GBK" w:cs="Times New Roman"/>
          <w:color w:val="auto"/>
          <w:sz w:val="32"/>
          <w:szCs w:val="20"/>
          <w:highlight w:val="none"/>
          <w:lang w:val="en-US" w:eastAsia="zh-CN"/>
        </w:rPr>
        <w:t>34.6</w:t>
      </w:r>
      <w:r>
        <w:rPr>
          <w:rFonts w:hint="default" w:ascii="Times New Roman" w:hAnsi="Times New Roman" w:eastAsia="方正仿宋_GBK" w:cs="Times New Roman"/>
          <w:color w:val="auto"/>
          <w:sz w:val="32"/>
          <w:szCs w:val="20"/>
          <w:highlight w:val="none"/>
        </w:rPr>
        <w:t>亿元，主要用于</w:t>
      </w:r>
      <w:r>
        <w:rPr>
          <w:rFonts w:hint="default" w:ascii="Times New Roman" w:hAnsi="Times New Roman" w:eastAsia="方正仿宋_GBK" w:cs="Times New Roman"/>
          <w:color w:val="auto"/>
          <w:sz w:val="32"/>
          <w:szCs w:val="20"/>
          <w:highlight w:val="none"/>
          <w:lang w:val="en-US" w:eastAsia="zh-CN"/>
        </w:rPr>
        <w:t>社保、卫生、环保、农林水、交通、住房等</w:t>
      </w:r>
      <w:r>
        <w:rPr>
          <w:rFonts w:hint="default" w:ascii="Times New Roman" w:hAnsi="Times New Roman" w:eastAsia="方正仿宋_GBK" w:cs="Times New Roman"/>
          <w:color w:val="auto"/>
          <w:sz w:val="32"/>
          <w:szCs w:val="20"/>
          <w:highlight w:val="none"/>
        </w:rPr>
        <w:t>上级特定用途事项支出。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2.政府债务管控情况</w:t>
      </w:r>
      <w:r>
        <w:rPr>
          <w:rFonts w:hint="default" w:ascii="Times New Roman" w:hAnsi="Times New Roman" w:eastAsia="方正仿宋_GBK" w:cs="Times New Roman"/>
          <w:color w:val="auto"/>
          <w:sz w:val="32"/>
          <w:szCs w:val="20"/>
          <w:highlight w:val="none"/>
        </w:rPr>
        <w:t>。202</w:t>
      </w:r>
      <w:r>
        <w:rPr>
          <w:rFonts w:hint="default" w:ascii="Times New Roman" w:hAnsi="Times New Roman" w:eastAsia="方正仿宋_GBK" w:cs="Times New Roman"/>
          <w:color w:val="auto"/>
          <w:sz w:val="32"/>
          <w:szCs w:val="20"/>
          <w:highlight w:val="none"/>
          <w:lang w:val="en-US" w:eastAsia="zh-CN"/>
        </w:rPr>
        <w:t>2</w:t>
      </w:r>
      <w:r>
        <w:rPr>
          <w:rFonts w:hint="default" w:ascii="Times New Roman" w:hAnsi="Times New Roman" w:eastAsia="方正仿宋_GBK" w:cs="Times New Roman"/>
          <w:color w:val="auto"/>
          <w:sz w:val="32"/>
          <w:szCs w:val="20"/>
          <w:highlight w:val="none"/>
        </w:rPr>
        <w:t>年末，全区政府债务余额</w:t>
      </w:r>
      <w:r>
        <w:rPr>
          <w:rFonts w:hint="default" w:ascii="Times New Roman" w:hAnsi="Times New Roman" w:eastAsia="方正仿宋_GBK" w:cs="Times New Roman"/>
          <w:color w:val="auto"/>
          <w:sz w:val="32"/>
          <w:szCs w:val="20"/>
          <w:highlight w:val="none"/>
          <w:lang w:val="en-US" w:eastAsia="zh-CN"/>
        </w:rPr>
        <w:t>288.9</w:t>
      </w:r>
      <w:r>
        <w:rPr>
          <w:rFonts w:hint="default" w:ascii="Times New Roman" w:hAnsi="Times New Roman" w:eastAsia="方正仿宋_GBK" w:cs="Times New Roman"/>
          <w:color w:val="auto"/>
          <w:sz w:val="32"/>
          <w:szCs w:val="20"/>
          <w:highlight w:val="none"/>
        </w:rPr>
        <w:t>亿元，低于政府债务限额</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风险总体可控。全年新增</w:t>
      </w:r>
      <w:r>
        <w:rPr>
          <w:rFonts w:hint="eastAsia" w:ascii="Times New Roman" w:hAnsi="Times New Roman" w:eastAsia="方正仿宋_GBK" w:cs="Times New Roman"/>
          <w:color w:val="auto"/>
          <w:sz w:val="32"/>
          <w:szCs w:val="20"/>
          <w:highlight w:val="none"/>
          <w:lang w:val="en-US" w:eastAsia="zh-CN"/>
        </w:rPr>
        <w:t>地方</w:t>
      </w:r>
      <w:r>
        <w:rPr>
          <w:rFonts w:hint="default" w:ascii="Times New Roman" w:hAnsi="Times New Roman" w:eastAsia="方正仿宋_GBK" w:cs="Times New Roman"/>
          <w:color w:val="auto"/>
          <w:sz w:val="32"/>
          <w:szCs w:val="20"/>
          <w:highlight w:val="none"/>
        </w:rPr>
        <w:t>政府债券</w:t>
      </w:r>
      <w:r>
        <w:rPr>
          <w:rFonts w:hint="default" w:ascii="Times New Roman" w:hAnsi="Times New Roman" w:eastAsia="方正仿宋_GBK" w:cs="Times New Roman"/>
          <w:color w:val="auto"/>
          <w:sz w:val="32"/>
          <w:szCs w:val="20"/>
          <w:highlight w:val="none"/>
          <w:lang w:val="en-US" w:eastAsia="zh-CN"/>
        </w:rPr>
        <w:t>55.1</w:t>
      </w:r>
      <w:r>
        <w:rPr>
          <w:rFonts w:hint="default" w:ascii="Times New Roman" w:hAnsi="Times New Roman" w:eastAsia="方正仿宋_GBK" w:cs="Times New Roman"/>
          <w:color w:val="auto"/>
          <w:sz w:val="32"/>
          <w:szCs w:val="20"/>
          <w:highlight w:val="none"/>
        </w:rPr>
        <w:t>亿元；其中，一般债券3.4亿元；专项债券51.7亿元，主要用于万州机场扩建</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城乡供排水一体化</w:t>
      </w:r>
      <w:r>
        <w:rPr>
          <w:rFonts w:hint="default" w:ascii="Times New Roman" w:hAnsi="Times New Roman" w:eastAsia="方正仿宋_GBK" w:cs="Times New Roman"/>
          <w:color w:val="auto"/>
          <w:sz w:val="32"/>
          <w:szCs w:val="20"/>
          <w:highlight w:val="none"/>
        </w:rPr>
        <w:t>等</w:t>
      </w:r>
      <w:r>
        <w:rPr>
          <w:rFonts w:hint="default" w:ascii="Times New Roman" w:hAnsi="Times New Roman" w:eastAsia="方正仿宋_GBK" w:cs="Times New Roman"/>
          <w:color w:val="auto"/>
          <w:sz w:val="32"/>
          <w:szCs w:val="20"/>
          <w:highlight w:val="none"/>
          <w:lang w:val="en-US" w:eastAsia="zh-CN"/>
        </w:rPr>
        <w:t>32</w:t>
      </w:r>
      <w:r>
        <w:rPr>
          <w:rFonts w:hint="default" w:ascii="Times New Roman" w:hAnsi="Times New Roman" w:eastAsia="方正仿宋_GBK" w:cs="Times New Roman"/>
          <w:color w:val="auto"/>
          <w:sz w:val="32"/>
          <w:szCs w:val="20"/>
          <w:highlight w:val="none"/>
        </w:rPr>
        <w:t>个项目。争取再融资债券</w:t>
      </w:r>
      <w:r>
        <w:rPr>
          <w:rFonts w:hint="default" w:ascii="Times New Roman" w:hAnsi="Times New Roman" w:eastAsia="方正仿宋_GBK" w:cs="Times New Roman"/>
          <w:color w:val="auto"/>
          <w:sz w:val="32"/>
          <w:szCs w:val="20"/>
          <w:highlight w:val="none"/>
          <w:lang w:val="en-US" w:eastAsia="zh-CN"/>
        </w:rPr>
        <w:t>18.8</w:t>
      </w:r>
      <w:r>
        <w:rPr>
          <w:rFonts w:hint="default" w:ascii="Times New Roman" w:hAnsi="Times New Roman" w:eastAsia="方正仿宋_GBK" w:cs="Times New Roman"/>
          <w:color w:val="auto"/>
          <w:sz w:val="32"/>
          <w:szCs w:val="20"/>
          <w:highlight w:val="none"/>
        </w:rPr>
        <w:t>亿元，用于到期政府债务还本。偿还政府债务利息</w:t>
      </w:r>
      <w:r>
        <w:rPr>
          <w:rFonts w:hint="default" w:ascii="Times New Roman" w:hAnsi="Times New Roman" w:eastAsia="方正仿宋_GBK" w:cs="Times New Roman"/>
          <w:color w:val="auto"/>
          <w:sz w:val="32"/>
          <w:szCs w:val="20"/>
          <w:highlight w:val="none"/>
          <w:lang w:val="en-US" w:eastAsia="zh-CN"/>
        </w:rPr>
        <w:t>9.1</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主权外贷</w:t>
      </w:r>
      <w:r>
        <w:rPr>
          <w:rFonts w:hint="default" w:ascii="Times New Roman" w:hAnsi="Times New Roman" w:eastAsia="方正仿宋_GBK" w:cs="Times New Roman"/>
          <w:color w:val="auto"/>
          <w:sz w:val="32"/>
          <w:szCs w:val="20"/>
          <w:highlight w:val="none"/>
          <w:lang w:val="en-US" w:eastAsia="zh-CN"/>
        </w:rPr>
        <w:t>还本</w:t>
      </w:r>
      <w:r>
        <w:rPr>
          <w:rFonts w:hint="default" w:ascii="Times New Roman" w:hAnsi="Times New Roman" w:eastAsia="方正仿宋_GBK" w:cs="Times New Roman"/>
          <w:color w:val="auto"/>
          <w:sz w:val="32"/>
          <w:szCs w:val="20"/>
          <w:highlight w:val="none"/>
        </w:rPr>
        <w:t>0.</w:t>
      </w:r>
      <w:r>
        <w:rPr>
          <w:rFonts w:hint="default" w:ascii="Times New Roman" w:hAnsi="Times New Roman" w:eastAsia="方正仿宋_GBK" w:cs="Times New Roman"/>
          <w:color w:val="auto"/>
          <w:sz w:val="32"/>
          <w:szCs w:val="20"/>
          <w:highlight w:val="none"/>
          <w:lang w:val="en-US" w:eastAsia="zh-CN"/>
        </w:rPr>
        <w:t>2</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3.区对镇乡街道转移支付情况</w:t>
      </w:r>
      <w:r>
        <w:rPr>
          <w:rFonts w:hint="default" w:ascii="Times New Roman" w:hAnsi="Times New Roman" w:eastAsia="方正仿宋_GBK" w:cs="Times New Roman"/>
          <w:color w:val="auto"/>
          <w:sz w:val="32"/>
          <w:szCs w:val="20"/>
          <w:highlight w:val="none"/>
        </w:rPr>
        <w:t>。区对镇乡街道转移支付</w:t>
      </w:r>
      <w:r>
        <w:rPr>
          <w:rFonts w:hint="default" w:ascii="Times New Roman" w:hAnsi="Times New Roman" w:eastAsia="方正仿宋_GBK" w:cs="Times New Roman"/>
          <w:color w:val="auto"/>
          <w:sz w:val="32"/>
          <w:szCs w:val="20"/>
          <w:highlight w:val="none"/>
          <w:lang w:val="en-US" w:eastAsia="zh-CN"/>
        </w:rPr>
        <w:t>29.2</w:t>
      </w:r>
      <w:r>
        <w:rPr>
          <w:rFonts w:hint="default" w:ascii="Times New Roman" w:hAnsi="Times New Roman" w:eastAsia="方正仿宋_GBK" w:cs="Times New Roman"/>
          <w:color w:val="auto"/>
          <w:sz w:val="32"/>
          <w:szCs w:val="20"/>
          <w:highlight w:val="none"/>
        </w:rPr>
        <w:t>亿元。其中，一般性转移支付</w:t>
      </w:r>
      <w:r>
        <w:rPr>
          <w:rFonts w:hint="default" w:ascii="Times New Roman" w:hAnsi="Times New Roman" w:eastAsia="方正仿宋_GBK" w:cs="Times New Roman"/>
          <w:color w:val="auto"/>
          <w:sz w:val="32"/>
          <w:szCs w:val="20"/>
          <w:highlight w:val="none"/>
          <w:lang w:val="en-US" w:eastAsia="zh-CN"/>
        </w:rPr>
        <w:t>14.1</w:t>
      </w:r>
      <w:r>
        <w:rPr>
          <w:rFonts w:hint="default" w:ascii="Times New Roman" w:hAnsi="Times New Roman" w:eastAsia="方正仿宋_GBK" w:cs="Times New Roman"/>
          <w:color w:val="auto"/>
          <w:sz w:val="32"/>
          <w:szCs w:val="20"/>
          <w:highlight w:val="none"/>
        </w:rPr>
        <w:t>亿元，主要用于维持基层政权</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基层组织</w:t>
      </w:r>
      <w:r>
        <w:rPr>
          <w:rFonts w:hint="default" w:ascii="Times New Roman" w:hAnsi="Times New Roman" w:eastAsia="方正仿宋_GBK" w:cs="Times New Roman"/>
          <w:color w:val="auto"/>
          <w:sz w:val="32"/>
          <w:szCs w:val="20"/>
          <w:highlight w:val="none"/>
        </w:rPr>
        <w:t>稳定运转等；专项转移支付</w:t>
      </w:r>
      <w:r>
        <w:rPr>
          <w:rFonts w:hint="default" w:ascii="Times New Roman" w:hAnsi="Times New Roman" w:eastAsia="方正仿宋_GBK" w:cs="Times New Roman"/>
          <w:color w:val="auto"/>
          <w:sz w:val="32"/>
          <w:szCs w:val="20"/>
          <w:highlight w:val="none"/>
          <w:lang w:val="en-US" w:eastAsia="zh-CN"/>
        </w:rPr>
        <w:t>15.1</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重点支持</w:t>
      </w:r>
      <w:r>
        <w:rPr>
          <w:rFonts w:hint="eastAsia" w:ascii="Times New Roman" w:hAnsi="Times New Roman" w:eastAsia="方正仿宋_GBK" w:cs="Times New Roman"/>
          <w:color w:val="auto"/>
          <w:sz w:val="32"/>
          <w:szCs w:val="20"/>
          <w:highlight w:val="none"/>
          <w:lang w:val="en-US" w:eastAsia="zh-CN"/>
        </w:rPr>
        <w:t>农村</w:t>
      </w:r>
      <w:r>
        <w:rPr>
          <w:rFonts w:hint="default" w:ascii="Times New Roman" w:hAnsi="Times New Roman" w:eastAsia="方正仿宋_GBK" w:cs="Times New Roman"/>
          <w:color w:val="auto"/>
          <w:sz w:val="32"/>
          <w:szCs w:val="20"/>
          <w:highlight w:val="none"/>
          <w:lang w:val="en-US" w:eastAsia="zh-CN"/>
        </w:rPr>
        <w:t>基础设施建设</w:t>
      </w:r>
      <w:r>
        <w:rPr>
          <w:rFonts w:hint="eastAsia" w:ascii="Times New Roman" w:hAnsi="Times New Roman" w:eastAsia="方正仿宋_GBK" w:cs="Times New Roman"/>
          <w:color w:val="auto"/>
          <w:sz w:val="32"/>
          <w:szCs w:val="20"/>
          <w:highlight w:val="none"/>
          <w:lang w:val="en-US" w:eastAsia="zh-CN"/>
        </w:rPr>
        <w:t>、</w:t>
      </w:r>
      <w:r>
        <w:rPr>
          <w:rFonts w:hint="default" w:ascii="Times New Roman" w:hAnsi="Times New Roman" w:eastAsia="方正仿宋_GBK" w:cs="Times New Roman"/>
          <w:color w:val="auto"/>
          <w:sz w:val="32"/>
          <w:szCs w:val="20"/>
          <w:highlight w:val="none"/>
          <w:lang w:val="en-US" w:eastAsia="zh-CN"/>
        </w:rPr>
        <w:t>产业发展</w:t>
      </w:r>
      <w:r>
        <w:rPr>
          <w:rFonts w:hint="default" w:ascii="Times New Roman" w:hAnsi="Times New Roman" w:eastAsia="方正仿宋_GBK" w:cs="Times New Roman"/>
          <w:color w:val="auto"/>
          <w:sz w:val="32"/>
          <w:szCs w:val="20"/>
          <w:highlight w:val="none"/>
        </w:rPr>
        <w:t>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b/>
          <w:bCs/>
          <w:i w:val="0"/>
          <w:caps w:val="0"/>
          <w:color w:val="auto"/>
          <w:spacing w:val="0"/>
          <w:kern w:val="2"/>
          <w:sz w:val="32"/>
          <w:szCs w:val="20"/>
          <w:highlight w:val="none"/>
          <w:shd w:val="clear"/>
          <w:lang w:val="en-US" w:eastAsia="zh-CN" w:bidi="ar-SA"/>
        </w:rPr>
        <w:t>4.</w:t>
      </w:r>
      <w:r>
        <w:rPr>
          <w:rFonts w:hint="default" w:ascii="Times New Roman" w:hAnsi="Times New Roman" w:eastAsia="方正仿宋_GBK" w:cs="Times New Roman"/>
          <w:b/>
          <w:bCs/>
          <w:color w:val="auto"/>
          <w:sz w:val="32"/>
          <w:szCs w:val="20"/>
          <w:highlight w:val="none"/>
        </w:rPr>
        <w:t>预备费动用情况。</w:t>
      </w:r>
      <w:r>
        <w:rPr>
          <w:rFonts w:hint="default" w:ascii="Times New Roman" w:hAnsi="Times New Roman" w:eastAsia="方正仿宋_GBK" w:cs="Times New Roman"/>
          <w:color w:val="auto"/>
          <w:sz w:val="32"/>
          <w:szCs w:val="20"/>
          <w:highlight w:val="none"/>
        </w:rPr>
        <w:t>202</w:t>
      </w:r>
      <w:r>
        <w:rPr>
          <w:rFonts w:hint="default" w:ascii="Times New Roman" w:hAnsi="Times New Roman" w:eastAsia="方正仿宋_GBK" w:cs="Times New Roman"/>
          <w:color w:val="auto"/>
          <w:sz w:val="32"/>
          <w:szCs w:val="20"/>
          <w:highlight w:val="none"/>
          <w:lang w:val="en-US" w:eastAsia="zh-CN"/>
        </w:rPr>
        <w:t>2年，区级预算设置预备费1.1亿元，已全部按规定用途使用，主要用于核酸检测、购买防疫物资、方舱医院建设、租用隔离酒店等疫情防控支出。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lang w:val="en-US" w:eastAsia="zh-CN"/>
        </w:rPr>
        <w:t>5.</w:t>
      </w:r>
      <w:r>
        <w:rPr>
          <w:rFonts w:hint="default" w:ascii="Times New Roman" w:hAnsi="Times New Roman" w:eastAsia="方正仿宋_GBK" w:cs="Times New Roman"/>
          <w:b/>
          <w:bCs/>
          <w:color w:val="auto"/>
          <w:sz w:val="32"/>
          <w:szCs w:val="20"/>
          <w:highlight w:val="none"/>
        </w:rPr>
        <w:t>“三公”经费支出情况。</w:t>
      </w:r>
      <w:r>
        <w:rPr>
          <w:rFonts w:hint="default" w:ascii="Times New Roman" w:hAnsi="Times New Roman" w:eastAsia="方正仿宋_GBK" w:cs="Times New Roman"/>
          <w:color w:val="auto"/>
          <w:sz w:val="32"/>
          <w:szCs w:val="20"/>
          <w:highlight w:val="none"/>
        </w:rPr>
        <w:t>2022年</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区级“三公”经费支出4297.4万元，下降2.</w:t>
      </w:r>
      <w:r>
        <w:rPr>
          <w:rFonts w:hint="default" w:ascii="Times New Roman" w:hAnsi="Times New Roman" w:eastAsia="方正仿宋_GBK" w:cs="Times New Roman"/>
          <w:color w:val="auto"/>
          <w:sz w:val="32"/>
          <w:szCs w:val="20"/>
          <w:highlight w:val="none"/>
          <w:lang w:eastAsia="zh-CN"/>
        </w:rPr>
        <w:t>4</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其中</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rPr>
        <w:t>因公出国（境）费3.9万元，公务接待费605万元，公务用车购置及运行维护费3688.5万元。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lang w:val="en-US" w:eastAsia="zh-CN"/>
        </w:rPr>
        <w:t>6</w:t>
      </w:r>
      <w:r>
        <w:rPr>
          <w:rFonts w:hint="default" w:ascii="Times New Roman" w:hAnsi="Times New Roman" w:eastAsia="方正仿宋_GBK" w:cs="Times New Roman"/>
          <w:b/>
          <w:bCs/>
          <w:color w:val="auto"/>
          <w:sz w:val="32"/>
          <w:szCs w:val="20"/>
          <w:highlight w:val="none"/>
        </w:rPr>
        <w:t>.自觉接受有关监督情况</w:t>
      </w:r>
      <w:r>
        <w:rPr>
          <w:rFonts w:hint="default" w:ascii="Times New Roman" w:hAnsi="Times New Roman" w:eastAsia="方正仿宋_GBK" w:cs="Times New Roman"/>
          <w:color w:val="auto"/>
          <w:sz w:val="32"/>
          <w:szCs w:val="20"/>
          <w:highlight w:val="none"/>
        </w:rPr>
        <w:t>。</w:t>
      </w:r>
      <w:r>
        <w:rPr>
          <w:rFonts w:ascii="Times New Roman" w:hAnsi="Times New Roman" w:eastAsia="方正仿宋_GBK"/>
          <w:color w:val="auto"/>
          <w:sz w:val="32"/>
          <w:szCs w:val="32"/>
          <w:highlight w:val="none"/>
        </w:rPr>
        <w:t>恪守</w:t>
      </w:r>
      <w:r>
        <w:rPr>
          <w:rFonts w:hint="default"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以公开为常态</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不公开为例外</w:t>
      </w:r>
      <w:r>
        <w:rPr>
          <w:rFonts w:hint="default"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的原则</w:t>
      </w:r>
      <w:r>
        <w:rPr>
          <w:rFonts w:hint="default" w:ascii="Times New Roman" w:hAnsi="Times New Roman" w:eastAsia="方正仿宋_GBK"/>
          <w:color w:val="auto"/>
          <w:sz w:val="32"/>
          <w:szCs w:val="32"/>
          <w:highlight w:val="none"/>
          <w:lang w:val="en-US" w:eastAsia="zh-CN"/>
        </w:rPr>
        <w:t>，</w:t>
      </w:r>
      <w:r>
        <w:rPr>
          <w:rFonts w:ascii="Times New Roman" w:hAnsi="Times New Roman" w:eastAsia="方正仿宋_GBK"/>
          <w:color w:val="auto"/>
          <w:sz w:val="32"/>
          <w:szCs w:val="32"/>
          <w:highlight w:val="none"/>
        </w:rPr>
        <w:t>增强主动公开意识</w:t>
      </w:r>
      <w:r>
        <w:rPr>
          <w:rFonts w:hint="default" w:ascii="Times New Roman" w:hAnsi="Times New Roman" w:eastAsia="方正仿宋_GBK"/>
          <w:color w:val="auto"/>
          <w:sz w:val="32"/>
          <w:szCs w:val="32"/>
          <w:highlight w:val="none"/>
          <w:lang w:eastAsia="zh-CN"/>
        </w:rPr>
        <w:t>，</w:t>
      </w:r>
      <w:r>
        <w:rPr>
          <w:rFonts w:hint="default" w:ascii="Times New Roman" w:hAnsi="Times New Roman" w:eastAsia="方正仿宋_GBK"/>
          <w:color w:val="auto"/>
          <w:sz w:val="32"/>
          <w:szCs w:val="32"/>
          <w:highlight w:val="none"/>
          <w:lang w:val="en-US" w:eastAsia="zh-CN"/>
        </w:rPr>
        <w:t>提升预决算公开“含金量”</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持续打造阳光透明财政</w:t>
      </w:r>
      <w:r>
        <w:rPr>
          <w:rFonts w:hint="default" w:ascii="Times New Roman" w:hAnsi="Times New Roman" w:eastAsia="方正仿宋_GBK"/>
          <w:color w:val="auto"/>
          <w:sz w:val="32"/>
          <w:szCs w:val="32"/>
          <w:highlight w:val="none"/>
          <w:lang w:val="en-US" w:eastAsia="zh-CN"/>
        </w:rPr>
        <w:t>。</w:t>
      </w:r>
      <w:r>
        <w:rPr>
          <w:rFonts w:hint="default" w:ascii="Times New Roman" w:hAnsi="Times New Roman" w:eastAsia="方正仿宋_GBK" w:cs="Times New Roman"/>
          <w:color w:val="auto"/>
          <w:sz w:val="32"/>
          <w:szCs w:val="20"/>
          <w:highlight w:val="none"/>
        </w:rPr>
        <w:t>政府预算编制、执行、调整、决算情况依法向区人大及其常委会报告，专题报告国有资产综合管理</w:t>
      </w:r>
      <w:r>
        <w:rPr>
          <w:rFonts w:hint="default" w:ascii="Times New Roman" w:hAnsi="Times New Roman" w:eastAsia="方正仿宋_GBK" w:cs="Times New Roman"/>
          <w:color w:val="auto"/>
          <w:sz w:val="32"/>
          <w:szCs w:val="20"/>
          <w:highlight w:val="none"/>
          <w:lang w:val="en-US" w:eastAsia="zh-CN"/>
        </w:rPr>
        <w:t>及政府债务管控</w:t>
      </w:r>
      <w:r>
        <w:rPr>
          <w:rFonts w:hint="default" w:ascii="Times New Roman" w:hAnsi="Times New Roman" w:eastAsia="方正仿宋_GBK" w:cs="Times New Roman"/>
          <w:color w:val="auto"/>
          <w:sz w:val="32"/>
          <w:szCs w:val="20"/>
          <w:highlight w:val="none"/>
        </w:rPr>
        <w:t>情况。</w:t>
      </w:r>
      <w:r>
        <w:rPr>
          <w:rFonts w:hint="default" w:ascii="Times New Roman" w:hAnsi="Times New Roman" w:eastAsia="方正仿宋_GBK" w:cs="Times New Roman"/>
          <w:color w:val="auto"/>
          <w:sz w:val="32"/>
          <w:szCs w:val="20"/>
          <w:highlight w:val="none"/>
          <w:lang w:val="en-US" w:eastAsia="zh-CN"/>
        </w:rPr>
        <w:t>坚持把人大代表、政协委员的建议和提案作为改进财政工作的重要抓手，</w:t>
      </w:r>
      <w:r>
        <w:rPr>
          <w:rFonts w:hint="default" w:ascii="Times New Roman" w:hAnsi="Times New Roman" w:eastAsia="方正仿宋_GBK" w:cs="Times New Roman"/>
          <w:color w:val="auto"/>
          <w:sz w:val="32"/>
          <w:szCs w:val="20"/>
          <w:highlight w:val="none"/>
        </w:rPr>
        <w:t>全面办结涉及财政的区人大建议、区政协提案</w:t>
      </w:r>
      <w:r>
        <w:rPr>
          <w:rFonts w:hint="default" w:ascii="Times New Roman" w:hAnsi="Times New Roman" w:eastAsia="方正仿宋_GBK" w:cs="Times New Roman"/>
          <w:color w:val="auto"/>
          <w:sz w:val="32"/>
          <w:szCs w:val="20"/>
          <w:highlight w:val="none"/>
          <w:lang w:val="en-US" w:eastAsia="zh-CN"/>
        </w:rPr>
        <w:t>9</w:t>
      </w:r>
      <w:r>
        <w:rPr>
          <w:rFonts w:hint="default" w:ascii="Times New Roman" w:hAnsi="Times New Roman" w:eastAsia="方正仿宋_GBK" w:cs="Times New Roman"/>
          <w:color w:val="auto"/>
          <w:sz w:val="32"/>
          <w:szCs w:val="20"/>
          <w:highlight w:val="none"/>
        </w:rPr>
        <w:t>件，满意度</w:t>
      </w:r>
      <w:r>
        <w:rPr>
          <w:rFonts w:hint="default" w:ascii="Times New Roman" w:hAnsi="Times New Roman" w:eastAsia="方正仿宋_GBK" w:cs="Times New Roman"/>
          <w:color w:val="auto"/>
          <w:sz w:val="32"/>
          <w:szCs w:val="20"/>
          <w:highlight w:val="none"/>
          <w:lang w:val="en-US" w:eastAsia="zh-CN"/>
        </w:rPr>
        <w:t>100</w:t>
      </w:r>
      <w:r>
        <w:rPr>
          <w:rFonts w:hint="default" w:ascii="Times New Roman" w:hAnsi="Times New Roman" w:eastAsia="方正仿宋_GBK" w:cs="Times New Roman"/>
          <w:color w:val="auto"/>
          <w:sz w:val="32"/>
          <w:szCs w:val="20"/>
          <w:highlight w:val="none"/>
        </w:rPr>
        <w:t>%。强化审计问题整改，202</w:t>
      </w:r>
      <w:r>
        <w:rPr>
          <w:rFonts w:hint="default" w:ascii="Times New Roman" w:hAnsi="Times New Roman" w:eastAsia="方正仿宋_GBK" w:cs="Times New Roman"/>
          <w:color w:val="auto"/>
          <w:sz w:val="32"/>
          <w:szCs w:val="20"/>
          <w:highlight w:val="none"/>
          <w:lang w:val="en-US" w:eastAsia="zh-CN"/>
        </w:rPr>
        <w:t>2</w:t>
      </w:r>
      <w:r>
        <w:rPr>
          <w:rFonts w:hint="default" w:ascii="Times New Roman" w:hAnsi="Times New Roman" w:eastAsia="方正仿宋_GBK" w:cs="Times New Roman"/>
          <w:color w:val="auto"/>
          <w:sz w:val="32"/>
          <w:szCs w:val="20"/>
          <w:highlight w:val="none"/>
        </w:rPr>
        <w:t>年度审计反馈问题整改完成率</w:t>
      </w:r>
      <w:r>
        <w:rPr>
          <w:rFonts w:hint="default" w:ascii="Times New Roman" w:hAnsi="Times New Roman" w:eastAsia="方正仿宋_GBK" w:cs="Times New Roman"/>
          <w:color w:val="auto"/>
          <w:sz w:val="32"/>
          <w:szCs w:val="20"/>
          <w:highlight w:val="none"/>
          <w:lang w:val="en-US" w:eastAsia="zh-CN"/>
        </w:rPr>
        <w:t>84.4</w:t>
      </w:r>
      <w:r>
        <w:rPr>
          <w:rFonts w:hint="default" w:ascii="Times New Roman" w:hAnsi="Times New Roman" w:eastAsia="方正仿宋_GBK" w:cs="Times New Roman"/>
          <w:color w:val="auto"/>
          <w:sz w:val="32"/>
          <w:szCs w:val="20"/>
          <w:highlight w:val="none"/>
        </w:rPr>
        <w:t>%，未完成事项整改正有力有序推进。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二、2022年财政工作情况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2022年，全区财政按照</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疫情要防住、经济要稳住、发展要安全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的要求，扎实推进财政增收节支促发展防风险若干措施，为全区经济高质量发展、社会大局和谐稳定提供有力保障。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（一）坚持稳中求进，着力稳定经济大盘</w:t>
      </w:r>
      <w:r>
        <w:rPr>
          <w:rFonts w:hint="default" w:ascii="Times New Roman" w:hAnsi="Times New Roman" w:eastAsia="方正仿宋_GBK" w:cs="Times New Roman"/>
          <w:color w:val="auto"/>
          <w:sz w:val="32"/>
          <w:szCs w:val="32"/>
          <w:highlight w:val="none"/>
          <w:lang w:val="en-US" w:eastAsia="zh-CN"/>
        </w:rPr>
        <w:t>。抓好稳住经济一揽子政策和接续政策、加快经济恢复提振十条措施落实，积极推出促进经济高质量发展的产业政策，加强政策协同，推动经济运行在合理区间。</w:t>
      </w:r>
      <w:r>
        <w:rPr>
          <w:rFonts w:hint="default" w:ascii="Times New Roman" w:hAnsi="Times New Roman" w:eastAsia="方正黑体_GBK" w:cs="Times New Roman"/>
          <w:color w:val="auto"/>
          <w:sz w:val="32"/>
          <w:szCs w:val="32"/>
          <w:highlight w:val="none"/>
          <w:lang w:val="en-US" w:eastAsia="zh-CN"/>
        </w:rPr>
        <w:t>着力稳企业保就业</w:t>
      </w:r>
      <w:r>
        <w:rPr>
          <w:rFonts w:hint="default" w:ascii="Times New Roman" w:hAnsi="Times New Roman" w:eastAsia="方正仿宋_GBK" w:cs="Times New Roman"/>
          <w:color w:val="auto"/>
          <w:sz w:val="32"/>
          <w:szCs w:val="32"/>
          <w:highlight w:val="none"/>
          <w:lang w:val="en-US" w:eastAsia="zh-CN"/>
        </w:rPr>
        <w:t>。全面落实新的组合式税费支持政策16.8亿元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其中增值税留抵退税9.7亿元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新增减税降费4.6亿元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缓缴税费2.5亿元，切实减轻企业负担，增加企业现金流。用好政府采购政策，加大中小微企业支持力度</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年合同金额20.2亿元，其中中小微企业中标金额17.3亿元。持续优化金融环境，成功创建重庆市普惠金融发展示范区，获得奖补资金3500万元，设立普惠金融风险补偿、乡村振兴绿色贷款贴息等5类资金池，促进中小微企业融资增量、扩面、降本。坚持就业优先导向，兑现就业补贴、创业担保贷款贴息、失业保险稳岗返还等资金1.6亿元，促进重点人群创业就业。</w:t>
      </w:r>
      <w:r>
        <w:rPr>
          <w:rFonts w:hint="default" w:ascii="Times New Roman" w:hAnsi="Times New Roman" w:eastAsia="方正黑体_GBK" w:cs="Times New Roman"/>
          <w:color w:val="auto"/>
          <w:sz w:val="32"/>
          <w:szCs w:val="32"/>
          <w:highlight w:val="none"/>
          <w:lang w:val="en-US" w:eastAsia="zh-CN"/>
        </w:rPr>
        <w:t>着力稳投资促消费</w:t>
      </w:r>
      <w:r>
        <w:rPr>
          <w:rFonts w:hint="default" w:ascii="Times New Roman" w:hAnsi="Times New Roman" w:eastAsia="方正仿宋_GBK" w:cs="Times New Roman"/>
          <w:color w:val="auto"/>
          <w:sz w:val="32"/>
          <w:szCs w:val="32"/>
          <w:highlight w:val="none"/>
          <w:lang w:val="en-US" w:eastAsia="zh-CN"/>
        </w:rPr>
        <w:t>。发行新增地方政府债券55.1亿元，支持一批补短板、增后劲、惠民生的重点项目建设，扩大有效投资。落实新能源</w:t>
      </w:r>
      <w:r>
        <w:rPr>
          <w:rFonts w:hint="eastAsia" w:ascii="Times New Roman" w:hAnsi="Times New Roman" w:eastAsia="方正仿宋_GBK" w:cs="Times New Roman"/>
          <w:color w:val="auto"/>
          <w:sz w:val="32"/>
          <w:szCs w:val="32"/>
          <w:highlight w:val="none"/>
          <w:lang w:val="en-US" w:eastAsia="zh-CN"/>
        </w:rPr>
        <w:t>汽车</w:t>
      </w:r>
      <w:r>
        <w:rPr>
          <w:rFonts w:hint="default" w:ascii="Times New Roman" w:hAnsi="Times New Roman" w:eastAsia="方正仿宋_GBK" w:cs="Times New Roman"/>
          <w:color w:val="auto"/>
          <w:sz w:val="32"/>
          <w:szCs w:val="32"/>
          <w:highlight w:val="none"/>
          <w:lang w:val="en-US" w:eastAsia="zh-CN"/>
        </w:rPr>
        <w:t>购置补贴、免征车辆购置税等政策，实施夏秋两季网上房交会、非万州籍及区内高校应届毕业生购房契税补贴政策，促进消费持续恢复。</w:t>
      </w:r>
      <w:r>
        <w:rPr>
          <w:rFonts w:hint="default" w:ascii="Times New Roman" w:hAnsi="Times New Roman" w:eastAsia="方正黑体_GBK" w:cs="Times New Roman"/>
          <w:color w:val="auto"/>
          <w:sz w:val="32"/>
          <w:szCs w:val="32"/>
          <w:highlight w:val="none"/>
          <w:lang w:val="en-US" w:eastAsia="zh-CN"/>
        </w:rPr>
        <w:t>着力稳供应链强产业链</w:t>
      </w:r>
      <w:r>
        <w:rPr>
          <w:rFonts w:hint="default" w:ascii="Times New Roman" w:hAnsi="Times New Roman" w:eastAsia="方正仿宋_GBK" w:cs="Times New Roman"/>
          <w:color w:val="auto"/>
          <w:sz w:val="32"/>
          <w:szCs w:val="32"/>
          <w:highlight w:val="none"/>
          <w:lang w:val="en-US" w:eastAsia="zh-CN"/>
        </w:rPr>
        <w:t>。围绕构建“5+10”现代化工业体系、“4+4+2”现代化服务业体系、“7+5”现代化农业体系，出台支持工业强区和现代服务业、现代农业高质量发展若干政策、支持建筑业高质量发展“十条措施”、挂牌上市企业奖励政策、鼓励房地产企业自持商业扶持政策等，推动传统产业改造升级和战略性新兴产业培育壮大，补强产业链薄弱环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（二）坚持有保有压，切实保障重点支出</w:t>
      </w:r>
      <w:r>
        <w:rPr>
          <w:rFonts w:hint="default" w:ascii="Times New Roman" w:hAnsi="Times New Roman" w:eastAsia="方正仿宋_GBK" w:cs="Times New Roman"/>
          <w:color w:val="auto"/>
          <w:sz w:val="32"/>
          <w:szCs w:val="32"/>
          <w:highlight w:val="none"/>
          <w:lang w:val="en-US" w:eastAsia="zh-CN"/>
        </w:rPr>
        <w:t>。用好用活新增地方政府债券资金，加强三峡后续、对口支援、涉农等专项资金统筹，持续优化支出结构，确保全区</w:t>
      </w:r>
      <w:r>
        <w:rPr>
          <w:rFonts w:hint="eastAsia" w:ascii="Times New Roman" w:hAnsi="Times New Roman" w:eastAsia="方正仿宋_GBK" w:cs="Times New Roman"/>
          <w:color w:val="auto"/>
          <w:sz w:val="32"/>
          <w:szCs w:val="32"/>
          <w:highlight w:val="none"/>
          <w:lang w:val="en-US" w:eastAsia="zh-CN"/>
        </w:rPr>
        <w:t>重点</w:t>
      </w:r>
      <w:r>
        <w:rPr>
          <w:rFonts w:hint="default" w:ascii="Times New Roman" w:hAnsi="Times New Roman" w:eastAsia="方正仿宋_GBK" w:cs="Times New Roman"/>
          <w:color w:val="auto"/>
          <w:sz w:val="32"/>
          <w:szCs w:val="32"/>
          <w:highlight w:val="none"/>
          <w:lang w:val="en-US" w:eastAsia="zh-CN"/>
        </w:rPr>
        <w:t>任务、重大项目落地落实。</w:t>
      </w:r>
      <w:r>
        <w:rPr>
          <w:rFonts w:hint="default" w:ascii="Times New Roman" w:hAnsi="Times New Roman" w:eastAsia="方正黑体_GBK" w:cs="Times New Roman"/>
          <w:color w:val="auto"/>
          <w:sz w:val="32"/>
          <w:szCs w:val="32"/>
          <w:highlight w:val="none"/>
          <w:lang w:val="en-US" w:eastAsia="zh-CN"/>
        </w:rPr>
        <w:t>支持区域协调发展</w:t>
      </w:r>
      <w:r>
        <w:rPr>
          <w:rFonts w:hint="default" w:ascii="Times New Roman" w:hAnsi="Times New Roman" w:eastAsia="方正仿宋_GBK" w:cs="Times New Roman"/>
          <w:color w:val="auto"/>
          <w:sz w:val="32"/>
          <w:szCs w:val="32"/>
          <w:highlight w:val="none"/>
          <w:lang w:val="en-US" w:eastAsia="zh-CN"/>
        </w:rPr>
        <w:t>。支持新田港铁路集疏运中心、万达直线、开梁高速等项目建设，落实万开城际公交运营补贴政策，推动万达开一体化发展、万开云同城化发展；投入资金4亿元，加快万州机场改扩建工程建设，落实航线培育补贴资金，推动对外开放发展。</w:t>
      </w:r>
      <w:r>
        <w:rPr>
          <w:rFonts w:hint="default" w:ascii="Times New Roman" w:hAnsi="Times New Roman" w:eastAsia="方正黑体_GBK" w:cs="Times New Roman"/>
          <w:color w:val="auto"/>
          <w:sz w:val="32"/>
          <w:szCs w:val="32"/>
          <w:highlight w:val="none"/>
          <w:lang w:val="en-US" w:eastAsia="zh-CN"/>
        </w:rPr>
        <w:t>支持城市更新提升</w:t>
      </w:r>
      <w:r>
        <w:rPr>
          <w:rFonts w:hint="default" w:ascii="Times New Roman" w:hAnsi="Times New Roman" w:eastAsia="方正仿宋_GBK" w:cs="Times New Roman"/>
          <w:color w:val="auto"/>
          <w:sz w:val="32"/>
          <w:szCs w:val="32"/>
          <w:highlight w:val="none"/>
          <w:lang w:val="en-US" w:eastAsia="zh-CN"/>
        </w:rPr>
        <w:t>。投入资金12.7亿元，加快完善渝东健康产业园区、新田产业园区等基础设施；投入资金5.3亿元，保障市政维护和城市运行；投入资金</w:t>
      </w:r>
      <w:r>
        <w:rPr>
          <w:rFonts w:hint="default" w:ascii="Times New Roman" w:hAnsi="Times New Roman" w:eastAsia="方正仿宋_GBK" w:cs="Times New Roman"/>
          <w:color w:val="auto"/>
          <w:sz w:val="32"/>
          <w:szCs w:val="32"/>
          <w:highlight w:val="none"/>
          <w:shd w:val="clear"/>
          <w:lang w:val="en-US" w:eastAsia="zh-CN"/>
        </w:rPr>
        <w:t>11</w:t>
      </w:r>
      <w:r>
        <w:rPr>
          <w:rFonts w:hint="default" w:ascii="Times New Roman" w:hAnsi="Times New Roman" w:eastAsia="方正仿宋_GBK" w:cs="Times New Roman"/>
          <w:color w:val="auto"/>
          <w:sz w:val="32"/>
          <w:szCs w:val="32"/>
          <w:highlight w:val="none"/>
          <w:lang w:val="en-US" w:eastAsia="zh-CN"/>
        </w:rPr>
        <w:t>亿元，加快西山动物园迁建，完善滨江环湖旅游基础设施；支持创建全国文明城区和国家卫生城区。</w:t>
      </w:r>
      <w:r>
        <w:rPr>
          <w:rFonts w:hint="default" w:ascii="Times New Roman" w:hAnsi="Times New Roman" w:eastAsia="方正黑体_GBK" w:cs="Times New Roman"/>
          <w:color w:val="auto"/>
          <w:sz w:val="32"/>
          <w:szCs w:val="32"/>
          <w:highlight w:val="none"/>
          <w:lang w:val="en-US" w:eastAsia="zh-CN"/>
        </w:rPr>
        <w:t>支持全面推进乡村振兴。</w:t>
      </w:r>
      <w:r>
        <w:rPr>
          <w:rFonts w:hint="default" w:ascii="Times New Roman" w:hAnsi="Times New Roman" w:eastAsia="方正仿宋_GBK" w:cs="Times New Roman"/>
          <w:color w:val="auto"/>
          <w:sz w:val="32"/>
          <w:szCs w:val="32"/>
          <w:highlight w:val="none"/>
          <w:lang w:val="en-US" w:eastAsia="zh-CN"/>
        </w:rPr>
        <w:t>投入财政衔接推进乡村振兴补助资金2.5亿元、涉农统筹整合资金4.8亿元，推动巩固拓展脱贫攻坚成果</w:t>
      </w:r>
      <w:r>
        <w:rPr>
          <w:rFonts w:hint="eastAsia" w:ascii="Times New Roman" w:hAnsi="Times New Roman" w:eastAsia="方正仿宋_GBK" w:cs="Times New Roman"/>
          <w:color w:val="auto"/>
          <w:sz w:val="32"/>
          <w:szCs w:val="32"/>
          <w:highlight w:val="none"/>
          <w:lang w:val="en-US" w:eastAsia="zh-CN"/>
        </w:rPr>
        <w:t>同</w:t>
      </w:r>
      <w:r>
        <w:rPr>
          <w:rFonts w:hint="default" w:ascii="Times New Roman" w:hAnsi="Times New Roman" w:eastAsia="方正仿宋_GBK" w:cs="Times New Roman"/>
          <w:color w:val="auto"/>
          <w:sz w:val="32"/>
          <w:szCs w:val="32"/>
          <w:highlight w:val="none"/>
          <w:lang w:val="en-US" w:eastAsia="zh-CN"/>
        </w:rPr>
        <w:t>乡村振兴有效衔接；投入水利发展专项资金1.3亿元，支持实施中小河流治理、水土保持、农村饮水安全保障等项目；投入资金0.9亿元，新建高标准农田10万亩，巩固提升粮食安全保障能力；投入资金1500万元，支持30个村壮大集体经济；投入资金0.4亿元，持续改善农村人居环境；投入资金1.3亿元，完成“四好农村路”220公里、通镇乡干线公路升级改造12.9公里。</w:t>
      </w:r>
      <w:r>
        <w:rPr>
          <w:rFonts w:hint="default" w:ascii="Times New Roman" w:hAnsi="Times New Roman" w:eastAsia="方正黑体_GBK" w:cs="Times New Roman"/>
          <w:color w:val="auto"/>
          <w:sz w:val="32"/>
          <w:szCs w:val="32"/>
          <w:highlight w:val="none"/>
          <w:lang w:val="en-US" w:eastAsia="zh-CN"/>
        </w:rPr>
        <w:t>支持减污降碳绿色发展。</w:t>
      </w:r>
      <w:r>
        <w:rPr>
          <w:rFonts w:hint="default" w:ascii="Times New Roman" w:hAnsi="Times New Roman" w:eastAsia="方正仿宋_GBK" w:cs="Times New Roman"/>
          <w:color w:val="auto"/>
          <w:sz w:val="32"/>
          <w:szCs w:val="32"/>
          <w:highlight w:val="none"/>
          <w:lang w:val="en-US" w:eastAsia="zh-CN"/>
        </w:rPr>
        <w:t>投入资金4亿元，加快推进城乡供排水一体化工程，建成城乡污水管网223公里、海绵城市4.8平方公里，保障城乡污水处理厂运行维护；投入资金1.1亿元，支持“两岸青山、千里林带”建设，推进铁峰山国家森林公园生态修复，开展山水林田湖草沙系统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（三）坚持尽力而为，兜牢基本民生底线</w:t>
      </w:r>
      <w:r>
        <w:rPr>
          <w:rFonts w:hint="default" w:ascii="Times New Roman" w:hAnsi="Times New Roman" w:eastAsia="方正仿宋_GBK" w:cs="Times New Roman"/>
          <w:color w:val="auto"/>
          <w:sz w:val="32"/>
          <w:szCs w:val="32"/>
          <w:highlight w:val="none"/>
          <w:lang w:val="en-US" w:eastAsia="zh-CN"/>
        </w:rPr>
        <w:t>。聚焦基础性、普惠性、兜底性民生保障建设，全面落实民生政策，持续加大民生投入，切实保障和改善民生。</w:t>
      </w:r>
      <w:r>
        <w:rPr>
          <w:rFonts w:hint="default" w:ascii="Times New Roman" w:hAnsi="Times New Roman" w:eastAsia="方正黑体_GBK" w:cs="Times New Roman"/>
          <w:color w:val="auto"/>
          <w:sz w:val="32"/>
          <w:szCs w:val="32"/>
          <w:highlight w:val="none"/>
          <w:lang w:val="en-US" w:eastAsia="zh-CN"/>
        </w:rPr>
        <w:t>稳步提升社会保障水平</w:t>
      </w:r>
      <w:r>
        <w:rPr>
          <w:rFonts w:hint="default" w:ascii="Times New Roman" w:hAnsi="Times New Roman" w:eastAsia="方正仿宋_GBK" w:cs="Times New Roman"/>
          <w:color w:val="auto"/>
          <w:sz w:val="32"/>
          <w:szCs w:val="32"/>
          <w:highlight w:val="none"/>
          <w:lang w:val="en-US" w:eastAsia="zh-CN"/>
        </w:rPr>
        <w:t>。落实困难群众救助资金4亿元，全面保障城乡低保、特困、孤儿等群众待遇，加大临时救助力度，支持残疾人事业发展；安排优抚、计生奖励资金2.5亿元，切实维护优抚对象和计生家庭合法权益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22项惠民惠农财政补贴资金纳入“一卡通”管理系统规范高效发放。投入资金1.3亿元，建成保障性安居住房1.5万平方米，</w:t>
      </w:r>
      <w:r>
        <w:rPr>
          <w:rFonts w:hint="eastAsia" w:ascii="Times New Roman" w:hAnsi="Times New Roman" w:eastAsia="方正仿宋_GBK" w:cs="Times New Roman"/>
          <w:color w:val="auto"/>
          <w:sz w:val="32"/>
          <w:szCs w:val="32"/>
          <w:highlight w:val="none"/>
          <w:lang w:val="en-US" w:eastAsia="zh-CN"/>
        </w:rPr>
        <w:t>改造</w:t>
      </w:r>
      <w:r>
        <w:rPr>
          <w:rFonts w:hint="default" w:ascii="Times New Roman" w:hAnsi="Times New Roman" w:eastAsia="方正仿宋_GBK" w:cs="Times New Roman"/>
          <w:color w:val="auto"/>
          <w:sz w:val="32"/>
          <w:szCs w:val="32"/>
          <w:highlight w:val="none"/>
          <w:lang w:val="en-US" w:eastAsia="zh-CN"/>
        </w:rPr>
        <w:t>老旧小区88个、棚户区25户、农村危房258户。</w:t>
      </w:r>
      <w:r>
        <w:rPr>
          <w:rFonts w:hint="default" w:ascii="Times New Roman" w:hAnsi="Times New Roman" w:eastAsia="方正黑体_GBK" w:cs="Times New Roman"/>
          <w:color w:val="auto"/>
          <w:sz w:val="32"/>
          <w:szCs w:val="32"/>
          <w:highlight w:val="none"/>
          <w:lang w:val="en-US" w:eastAsia="zh-CN"/>
        </w:rPr>
        <w:t>支持办好人民满意教育</w:t>
      </w:r>
      <w:r>
        <w:rPr>
          <w:rFonts w:hint="default" w:ascii="Times New Roman" w:hAnsi="Times New Roman" w:eastAsia="方正仿宋_GBK" w:cs="Times New Roman"/>
          <w:color w:val="auto"/>
          <w:sz w:val="32"/>
          <w:szCs w:val="32"/>
          <w:highlight w:val="none"/>
          <w:lang w:val="en-US" w:eastAsia="zh-CN"/>
        </w:rPr>
        <w:t>。落实“两个只增不减”要求，持续优化教育支出结构，投入资金27.9亿元，推动学前教育普及普惠发展、义务教育优质均衡发展、高中教育高质量发展，支持职业教育学校创建“双优”。</w:t>
      </w:r>
      <w:r>
        <w:rPr>
          <w:rFonts w:hint="default" w:ascii="Times New Roman" w:hAnsi="Times New Roman" w:eastAsia="方正黑体_GBK" w:cs="Times New Roman"/>
          <w:color w:val="auto"/>
          <w:sz w:val="32"/>
          <w:szCs w:val="32"/>
          <w:highlight w:val="none"/>
          <w:lang w:val="en-US" w:eastAsia="zh-CN"/>
        </w:rPr>
        <w:t>推进卫生健康体系建设</w:t>
      </w:r>
      <w:r>
        <w:rPr>
          <w:rFonts w:hint="default" w:ascii="Times New Roman" w:hAnsi="Times New Roman" w:eastAsia="方正仿宋_GBK" w:cs="Times New Roman"/>
          <w:color w:val="auto"/>
          <w:sz w:val="32"/>
          <w:szCs w:val="32"/>
          <w:highlight w:val="none"/>
          <w:lang w:val="en-US" w:eastAsia="zh-CN"/>
        </w:rPr>
        <w:t>。投入资金3.6亿元，全力支持新冠疫情防控。投入资金7.1亿元，支持上海医院迁建、三峡公共卫生应急医院、三峡医学中心等项目建设，扩大优质医疗资源供给。投入资金1.2亿元，用于基层医疗卫生机构基本药物制度补助。</w:t>
      </w:r>
      <w:r>
        <w:rPr>
          <w:rFonts w:hint="default" w:ascii="Times New Roman" w:hAnsi="Times New Roman" w:eastAsia="方正黑体_GBK" w:cs="Times New Roman"/>
          <w:color w:val="auto"/>
          <w:sz w:val="32"/>
          <w:szCs w:val="32"/>
          <w:highlight w:val="none"/>
          <w:lang w:val="en-US" w:eastAsia="zh-CN"/>
        </w:rPr>
        <w:t>促进文化体育事业发展</w:t>
      </w:r>
      <w:r>
        <w:rPr>
          <w:rFonts w:hint="default" w:ascii="Times New Roman" w:hAnsi="Times New Roman" w:eastAsia="方正仿宋_GBK" w:cs="Times New Roman"/>
          <w:color w:val="auto"/>
          <w:sz w:val="32"/>
          <w:szCs w:val="32"/>
          <w:highlight w:val="none"/>
          <w:lang w:val="en-US" w:eastAsia="zh-CN"/>
        </w:rPr>
        <w:t>。投入资金0.8亿元，支持城乡公共文化服务体系一体建设，广泛开展全民健身活动；出台文艺院团舞台艺术精品创作奖补政策，支持文艺作品创作推广、优秀传统文化传承发展。</w:t>
      </w:r>
      <w:r>
        <w:rPr>
          <w:rFonts w:hint="default" w:ascii="Times New Roman" w:hAnsi="Times New Roman" w:eastAsia="方正黑体_GBK" w:cs="Times New Roman"/>
          <w:color w:val="auto"/>
          <w:sz w:val="32"/>
          <w:szCs w:val="32"/>
          <w:highlight w:val="none"/>
          <w:lang w:val="en-US" w:eastAsia="zh-CN"/>
        </w:rPr>
        <w:t>维护安全稳定的社会环境</w:t>
      </w:r>
      <w:r>
        <w:rPr>
          <w:rFonts w:hint="default" w:ascii="Times New Roman" w:hAnsi="Times New Roman" w:eastAsia="方正仿宋_GBK" w:cs="Times New Roman"/>
          <w:color w:val="auto"/>
          <w:sz w:val="32"/>
          <w:szCs w:val="32"/>
          <w:highlight w:val="none"/>
          <w:lang w:val="en-US" w:eastAsia="zh-CN"/>
        </w:rPr>
        <w:t>。投入资金1亿元，加强应急装备和物资储备，加快应急救援基地建设，全力保障防火防汛抗旱工作；投入资金0.3亿元，支持农村道路生命安全防护工程建设；投入资金1.4亿元，实施地灾治理及避险搬迁；投入资金7.7亿元，支持基层治安维稳、扫黑除恶、反恐禁毒等，切实维护人民群众生命财产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（四）坚持系统推进，持续深化财政改革</w:t>
      </w:r>
      <w:r>
        <w:rPr>
          <w:rFonts w:hint="default" w:ascii="Times New Roman" w:hAnsi="Times New Roman" w:eastAsia="方正仿宋_GBK" w:cs="Times New Roman"/>
          <w:color w:val="auto"/>
          <w:sz w:val="32"/>
          <w:szCs w:val="32"/>
          <w:highlight w:val="none"/>
          <w:lang w:val="en-US" w:eastAsia="zh-CN"/>
        </w:rPr>
        <w:t>。发挥财税改革“突破口”“先行军”作用，纵深推进财政治理体系和治理能力现代化。</w:t>
      </w:r>
      <w:r>
        <w:rPr>
          <w:rFonts w:hint="default" w:ascii="Times New Roman" w:hAnsi="Times New Roman" w:eastAsia="方正黑体_GBK" w:cs="Times New Roman"/>
          <w:color w:val="auto"/>
          <w:sz w:val="32"/>
          <w:szCs w:val="32"/>
          <w:highlight w:val="none"/>
          <w:lang w:val="en-US" w:eastAsia="zh-CN"/>
        </w:rPr>
        <w:t>优化调整财政管理体制</w:t>
      </w:r>
      <w:r>
        <w:rPr>
          <w:rFonts w:hint="default" w:ascii="Times New Roman" w:hAnsi="Times New Roman" w:eastAsia="方正仿宋_GBK" w:cs="Times New Roman"/>
          <w:color w:val="auto"/>
          <w:sz w:val="32"/>
          <w:szCs w:val="32"/>
          <w:highlight w:val="none"/>
          <w:lang w:val="en-US" w:eastAsia="zh-CN"/>
        </w:rPr>
        <w:t>。完成镇乡街道财政管理体制调整，下划税源、下放权限，实行分类管理，配套实施工程项目结余等激励性转移支付制度，健全违反财经纪律的惩戒机制，促进镇乡街道培育市场主体、推动经济发展。完成万州经开区财政管理体制调整，调减定额上解基数，支持万州经开区发挥工业主战场、主阵地作用。</w:t>
      </w:r>
      <w:r>
        <w:rPr>
          <w:rFonts w:hint="default" w:ascii="Times New Roman" w:hAnsi="Times New Roman" w:eastAsia="方正黑体_GBK" w:cs="Times New Roman"/>
          <w:color w:val="auto"/>
          <w:sz w:val="32"/>
          <w:szCs w:val="32"/>
          <w:highlight w:val="none"/>
          <w:lang w:val="en-US" w:eastAsia="zh-CN"/>
        </w:rPr>
        <w:t>健全完善预算管理制度</w:t>
      </w:r>
      <w:r>
        <w:rPr>
          <w:rFonts w:hint="default" w:ascii="Times New Roman" w:hAnsi="Times New Roman" w:eastAsia="方正仿宋_GBK" w:cs="Times New Roman"/>
          <w:color w:val="auto"/>
          <w:sz w:val="32"/>
          <w:szCs w:val="32"/>
          <w:highlight w:val="none"/>
          <w:lang w:val="en-US" w:eastAsia="zh-CN"/>
        </w:rPr>
        <w:t>。接续推进预算管理一体化改革，将万州经开区、渝东新区纳入一体化管理，实现预算管理一体化全覆盖。出台区级部门和单位非财政拨款资金预算管理暂行办法，增强部门预算的完整性和政府调控能力。修订区级财政存量资金管理办法，开展财政代管资金和实体账户资金清理清收，盘活存量资金9.5亿元。</w:t>
      </w:r>
      <w:r>
        <w:rPr>
          <w:rFonts w:hint="default" w:ascii="Times New Roman" w:hAnsi="Times New Roman" w:eastAsia="方正黑体_GBK" w:cs="Times New Roman"/>
          <w:color w:val="auto"/>
          <w:sz w:val="32"/>
          <w:szCs w:val="32"/>
          <w:highlight w:val="none"/>
          <w:lang w:val="en-US" w:eastAsia="zh-CN"/>
        </w:rPr>
        <w:t>持续深化绩效管理改革</w:t>
      </w:r>
      <w:r>
        <w:rPr>
          <w:rFonts w:hint="default" w:ascii="Times New Roman" w:hAnsi="Times New Roman" w:eastAsia="方正仿宋_GBK" w:cs="Times New Roman"/>
          <w:color w:val="auto"/>
          <w:sz w:val="32"/>
          <w:szCs w:val="32"/>
          <w:highlight w:val="none"/>
          <w:lang w:val="en-US" w:eastAsia="zh-CN"/>
        </w:rPr>
        <w:t>。全方位、全过程、全覆盖推进预算绩效管理，部门整体和项目支出绩效目标编制实现全覆盖，开展部门整体绩效试点自评30个、财政重点绩效评价项目10个，实现项目绩效自评全覆盖。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（五）坚持底线思维，防范化解重大风险</w:t>
      </w:r>
      <w:r>
        <w:rPr>
          <w:rFonts w:hint="default" w:ascii="Times New Roman" w:hAnsi="Times New Roman" w:eastAsia="方正仿宋_GBK" w:cs="Times New Roman"/>
          <w:color w:val="auto"/>
          <w:sz w:val="32"/>
          <w:szCs w:val="32"/>
          <w:highlight w:val="none"/>
          <w:lang w:val="en-US" w:eastAsia="zh-CN"/>
        </w:rPr>
        <w:t>。统筹发展和安全，兼顾当前和长远，把防风险放在更加突出的位置，牢牢守住不发生系统性风险的底线。</w:t>
      </w:r>
      <w:r>
        <w:rPr>
          <w:rFonts w:hint="default" w:ascii="Times New Roman" w:hAnsi="Times New Roman" w:eastAsia="方正黑体_GBK" w:cs="Times New Roman"/>
          <w:color w:val="auto"/>
          <w:sz w:val="32"/>
          <w:szCs w:val="32"/>
          <w:highlight w:val="none"/>
          <w:lang w:val="en-US" w:eastAsia="zh-CN"/>
        </w:rPr>
        <w:t>严防运行风险</w:t>
      </w:r>
      <w:r>
        <w:rPr>
          <w:rFonts w:hint="default" w:ascii="Times New Roman" w:hAnsi="Times New Roman" w:eastAsia="方正仿宋_GBK" w:cs="Times New Roman"/>
          <w:color w:val="auto"/>
          <w:sz w:val="32"/>
          <w:szCs w:val="32"/>
          <w:highlight w:val="none"/>
          <w:lang w:val="en-US" w:eastAsia="zh-CN"/>
        </w:rPr>
        <w:t>。建立财税收入月调度机制，组建6个协税护税工作专班，加强重点税源服务和管理，严防跑冒滴漏；动态完善非税成本管理办法，加大存量资产资源盘活力度；出台区级部门向上争取资金激励措施，安排项目前期工作经费1360万元，</w:t>
      </w:r>
      <w:r>
        <w:rPr>
          <w:rFonts w:hint="eastAsia" w:ascii="Times New Roman" w:hAnsi="Times New Roman" w:eastAsia="方正仿宋_GBK" w:cs="Times New Roman"/>
          <w:color w:val="auto"/>
          <w:sz w:val="32"/>
          <w:szCs w:val="32"/>
          <w:highlight w:val="none"/>
          <w:lang w:val="en-US" w:eastAsia="zh-CN"/>
        </w:rPr>
        <w:t>支持激励积极向上争取，</w:t>
      </w:r>
      <w:r>
        <w:rPr>
          <w:rFonts w:hint="default" w:ascii="Times New Roman" w:hAnsi="Times New Roman" w:eastAsia="方正仿宋_GBK" w:cs="Times New Roman"/>
          <w:color w:val="auto"/>
          <w:sz w:val="32"/>
          <w:szCs w:val="32"/>
          <w:highlight w:val="none"/>
          <w:lang w:val="en-US" w:eastAsia="zh-CN"/>
        </w:rPr>
        <w:t>上级转移支付同比增加10亿元，着力做大财力“蛋糕”。在千方百计挖潜增收的同时，严格预算执行约束，严控新增支出，</w:t>
      </w:r>
      <w:r>
        <w:rPr>
          <w:rFonts w:hint="eastAsia" w:ascii="Times New Roman" w:hAnsi="Times New Roman" w:eastAsia="方正仿宋_GBK" w:cs="Times New Roman"/>
          <w:color w:val="auto"/>
          <w:sz w:val="32"/>
          <w:szCs w:val="32"/>
          <w:highlight w:val="none"/>
          <w:lang w:val="en-US" w:eastAsia="zh-CN"/>
        </w:rPr>
        <w:t>压减一般性支出2.4亿元，</w:t>
      </w:r>
      <w:r>
        <w:rPr>
          <w:rFonts w:hint="default" w:ascii="Times New Roman" w:hAnsi="Times New Roman" w:eastAsia="方正仿宋_GBK" w:cs="Times New Roman"/>
          <w:color w:val="auto"/>
          <w:sz w:val="32"/>
          <w:szCs w:val="32"/>
          <w:highlight w:val="none"/>
          <w:lang w:val="en-US" w:eastAsia="zh-CN"/>
        </w:rPr>
        <w:t>确保财政运行平稳有序。</w:t>
      </w:r>
      <w:r>
        <w:rPr>
          <w:rFonts w:hint="default" w:ascii="Times New Roman" w:hAnsi="Times New Roman" w:eastAsia="方正黑体_GBK" w:cs="Times New Roman"/>
          <w:color w:val="auto"/>
          <w:sz w:val="32"/>
          <w:szCs w:val="32"/>
          <w:highlight w:val="none"/>
          <w:lang w:val="en-US" w:eastAsia="zh-CN"/>
        </w:rPr>
        <w:t>严控债务风险</w:t>
      </w:r>
      <w:r>
        <w:rPr>
          <w:rFonts w:hint="default" w:ascii="Times New Roman" w:hAnsi="Times New Roman" w:eastAsia="方正仿宋_GBK" w:cs="Times New Roman"/>
          <w:color w:val="auto"/>
          <w:sz w:val="32"/>
          <w:szCs w:val="32"/>
          <w:highlight w:val="none"/>
          <w:lang w:val="en-US" w:eastAsia="zh-CN"/>
        </w:rPr>
        <w:t>。加强债务风险监测预警，保持新增隐性债务高压严管态势，完成年度隐性债务化解任务，着力将政府性债务控制在适度规模、政府债务率控制在合理水平。推进国有资产清理及优化利用，制定国有资产优化利用方案，分类注入区属重点国企，切实降低国企资产负债率，释放平台类公司融资空间。</w:t>
      </w:r>
      <w:r>
        <w:rPr>
          <w:rFonts w:hint="default" w:ascii="Times New Roman" w:hAnsi="Times New Roman" w:eastAsia="方正黑体_GBK" w:cs="Times New Roman"/>
          <w:color w:val="auto"/>
          <w:sz w:val="32"/>
          <w:szCs w:val="32"/>
          <w:highlight w:val="none"/>
          <w:lang w:val="en-US" w:eastAsia="zh-CN"/>
        </w:rPr>
        <w:t>严肃财经纪律</w:t>
      </w:r>
      <w:r>
        <w:rPr>
          <w:rFonts w:hint="default" w:ascii="Times New Roman" w:hAnsi="Times New Roman" w:eastAsia="方正仿宋_GBK" w:cs="Times New Roman"/>
          <w:color w:val="auto"/>
          <w:sz w:val="32"/>
          <w:szCs w:val="32"/>
          <w:highlight w:val="none"/>
          <w:lang w:val="en-US" w:eastAsia="zh-CN"/>
        </w:rPr>
        <w:t>。认真履行财会监督主责，严格落实财政监督检查要求，扎实开展财经秩序专项整治行动，加大问题查处力度。严格政府投资项目评审，规范评审工作流程，提升项目评审质量和效率，全年评审项目627个、审减金额2亿元、审减率4.1%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各位代表！2022年</w:t>
      </w:r>
      <w:r>
        <w:rPr>
          <w:rFonts w:hint="eastAsia" w:ascii="Times New Roman" w:hAnsi="Times New Roman" w:eastAsia="方正仿宋_GBK" w:cs="Times New Roman"/>
          <w:color w:val="auto"/>
          <w:sz w:val="32"/>
          <w:szCs w:val="32"/>
          <w:highlight w:val="none"/>
          <w:lang w:val="en-US" w:eastAsia="zh-CN"/>
        </w:rPr>
        <w:t>全区</w:t>
      </w:r>
      <w:r>
        <w:rPr>
          <w:rFonts w:hint="default" w:ascii="Times New Roman" w:hAnsi="Times New Roman" w:eastAsia="方正仿宋_GBK" w:cs="Times New Roman"/>
          <w:color w:val="auto"/>
          <w:sz w:val="32"/>
          <w:szCs w:val="32"/>
          <w:highlight w:val="none"/>
          <w:lang w:val="en-US" w:eastAsia="zh-CN"/>
        </w:rPr>
        <w:t>财政运行总体平稳，财政改革取得新的进展。但预算执行和财政工作还面临一些困难和问题：财政收支矛盾逐年加剧，“紧平衡”特征逐年凸显；一些部门和单位落实过紧日子措施还不到位，资金浪费现象仍较突出；绩效目标体系尚不健全，绩效过程管理不够严格，绩效评价结果应用还有差距；部分项目储备和前期工作不足，项目进度不理想，预算执行偏慢，资金使用效率有待提高。我们高度重视这些问题，将一以贯之持续发力，切实采取有效措施予以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三、2023年预算草案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2023年，是全面贯彻落实党的二十大精神的开局之年，是“十四五”承上启下的关键之年，做好预算编制和财政工作意义重大。我们将始终坚持以政领财、以财辅政，准确把握财经形势，科学编制财政预算，全面深化财政改革，为加快“一区一枢纽两中心”建设提供坚实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（一）2023年财政收支形势分析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2023年，外部环境更趋复杂严峻，我国经济恢复的基础尚不牢固，需求收缩、供给冲击、预期转弱三重压力仍然较大，我区产业结构性问题仍然突出，发展动能整体不强，疫情冲击效应仍在持续，经济金融风险隐患不少，经济运行仍然存在不少问题、短板和挑战，财政收支形势仍然严峻。</w:t>
      </w:r>
      <w:r>
        <w:rPr>
          <w:rFonts w:hint="default" w:ascii="Times New Roman" w:hAnsi="Times New Roman" w:eastAsia="方正黑体_GBK" w:cs="Times New Roman"/>
          <w:color w:val="auto"/>
          <w:sz w:val="32"/>
          <w:szCs w:val="32"/>
          <w:highlight w:val="none"/>
          <w:lang w:val="en-US" w:eastAsia="zh-CN"/>
        </w:rPr>
        <w:t>财政收入方面</w:t>
      </w:r>
      <w:r>
        <w:rPr>
          <w:rFonts w:hint="default" w:ascii="Times New Roman" w:hAnsi="Times New Roman" w:eastAsia="方正仿宋_GBK" w:cs="Times New Roman"/>
          <w:color w:val="auto"/>
          <w:sz w:val="32"/>
          <w:szCs w:val="32"/>
          <w:highlight w:val="none"/>
          <w:lang w:val="en-US" w:eastAsia="zh-CN"/>
        </w:rPr>
        <w:t>，经济下行压力持续加大，产业链供应链还不稳固，居民消费意愿下降，同时国家将根据实际情况延续、优化税费支持政策，一般公共预算收入面临较大不确定性；房地产行业深度调整，波及建筑业等上下游产业发展，土地市场信心短期内难以全面恢复，土地出让形势不容乐观，财政收入增长面临诸多制约因素。</w:t>
      </w:r>
      <w:r>
        <w:rPr>
          <w:rFonts w:hint="default" w:ascii="Times New Roman" w:hAnsi="Times New Roman" w:eastAsia="方正黑体_GBK" w:cs="Times New Roman"/>
          <w:color w:val="auto"/>
          <w:sz w:val="32"/>
          <w:szCs w:val="32"/>
          <w:highlight w:val="none"/>
        </w:rPr>
        <w:t>财政支出</w:t>
      </w:r>
      <w:r>
        <w:rPr>
          <w:rFonts w:hint="default" w:ascii="Times New Roman" w:hAnsi="Times New Roman" w:eastAsia="方正黑体_GBK" w:cs="Times New Roman"/>
          <w:color w:val="auto"/>
          <w:sz w:val="32"/>
          <w:szCs w:val="32"/>
          <w:highlight w:val="none"/>
          <w:lang w:val="en-US" w:eastAsia="zh-CN"/>
        </w:rPr>
        <w:t>方面</w:t>
      </w:r>
      <w:r>
        <w:rPr>
          <w:rFonts w:hint="default" w:ascii="Times New Roman" w:hAnsi="Times New Roman" w:eastAsia="方正仿宋_GBK"/>
          <w:color w:val="auto"/>
          <w:sz w:val="32"/>
          <w:szCs w:val="32"/>
          <w:highlight w:val="none"/>
        </w:rPr>
        <w:t>，“三保”支出存量较大、结构固化，区域协调发展、乡村振兴、科技创新等战略实施资金需求集中，产业发展、安全稳定、债务付息等支出必须保障，财政支出刚性特征凸显。</w:t>
      </w:r>
      <w:r>
        <w:rPr>
          <w:rFonts w:hint="default" w:ascii="Times New Roman" w:hAnsi="Times New Roman" w:eastAsia="方正黑体_GBK" w:cs="Times New Roman"/>
          <w:color w:val="auto"/>
          <w:sz w:val="32"/>
          <w:szCs w:val="32"/>
          <w:highlight w:val="none"/>
        </w:rPr>
        <w:t>总体来看</w:t>
      </w:r>
      <w:r>
        <w:rPr>
          <w:rFonts w:hint="default" w:ascii="Times New Roman" w:hAnsi="Times New Roman" w:eastAsia="方正仿宋_GBK"/>
          <w:color w:val="auto"/>
          <w:sz w:val="32"/>
          <w:szCs w:val="32"/>
          <w:highlight w:val="none"/>
        </w:rPr>
        <w:t>，今年财政收支最明显的特征</w:t>
      </w:r>
      <w:r>
        <w:rPr>
          <w:rFonts w:hint="default" w:ascii="Times New Roman" w:hAnsi="Times New Roman" w:eastAsia="方正仿宋_GBK"/>
          <w:color w:val="auto"/>
          <w:sz w:val="32"/>
          <w:szCs w:val="32"/>
          <w:highlight w:val="none"/>
          <w:lang w:val="en-US" w:eastAsia="zh-CN"/>
        </w:rPr>
        <w:t>仍是</w:t>
      </w:r>
      <w:r>
        <w:rPr>
          <w:rFonts w:hint="default" w:ascii="Times New Roman" w:hAnsi="Times New Roman" w:eastAsia="方正仿宋_GBK"/>
          <w:color w:val="auto"/>
          <w:sz w:val="32"/>
          <w:szCs w:val="32"/>
          <w:highlight w:val="none"/>
        </w:rPr>
        <w:t>“紧平衡”，</w:t>
      </w:r>
      <w:r>
        <w:rPr>
          <w:rFonts w:hint="default" w:ascii="Times New Roman" w:hAnsi="Times New Roman" w:eastAsia="方正仿宋_GBK"/>
          <w:color w:val="auto"/>
          <w:sz w:val="32"/>
          <w:szCs w:val="32"/>
          <w:highlight w:val="none"/>
          <w:lang w:val="en-US" w:eastAsia="zh-CN"/>
        </w:rPr>
        <w:t>财政</w:t>
      </w:r>
      <w:r>
        <w:rPr>
          <w:rFonts w:hint="default" w:ascii="Times New Roman" w:hAnsi="Times New Roman" w:eastAsia="方正仿宋_GBK"/>
          <w:color w:val="auto"/>
          <w:sz w:val="32"/>
          <w:szCs w:val="32"/>
          <w:highlight w:val="none"/>
        </w:rPr>
        <w:t>运行风险、债务风险不容忽视</w:t>
      </w:r>
      <w:r>
        <w:rPr>
          <w:rFonts w:hint="default" w:ascii="Times New Roman" w:hAnsi="Times New Roman" w:eastAsia="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我们既要正视困难，更要坚定信心。我国经济韧性强、潜力大、活力足，2022年稳住经济</w:t>
      </w:r>
      <w:r>
        <w:rPr>
          <w:rFonts w:hint="default" w:ascii="Times New Roman" w:hAnsi="Times New Roman" w:eastAsia="方正仿宋_GBK"/>
          <w:color w:val="auto"/>
          <w:sz w:val="32"/>
          <w:szCs w:val="32"/>
          <w:highlight w:val="none"/>
        </w:rPr>
        <w:t>一揽子政策措施效应持续释放，</w:t>
      </w:r>
      <w:r>
        <w:rPr>
          <w:rFonts w:hint="default" w:ascii="Times New Roman" w:hAnsi="Times New Roman" w:eastAsia="方正仿宋_GBK"/>
          <w:color w:val="auto"/>
          <w:sz w:val="32"/>
          <w:szCs w:val="32"/>
          <w:highlight w:val="none"/>
          <w:lang w:val="en-US" w:eastAsia="zh-CN"/>
        </w:rPr>
        <w:t>今年</w:t>
      </w:r>
      <w:r>
        <w:rPr>
          <w:rFonts w:hint="eastAsia" w:ascii="Times New Roman" w:hAnsi="Times New Roman" w:eastAsia="方正仿宋_GBK"/>
          <w:color w:val="auto"/>
          <w:sz w:val="32"/>
          <w:szCs w:val="32"/>
          <w:highlight w:val="none"/>
          <w:lang w:val="en-US" w:eastAsia="zh-CN"/>
        </w:rPr>
        <w:t>国家</w:t>
      </w:r>
      <w:r>
        <w:rPr>
          <w:rFonts w:hint="default" w:ascii="Times New Roman" w:hAnsi="Times New Roman" w:eastAsia="方正仿宋_GBK"/>
          <w:color w:val="auto"/>
          <w:sz w:val="32"/>
          <w:szCs w:val="32"/>
          <w:highlight w:val="none"/>
          <w:lang w:val="en-US" w:eastAsia="zh-CN"/>
        </w:rPr>
        <w:t>继续实施积极的财政政策和稳健的货币政策，将叠加放大政策效应，促进经济加快恢复提振；就万州而言，随着我区政策优势、资源优势、交通优势、环境优势持续发挥，成渝地区双城经济圈建设、重庆“一区两群”协调发展等战略深入实施，现代化产业体系构建完成并有序推进，工业强区加快建设，发展环境优化提升，尤其是全区上下狠抓经济发展的共识凝聚、干事创业的热情高涨，必将推动全区经济实现质的有效提升和量的合理增长，为财政平稳运行提供源头活水，为做好财政工作增强信心底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（二）2023年预算编制和财政工作的指导思想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2023年预算编制和财政工作，坚持以习近平新时代中国特色社会主义思想为指导，全面贯彻党的二十大精神和中央、市委、区委经济工作会议精神，认真落实市委、市政府各项决策部署和区委工作要求，坚持稳中求进工作总基调，完整、准确、全面贯彻新发展理念，积极服务和融入新发展格局，更好统筹疫情防控和经济社会发展，更好统筹发展和安全，坚持积极的财政政策要加力提效，保持必要的财政支出强度，突出做好稳增长、稳就业、稳物价工作，落实党政机关过紧日子要求，持续深化财政管理改革，不断提高资金使用效益，有效防范化解债务风险，推动经济实现质的有效提升和量的合理增长，保持社会大局和谐稳定，为新时代新征程全面建设社会主义现代化新万州开好局起好步提供有力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（三）全区预算收入预计和支出安排</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1.一般公共预算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32"/>
          <w:highlight w:val="none"/>
          <w:lang w:val="en-US" w:eastAsia="zh-CN"/>
        </w:rPr>
        <w:t>77.3</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32"/>
          <w:highlight w:val="none"/>
          <w:lang w:val="en-US" w:eastAsia="zh-CN"/>
        </w:rPr>
        <w:t>43.8</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20"/>
          <w:highlight w:val="none"/>
        </w:rPr>
        <w:t>%；非税收入</w:t>
      </w:r>
      <w:r>
        <w:rPr>
          <w:rFonts w:hint="default" w:ascii="Times New Roman" w:hAnsi="Times New Roman" w:eastAsia="方正仿宋_GBK" w:cs="Times New Roman"/>
          <w:color w:val="auto"/>
          <w:sz w:val="32"/>
          <w:szCs w:val="20"/>
          <w:highlight w:val="none"/>
          <w:lang w:val="en-US" w:eastAsia="zh-CN"/>
        </w:rPr>
        <w:t>33.5</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与上年持平</w:t>
      </w:r>
      <w:r>
        <w:rPr>
          <w:rFonts w:hint="default" w:ascii="Times New Roman" w:hAnsi="Times New Roman" w:eastAsia="方正仿宋_GBK" w:cs="Times New Roman"/>
          <w:color w:val="auto"/>
          <w:sz w:val="32"/>
          <w:szCs w:val="20"/>
          <w:highlight w:val="none"/>
        </w:rPr>
        <w:t>。加上级财政预下达补助</w:t>
      </w:r>
      <w:r>
        <w:rPr>
          <w:rFonts w:hint="default" w:ascii="Times New Roman" w:hAnsi="Times New Roman" w:eastAsia="方正仿宋_GBK" w:cs="Times New Roman"/>
          <w:color w:val="auto"/>
          <w:sz w:val="32"/>
          <w:szCs w:val="20"/>
          <w:highlight w:val="none"/>
          <w:lang w:val="en-US" w:eastAsia="zh-CN"/>
        </w:rPr>
        <w:t>54.1</w:t>
      </w:r>
      <w:r>
        <w:rPr>
          <w:rFonts w:hint="default" w:ascii="Times New Roman" w:hAnsi="Times New Roman" w:eastAsia="方正仿宋_GBK" w:cs="Times New Roman"/>
          <w:color w:val="auto"/>
          <w:sz w:val="32"/>
          <w:szCs w:val="20"/>
          <w:highlight w:val="none"/>
        </w:rPr>
        <w:t>亿元、从预算稳定调节基金、政府性基金预算调入资金</w:t>
      </w:r>
      <w:r>
        <w:rPr>
          <w:rFonts w:hint="default" w:ascii="Times New Roman" w:hAnsi="Times New Roman" w:eastAsia="方正仿宋_GBK" w:cs="Times New Roman"/>
          <w:color w:val="auto"/>
          <w:sz w:val="32"/>
          <w:szCs w:val="20"/>
          <w:highlight w:val="none"/>
          <w:lang w:val="en-US" w:eastAsia="zh-CN"/>
        </w:rPr>
        <w:t>20.1</w:t>
      </w:r>
      <w:r>
        <w:rPr>
          <w:rFonts w:hint="default" w:ascii="Times New Roman" w:hAnsi="Times New Roman" w:eastAsia="方正仿宋_GBK" w:cs="Times New Roman"/>
          <w:color w:val="auto"/>
          <w:sz w:val="32"/>
          <w:szCs w:val="20"/>
          <w:highlight w:val="none"/>
        </w:rPr>
        <w:t>亿元、上年结转结余</w:t>
      </w:r>
      <w:r>
        <w:rPr>
          <w:rFonts w:hint="default" w:ascii="Times New Roman" w:hAnsi="Times New Roman" w:eastAsia="方正仿宋_GBK" w:cs="Times New Roman"/>
          <w:color w:val="auto"/>
          <w:sz w:val="32"/>
          <w:szCs w:val="20"/>
          <w:highlight w:val="none"/>
          <w:lang w:val="en-US" w:eastAsia="zh-CN"/>
        </w:rPr>
        <w:t>3.7</w:t>
      </w:r>
      <w:r>
        <w:rPr>
          <w:rFonts w:hint="default" w:ascii="Times New Roman" w:hAnsi="Times New Roman" w:eastAsia="方正仿宋_GBK" w:cs="Times New Roman"/>
          <w:color w:val="auto"/>
          <w:sz w:val="32"/>
          <w:szCs w:val="20"/>
          <w:highlight w:val="none"/>
        </w:rPr>
        <w:t>亿元，减上解上级支出</w:t>
      </w:r>
      <w:r>
        <w:rPr>
          <w:rFonts w:hint="default" w:ascii="Times New Roman" w:hAnsi="Times New Roman" w:eastAsia="方正仿宋_GBK" w:cs="Times New Roman"/>
          <w:color w:val="auto"/>
          <w:sz w:val="32"/>
          <w:szCs w:val="20"/>
          <w:highlight w:val="none"/>
          <w:lang w:val="en-US" w:eastAsia="zh-CN"/>
        </w:rPr>
        <w:t>10.5</w:t>
      </w:r>
      <w:r>
        <w:rPr>
          <w:rFonts w:hint="default" w:ascii="Times New Roman" w:hAnsi="Times New Roman" w:eastAsia="方正仿宋_GBK" w:cs="Times New Roman"/>
          <w:color w:val="auto"/>
          <w:sz w:val="32"/>
          <w:szCs w:val="20"/>
          <w:highlight w:val="none"/>
        </w:rPr>
        <w:t>亿元，当年预算财力</w:t>
      </w:r>
      <w:r>
        <w:rPr>
          <w:rFonts w:hint="default" w:ascii="Times New Roman" w:hAnsi="Times New Roman" w:eastAsia="方正仿宋_GBK" w:cs="Times New Roman"/>
          <w:color w:val="auto"/>
          <w:sz w:val="32"/>
          <w:szCs w:val="20"/>
          <w:highlight w:val="none"/>
          <w:lang w:val="en-US" w:eastAsia="zh-CN"/>
        </w:rPr>
        <w:t>144.7</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144.7</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outlineLvl w:val="0"/>
        <w:rPr>
          <w:rFonts w:ascii="Times New Roman" w:hAnsi="Times New Roman" w:eastAsia="方正黑体_GBK" w:cs="Times New Roman"/>
          <w:color w:val="auto"/>
          <w:sz w:val="32"/>
          <w:szCs w:val="20"/>
          <w:highlight w:val="none"/>
        </w:rPr>
      </w:pPr>
      <w:r>
        <w:rPr>
          <w:rFonts w:hint="default" w:ascii="Times New Roman" w:hAnsi="Times New Roman" w:eastAsia="方正黑体_GBK" w:cs="Times New Roman"/>
          <w:color w:val="auto"/>
          <w:sz w:val="32"/>
          <w:szCs w:val="20"/>
          <w:highlight w:val="none"/>
        </w:rPr>
        <w:t>全区一般公共预算主要收入项目预计情况</w:t>
      </w:r>
    </w:p>
    <w:p>
      <w:pPr>
        <w:ind w:firstLine="480" w:firstLineChars="200"/>
        <w:jc w:val="right"/>
        <w:rPr>
          <w:rFonts w:ascii="Times New Roman" w:hAnsi="Times New Roman" w:eastAsia="方正仿宋_GBK" w:cs="Times New Roman"/>
          <w:color w:val="auto"/>
          <w:sz w:val="32"/>
          <w:szCs w:val="21"/>
          <w:highlight w:val="none"/>
        </w:rPr>
      </w:pPr>
      <w:r>
        <w:rPr>
          <w:rFonts w:hint="default" w:ascii="Times New Roman" w:hAnsi="Times New Roman" w:eastAsia="方正仿宋_GBK" w:cs="Times New Roman"/>
          <w:color w:val="auto"/>
          <w:sz w:val="24"/>
          <w:szCs w:val="24"/>
          <w:highlight w:val="none"/>
        </w:rPr>
        <w:t>单位：</w:t>
      </w:r>
      <w:r>
        <w:rPr>
          <w:rFonts w:hint="default" w:ascii="Times New Roman" w:hAnsi="Times New Roman" w:eastAsia="方正仿宋_GBK" w:cs="Times New Roman"/>
          <w:color w:val="auto"/>
          <w:sz w:val="24"/>
          <w:szCs w:val="24"/>
          <w:highlight w:val="none"/>
          <w:lang w:val="en-US"/>
        </w:rPr>
        <w:t>亿</w:t>
      </w:r>
      <w:r>
        <w:rPr>
          <w:rFonts w:hint="default" w:ascii="Times New Roman" w:hAnsi="Times New Roman" w:eastAsia="方正仿宋_GBK" w:cs="Times New Roman"/>
          <w:color w:val="auto"/>
          <w:sz w:val="24"/>
          <w:szCs w:val="24"/>
          <w:highlight w:val="none"/>
        </w:rPr>
        <w:t>元</w:t>
      </w:r>
    </w:p>
    <w:tbl>
      <w:tblPr>
        <w:tblStyle w:val="8"/>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3"/>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413"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主要收入项目</w:t>
            </w:r>
          </w:p>
        </w:tc>
        <w:tc>
          <w:tcPr>
            <w:tcW w:w="4339"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增值税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企业所得税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个人所得税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ascii="Times New Roman" w:hAnsi="Times New Roman" w:eastAsia="方正仿宋_GBK" w:cs="Times New Roman"/>
                <w:color w:val="auto"/>
                <w:sz w:val="24"/>
                <w:szCs w:val="24"/>
                <w:highlight w:val="none"/>
              </w:rPr>
              <w:t>城市维护建设税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ascii="Times New Roman" w:hAnsi="Times New Roman" w:eastAsia="方正仿宋_GBK" w:cs="Times New Roman"/>
                <w:color w:val="auto"/>
                <w:sz w:val="24"/>
                <w:szCs w:val="24"/>
                <w:highlight w:val="none"/>
              </w:rPr>
              <w:t>房产税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印花税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ascii="Times New Roman" w:hAnsi="Times New Roman" w:eastAsia="方正仿宋_GBK" w:cs="Times New Roman"/>
                <w:color w:val="auto"/>
                <w:sz w:val="24"/>
                <w:szCs w:val="24"/>
                <w:highlight w:val="none"/>
              </w:rPr>
              <w:t>城镇土地使用税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4"/>
                <w:highlight w:val="none"/>
                <w:lang w:val="en-US" w:eastAsia="zh-CN"/>
              </w:rPr>
              <w:t>土地增值税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契税</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专项收入</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行政事业性收费收入</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3" w:type="dxa"/>
            <w:noWrap w:val="0"/>
            <w:vAlign w:val="center"/>
          </w:tcPr>
          <w:p>
            <w:pPr>
              <w:spacing w:line="0" w:lineRule="atLeas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国有资源</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资产</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有偿使用收入</w:t>
            </w:r>
          </w:p>
        </w:tc>
        <w:tc>
          <w:tcPr>
            <w:tcW w:w="4339"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26.2</w:t>
            </w:r>
          </w:p>
        </w:tc>
      </w:tr>
    </w:tbl>
    <w:p>
      <w:pPr>
        <w:ind w:firstLine="0" w:firstLineChars="0"/>
        <w:jc w:val="center"/>
        <w:outlineLvl w:val="0"/>
        <w:rPr>
          <w:rFonts w:ascii="Times New Roman" w:hAnsi="Times New Roman" w:eastAsia="方正黑体_GBK" w:cs="Times New Roman"/>
          <w:color w:val="auto"/>
          <w:sz w:val="32"/>
          <w:szCs w:val="20"/>
          <w:highlight w:val="none"/>
        </w:rPr>
      </w:pPr>
      <w:r>
        <w:rPr>
          <w:rFonts w:hint="default" w:ascii="Times New Roman" w:hAnsi="Times New Roman" w:eastAsia="方正黑体_GBK" w:cs="Times New Roman"/>
          <w:color w:val="auto"/>
          <w:sz w:val="32"/>
          <w:szCs w:val="20"/>
          <w:highlight w:val="none"/>
        </w:rPr>
        <w:t>全区一般公共预算主要支出项目安排情况</w:t>
      </w:r>
    </w:p>
    <w:p>
      <w:pPr>
        <w:ind w:firstLine="480" w:firstLineChars="200"/>
        <w:jc w:val="right"/>
        <w:rPr>
          <w:rFonts w:ascii="Times New Roman" w:hAnsi="Times New Roman" w:eastAsia="方正仿宋_GBK" w:cs="Times New Roman"/>
          <w:color w:val="auto"/>
          <w:sz w:val="32"/>
          <w:szCs w:val="21"/>
          <w:highlight w:val="none"/>
        </w:rPr>
      </w:pPr>
      <w:r>
        <w:rPr>
          <w:rFonts w:hint="default" w:ascii="Times New Roman" w:hAnsi="Times New Roman" w:eastAsia="方正仿宋_GBK" w:cs="Times New Roman"/>
          <w:color w:val="auto"/>
          <w:sz w:val="24"/>
          <w:szCs w:val="24"/>
          <w:highlight w:val="none"/>
        </w:rPr>
        <w:t>单位：亿元</w:t>
      </w:r>
    </w:p>
    <w:tbl>
      <w:tblPr>
        <w:tblStyle w:val="8"/>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主要支出项目</w:t>
            </w:r>
          </w:p>
        </w:tc>
        <w:tc>
          <w:tcPr>
            <w:tcW w:w="4415" w:type="dxa"/>
            <w:noWrap w:val="0"/>
            <w:vAlign w:val="center"/>
          </w:tcPr>
          <w:p>
            <w:pPr>
              <w:spacing w:line="0" w:lineRule="atLeast"/>
              <w:ind w:firstLine="0" w:firstLineChars="0"/>
              <w:jc w:val="center"/>
              <w:rPr>
                <w:rFonts w:ascii="Times New Roman" w:hAnsi="Times New Roman" w:eastAsia="方正黑体_GBK" w:cs="Times New Roman"/>
                <w:color w:val="auto"/>
                <w:sz w:val="24"/>
                <w:szCs w:val="20"/>
                <w:highlight w:val="none"/>
              </w:rPr>
            </w:pPr>
            <w:r>
              <w:rPr>
                <w:rFonts w:hint="default" w:ascii="Times New Roman" w:hAnsi="Times New Roman" w:eastAsia="方正黑体_GBK" w:cs="Times New Roman"/>
                <w:color w:val="auto"/>
                <w:sz w:val="24"/>
                <w:szCs w:val="24"/>
                <w:highlight w:val="none"/>
              </w:rPr>
              <w:t>安排数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一般公共服务支出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公共安全支出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教育支出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科技支出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文化旅游体育传媒支出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社会保障与就业支出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卫生健康支出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节能环保支出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城乡社区支出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农林水支出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交通运输支出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住房保障支出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资源勘探信息支出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商业服务业支出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自然资源海洋气象支出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53" w:type="dxa"/>
            <w:noWrap w:val="0"/>
            <w:vAlign w:val="center"/>
          </w:tcPr>
          <w:p>
            <w:pPr>
              <w:spacing w:line="0" w:lineRule="atLeast"/>
              <w:ind w:firstLine="480" w:firstLineChars="200"/>
              <w:rPr>
                <w:rFonts w:ascii="Times New Roman" w:hAnsi="Times New Roman" w:eastAsia="方正仿宋_GBK" w:cs="Times New Roman"/>
                <w:color w:val="auto"/>
                <w:sz w:val="24"/>
                <w:szCs w:val="20"/>
                <w:highlight w:val="none"/>
              </w:rPr>
            </w:pPr>
            <w:r>
              <w:rPr>
                <w:rFonts w:hint="default" w:ascii="Times New Roman" w:hAnsi="Times New Roman" w:eastAsia="方正仿宋_GBK" w:cs="Times New Roman"/>
                <w:color w:val="auto"/>
                <w:sz w:val="24"/>
                <w:szCs w:val="24"/>
                <w:highlight w:val="none"/>
              </w:rPr>
              <w:t>债务付息支出</w:t>
            </w:r>
          </w:p>
        </w:tc>
        <w:tc>
          <w:tcPr>
            <w:tcW w:w="4415" w:type="dxa"/>
            <w:noWrap w:val="0"/>
            <w:vAlign w:val="center"/>
          </w:tcPr>
          <w:p>
            <w:pPr>
              <w:spacing w:line="0" w:lineRule="atLeast"/>
              <w:ind w:firstLine="0" w:firstLineChars="0"/>
              <w:jc w:val="center"/>
              <w:rPr>
                <w:rFonts w:hint="default" w:ascii="Times New Roman" w:hAnsi="Times New Roman" w:eastAsia="方正仿宋_GBK" w:cs="Times New Roman"/>
                <w:color w:val="auto"/>
                <w:sz w:val="24"/>
                <w:szCs w:val="20"/>
                <w:highlight w:val="none"/>
                <w:lang w:val="en-US" w:eastAsia="zh-CN"/>
              </w:rPr>
            </w:pPr>
            <w:r>
              <w:rPr>
                <w:rFonts w:hint="default" w:ascii="Times New Roman" w:hAnsi="Times New Roman" w:eastAsia="方正仿宋_GBK" w:cs="Times New Roman"/>
                <w:color w:val="auto"/>
                <w:sz w:val="24"/>
                <w:szCs w:val="20"/>
                <w:highlight w:val="none"/>
                <w:lang w:val="en-US" w:eastAsia="zh-CN"/>
              </w:rPr>
              <w:t>2.4</w:t>
            </w:r>
          </w:p>
        </w:tc>
      </w:tr>
    </w:tbl>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2.政府性基金预算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20"/>
          <w:highlight w:val="none"/>
          <w:lang w:val="en-US" w:eastAsia="zh-CN"/>
        </w:rPr>
        <w:t>70.7</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增长14</w:t>
      </w:r>
      <w:r>
        <w:rPr>
          <w:rFonts w:hint="default"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val="en-US" w:eastAsia="zh-CN"/>
        </w:rPr>
        <w:t>其中，国有土地使用权出让收入67.8亿元</w:t>
      </w:r>
      <w:r>
        <w:rPr>
          <w:rFonts w:hint="default" w:ascii="Times New Roman" w:hAnsi="Times New Roman" w:eastAsia="方正仿宋_GBK" w:cs="Times New Roman"/>
          <w:color w:val="auto"/>
          <w:sz w:val="32"/>
          <w:szCs w:val="20"/>
          <w:highlight w:val="none"/>
        </w:rPr>
        <w:t>。加上级财政预下达补助</w:t>
      </w:r>
      <w:r>
        <w:rPr>
          <w:rFonts w:hint="default" w:ascii="Times New Roman" w:hAnsi="Times New Roman" w:eastAsia="方正仿宋_GBK" w:cs="Times New Roman"/>
          <w:color w:val="auto"/>
          <w:sz w:val="32"/>
          <w:szCs w:val="20"/>
          <w:highlight w:val="none"/>
          <w:lang w:val="en-US" w:eastAsia="zh-CN"/>
        </w:rPr>
        <w:t>10</w:t>
      </w:r>
      <w:r>
        <w:rPr>
          <w:rFonts w:hint="default" w:ascii="Times New Roman" w:hAnsi="Times New Roman" w:eastAsia="方正仿宋_GBK" w:cs="Times New Roman"/>
          <w:color w:val="auto"/>
          <w:sz w:val="32"/>
          <w:szCs w:val="20"/>
          <w:highlight w:val="none"/>
        </w:rPr>
        <w:t>亿元、上年结转结余</w:t>
      </w:r>
      <w:r>
        <w:rPr>
          <w:rFonts w:hint="default" w:ascii="Times New Roman" w:hAnsi="Times New Roman" w:eastAsia="方正仿宋_GBK" w:cs="Times New Roman"/>
          <w:color w:val="auto"/>
          <w:sz w:val="32"/>
          <w:szCs w:val="20"/>
          <w:highlight w:val="none"/>
          <w:lang w:val="en-US" w:eastAsia="zh-CN"/>
        </w:rPr>
        <w:t>15.6</w:t>
      </w:r>
      <w:r>
        <w:rPr>
          <w:rFonts w:hint="default" w:ascii="Times New Roman" w:hAnsi="Times New Roman" w:eastAsia="方正仿宋_GBK" w:cs="Times New Roman"/>
          <w:color w:val="auto"/>
          <w:sz w:val="32"/>
          <w:szCs w:val="20"/>
          <w:highlight w:val="none"/>
        </w:rPr>
        <w:t>亿元，减调出资金</w:t>
      </w:r>
      <w:r>
        <w:rPr>
          <w:rFonts w:hint="default" w:ascii="Times New Roman" w:hAnsi="Times New Roman" w:eastAsia="方正仿宋_GBK" w:cs="Times New Roman"/>
          <w:color w:val="auto"/>
          <w:sz w:val="32"/>
          <w:szCs w:val="20"/>
          <w:highlight w:val="none"/>
          <w:lang w:val="en-US" w:eastAsia="zh-CN"/>
        </w:rPr>
        <w:t>20</w:t>
      </w:r>
      <w:r>
        <w:rPr>
          <w:rFonts w:hint="default" w:ascii="Times New Roman" w:hAnsi="Times New Roman" w:eastAsia="方正仿宋_GBK" w:cs="Times New Roman"/>
          <w:color w:val="auto"/>
          <w:sz w:val="32"/>
          <w:szCs w:val="20"/>
          <w:highlight w:val="none"/>
        </w:rPr>
        <w:t>亿元、上解上级支出</w:t>
      </w:r>
      <w:r>
        <w:rPr>
          <w:rFonts w:hint="default" w:ascii="Times New Roman" w:hAnsi="Times New Roman" w:eastAsia="方正仿宋_GBK" w:cs="Times New Roman"/>
          <w:color w:val="auto"/>
          <w:sz w:val="32"/>
          <w:szCs w:val="20"/>
          <w:highlight w:val="none"/>
          <w:lang w:val="en-US" w:eastAsia="zh-CN"/>
        </w:rPr>
        <w:t>4</w:t>
      </w:r>
      <w:r>
        <w:rPr>
          <w:rFonts w:hint="default" w:ascii="Times New Roman" w:hAnsi="Times New Roman" w:eastAsia="方正仿宋_GBK" w:cs="Times New Roman"/>
          <w:color w:val="auto"/>
          <w:sz w:val="32"/>
          <w:szCs w:val="20"/>
          <w:highlight w:val="none"/>
        </w:rPr>
        <w:t>亿元，当年预算财力</w:t>
      </w:r>
      <w:r>
        <w:rPr>
          <w:rFonts w:hint="default" w:ascii="Times New Roman" w:hAnsi="Times New Roman" w:eastAsia="方正仿宋_GBK" w:cs="Times New Roman"/>
          <w:color w:val="auto"/>
          <w:sz w:val="32"/>
          <w:szCs w:val="20"/>
          <w:highlight w:val="none"/>
          <w:lang w:val="en-US" w:eastAsia="zh-CN"/>
        </w:rPr>
        <w:t>72.3</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72.3</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3.国有资本经营预算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20"/>
          <w:highlight w:val="none"/>
          <w:lang w:val="en-US" w:eastAsia="zh-CN"/>
        </w:rPr>
        <w:t>2.2</w:t>
      </w:r>
      <w:r>
        <w:rPr>
          <w:rFonts w:hint="default" w:ascii="Times New Roman" w:hAnsi="Times New Roman" w:eastAsia="方正仿宋_GBK" w:cs="Times New Roman"/>
          <w:color w:val="auto"/>
          <w:sz w:val="32"/>
          <w:szCs w:val="20"/>
          <w:highlight w:val="none"/>
        </w:rPr>
        <w:t>亿元，下降</w:t>
      </w:r>
      <w:r>
        <w:rPr>
          <w:rFonts w:hint="default" w:ascii="Times New Roman" w:hAnsi="Times New Roman" w:eastAsia="方正仿宋_GBK" w:cs="Times New Roman"/>
          <w:color w:val="auto"/>
          <w:sz w:val="32"/>
          <w:szCs w:val="20"/>
          <w:highlight w:val="none"/>
          <w:lang w:val="en-US" w:eastAsia="zh-CN"/>
        </w:rPr>
        <w:t>50</w:t>
      </w:r>
      <w:r>
        <w:rPr>
          <w:rFonts w:hint="default" w:ascii="Times New Roman" w:hAnsi="Times New Roman" w:eastAsia="方正仿宋_GBK" w:cs="Times New Roman"/>
          <w:color w:val="auto"/>
          <w:sz w:val="32"/>
          <w:szCs w:val="20"/>
          <w:highlight w:val="none"/>
        </w:rPr>
        <w:t>%。当年预算财力</w:t>
      </w:r>
      <w:r>
        <w:rPr>
          <w:rFonts w:hint="default" w:ascii="Times New Roman" w:hAnsi="Times New Roman" w:eastAsia="方正仿宋_GBK" w:cs="Times New Roman"/>
          <w:color w:val="auto"/>
          <w:sz w:val="32"/>
          <w:szCs w:val="20"/>
          <w:highlight w:val="none"/>
          <w:lang w:val="en-US" w:eastAsia="zh-CN"/>
        </w:rPr>
        <w:t>2.2</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2.2</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（四）区本级预算收入预计和支出安排</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1.一般公共预算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20"/>
          <w:highlight w:val="none"/>
          <w:lang w:val="en-US" w:eastAsia="zh-CN"/>
        </w:rPr>
        <w:t>47</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2.2</w:t>
      </w:r>
      <w:r>
        <w:rPr>
          <w:rFonts w:hint="default" w:ascii="Times New Roman" w:hAnsi="Times New Roman" w:eastAsia="方正仿宋_GBK" w:cs="Times New Roman"/>
          <w:color w:val="auto"/>
          <w:sz w:val="32"/>
          <w:szCs w:val="20"/>
          <w:highlight w:val="none"/>
        </w:rPr>
        <w:t>%；其中，税收收入</w:t>
      </w:r>
      <w:r>
        <w:rPr>
          <w:rFonts w:hint="default" w:ascii="Times New Roman" w:hAnsi="Times New Roman" w:eastAsia="方正仿宋_GBK" w:cs="Times New Roman"/>
          <w:color w:val="auto"/>
          <w:sz w:val="32"/>
          <w:szCs w:val="20"/>
          <w:highlight w:val="none"/>
          <w:lang w:val="en-US" w:eastAsia="zh-CN"/>
        </w:rPr>
        <w:t>21.7</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4.8</w:t>
      </w:r>
      <w:r>
        <w:rPr>
          <w:rFonts w:hint="default" w:ascii="Times New Roman" w:hAnsi="Times New Roman" w:eastAsia="方正仿宋_GBK" w:cs="Times New Roman"/>
          <w:color w:val="auto"/>
          <w:sz w:val="32"/>
          <w:szCs w:val="20"/>
          <w:highlight w:val="none"/>
        </w:rPr>
        <w:t>%；非税收入</w:t>
      </w:r>
      <w:r>
        <w:rPr>
          <w:rFonts w:hint="default" w:ascii="Times New Roman" w:hAnsi="Times New Roman" w:eastAsia="方正仿宋_GBK" w:cs="Times New Roman"/>
          <w:color w:val="auto"/>
          <w:sz w:val="32"/>
          <w:szCs w:val="20"/>
          <w:highlight w:val="none"/>
          <w:lang w:val="en-US" w:eastAsia="zh-CN"/>
        </w:rPr>
        <w:t>25.3</w:t>
      </w:r>
      <w:r>
        <w:rPr>
          <w:rFonts w:hint="default" w:ascii="Times New Roman" w:hAnsi="Times New Roman" w:eastAsia="方正仿宋_GBK" w:cs="Times New Roman"/>
          <w:color w:val="auto"/>
          <w:sz w:val="32"/>
          <w:szCs w:val="20"/>
          <w:highlight w:val="none"/>
        </w:rPr>
        <w:t>亿元，</w:t>
      </w:r>
      <w:r>
        <w:rPr>
          <w:rFonts w:hint="default" w:ascii="Times New Roman" w:hAnsi="Times New Roman" w:eastAsia="方正仿宋_GBK" w:cs="Times New Roman"/>
          <w:color w:val="auto"/>
          <w:sz w:val="32"/>
          <w:szCs w:val="20"/>
          <w:highlight w:val="none"/>
          <w:lang w:val="en-US" w:eastAsia="zh-CN"/>
        </w:rPr>
        <w:t>与上年持平</w:t>
      </w:r>
      <w:r>
        <w:rPr>
          <w:rFonts w:hint="default" w:ascii="Times New Roman" w:hAnsi="Times New Roman" w:eastAsia="方正仿宋_GBK" w:cs="Times New Roman"/>
          <w:color w:val="auto"/>
          <w:sz w:val="32"/>
          <w:szCs w:val="20"/>
          <w:highlight w:val="none"/>
        </w:rPr>
        <w:t>。加上级财政预下达补助</w:t>
      </w:r>
      <w:r>
        <w:rPr>
          <w:rFonts w:hint="default" w:ascii="Times New Roman" w:hAnsi="Times New Roman" w:eastAsia="方正仿宋_GBK" w:cs="Times New Roman"/>
          <w:color w:val="auto"/>
          <w:sz w:val="32"/>
          <w:szCs w:val="20"/>
          <w:highlight w:val="none"/>
          <w:lang w:val="en-US" w:eastAsia="zh-CN"/>
        </w:rPr>
        <w:t>54.1</w:t>
      </w:r>
      <w:r>
        <w:rPr>
          <w:rFonts w:hint="default" w:ascii="Times New Roman" w:hAnsi="Times New Roman" w:eastAsia="方正仿宋_GBK" w:cs="Times New Roman"/>
          <w:color w:val="auto"/>
          <w:sz w:val="32"/>
          <w:szCs w:val="20"/>
          <w:highlight w:val="none"/>
        </w:rPr>
        <w:t>亿元、下级上解收入</w:t>
      </w:r>
      <w:r>
        <w:rPr>
          <w:rFonts w:hint="default" w:ascii="Times New Roman" w:hAnsi="Times New Roman" w:eastAsia="方正仿宋_GBK" w:cs="Times New Roman"/>
          <w:color w:val="auto"/>
          <w:sz w:val="32"/>
          <w:szCs w:val="20"/>
          <w:highlight w:val="none"/>
          <w:lang w:val="en-US" w:eastAsia="zh-CN"/>
        </w:rPr>
        <w:t>5.9</w:t>
      </w:r>
      <w:r>
        <w:rPr>
          <w:rFonts w:hint="default" w:ascii="Times New Roman" w:hAnsi="Times New Roman" w:eastAsia="方正仿宋_GBK" w:cs="Times New Roman"/>
          <w:color w:val="auto"/>
          <w:sz w:val="32"/>
          <w:szCs w:val="20"/>
          <w:highlight w:val="none"/>
        </w:rPr>
        <w:t>亿元、从预算稳定调节基金、政府性基金预算调入资金</w:t>
      </w:r>
      <w:r>
        <w:rPr>
          <w:rFonts w:hint="default" w:ascii="Times New Roman" w:hAnsi="Times New Roman" w:eastAsia="方正仿宋_GBK" w:cs="Times New Roman"/>
          <w:color w:val="auto"/>
          <w:sz w:val="32"/>
          <w:szCs w:val="20"/>
          <w:highlight w:val="none"/>
          <w:lang w:val="en-US" w:eastAsia="zh-CN"/>
        </w:rPr>
        <w:t>20.1</w:t>
      </w:r>
      <w:r>
        <w:rPr>
          <w:rFonts w:hint="default" w:ascii="Times New Roman" w:hAnsi="Times New Roman" w:eastAsia="方正仿宋_GBK" w:cs="Times New Roman"/>
          <w:color w:val="auto"/>
          <w:sz w:val="32"/>
          <w:szCs w:val="20"/>
          <w:highlight w:val="none"/>
        </w:rPr>
        <w:t>亿元、上年结转结余</w:t>
      </w:r>
      <w:r>
        <w:rPr>
          <w:rFonts w:hint="default" w:ascii="Times New Roman" w:hAnsi="Times New Roman" w:eastAsia="方正仿宋_GBK" w:cs="Times New Roman"/>
          <w:color w:val="auto"/>
          <w:sz w:val="32"/>
          <w:szCs w:val="20"/>
          <w:highlight w:val="none"/>
          <w:lang w:val="en-US" w:eastAsia="zh-CN"/>
        </w:rPr>
        <w:t>1.9</w:t>
      </w:r>
      <w:r>
        <w:rPr>
          <w:rFonts w:hint="default" w:ascii="Times New Roman" w:hAnsi="Times New Roman" w:eastAsia="方正仿宋_GBK" w:cs="Times New Roman"/>
          <w:color w:val="auto"/>
          <w:sz w:val="32"/>
          <w:szCs w:val="20"/>
          <w:highlight w:val="none"/>
        </w:rPr>
        <w:t>亿元，减上解上级支出</w:t>
      </w:r>
      <w:r>
        <w:rPr>
          <w:rFonts w:hint="default" w:ascii="Times New Roman" w:hAnsi="Times New Roman" w:eastAsia="方正仿宋_GBK" w:cs="Times New Roman"/>
          <w:color w:val="auto"/>
          <w:sz w:val="32"/>
          <w:szCs w:val="20"/>
          <w:highlight w:val="none"/>
          <w:lang w:val="en-US" w:eastAsia="zh-CN"/>
        </w:rPr>
        <w:t>10.5</w:t>
      </w:r>
      <w:r>
        <w:rPr>
          <w:rFonts w:hint="default" w:ascii="Times New Roman" w:hAnsi="Times New Roman" w:eastAsia="方正仿宋_GBK" w:cs="Times New Roman"/>
          <w:color w:val="auto"/>
          <w:sz w:val="32"/>
          <w:szCs w:val="20"/>
          <w:highlight w:val="none"/>
        </w:rPr>
        <w:t>亿元、补助下级支出</w:t>
      </w:r>
      <w:r>
        <w:rPr>
          <w:rFonts w:hint="default" w:ascii="Times New Roman" w:hAnsi="Times New Roman" w:eastAsia="方正仿宋_GBK" w:cs="Times New Roman"/>
          <w:color w:val="auto"/>
          <w:sz w:val="32"/>
          <w:szCs w:val="20"/>
          <w:highlight w:val="none"/>
          <w:lang w:val="en-US" w:eastAsia="zh-CN"/>
        </w:rPr>
        <w:t>8.3</w:t>
      </w:r>
      <w:r>
        <w:rPr>
          <w:rFonts w:hint="default" w:ascii="Times New Roman" w:hAnsi="Times New Roman" w:eastAsia="方正仿宋_GBK" w:cs="Times New Roman"/>
          <w:color w:val="auto"/>
          <w:sz w:val="32"/>
          <w:szCs w:val="20"/>
          <w:highlight w:val="none"/>
        </w:rPr>
        <w:t>亿元，当年预算财力</w:t>
      </w:r>
      <w:r>
        <w:rPr>
          <w:rFonts w:hint="default" w:ascii="Times New Roman" w:hAnsi="Times New Roman" w:eastAsia="方正仿宋_GBK" w:cs="Times New Roman"/>
          <w:color w:val="auto"/>
          <w:sz w:val="32"/>
          <w:szCs w:val="20"/>
          <w:highlight w:val="none"/>
          <w:lang w:val="en-US" w:eastAsia="zh-CN"/>
        </w:rPr>
        <w:t>110.2</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110.2</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2.政府性基金预算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20"/>
          <w:highlight w:val="none"/>
          <w:lang w:val="en-US" w:eastAsia="zh-CN"/>
        </w:rPr>
        <w:t>40.1</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38.5</w:t>
      </w:r>
      <w:r>
        <w:rPr>
          <w:rFonts w:hint="default" w:ascii="Times New Roman" w:hAnsi="Times New Roman" w:eastAsia="方正仿宋_GBK" w:cs="Times New Roman"/>
          <w:color w:val="auto"/>
          <w:sz w:val="32"/>
          <w:szCs w:val="20"/>
          <w:highlight w:val="none"/>
        </w:rPr>
        <w:t>%；其中，国有土地使用权出让收入</w:t>
      </w:r>
      <w:r>
        <w:rPr>
          <w:rFonts w:hint="default" w:ascii="Times New Roman" w:hAnsi="Times New Roman" w:eastAsia="方正仿宋_GBK" w:cs="Times New Roman"/>
          <w:color w:val="auto"/>
          <w:sz w:val="32"/>
          <w:szCs w:val="20"/>
          <w:highlight w:val="none"/>
          <w:lang w:val="en-US" w:eastAsia="zh-CN"/>
        </w:rPr>
        <w:t>38.3</w:t>
      </w:r>
      <w:r>
        <w:rPr>
          <w:rFonts w:hint="default" w:ascii="Times New Roman" w:hAnsi="Times New Roman" w:eastAsia="方正仿宋_GBK" w:cs="Times New Roman"/>
          <w:color w:val="auto"/>
          <w:sz w:val="32"/>
          <w:szCs w:val="20"/>
          <w:highlight w:val="none"/>
        </w:rPr>
        <w:t>亿元，增长</w:t>
      </w:r>
      <w:r>
        <w:rPr>
          <w:rFonts w:hint="default" w:ascii="Times New Roman" w:hAnsi="Times New Roman" w:eastAsia="方正仿宋_GBK" w:cs="Times New Roman"/>
          <w:color w:val="auto"/>
          <w:sz w:val="32"/>
          <w:szCs w:val="20"/>
          <w:highlight w:val="none"/>
          <w:lang w:val="en-US" w:eastAsia="zh-CN"/>
        </w:rPr>
        <w:t>59.5</w:t>
      </w:r>
      <w:r>
        <w:rPr>
          <w:rFonts w:hint="default" w:ascii="Times New Roman" w:hAnsi="Times New Roman" w:eastAsia="方正仿宋_GBK" w:cs="Times New Roman"/>
          <w:color w:val="auto"/>
          <w:sz w:val="32"/>
          <w:szCs w:val="20"/>
          <w:highlight w:val="none"/>
        </w:rPr>
        <w:t>%。加上级财政预下达补助</w:t>
      </w:r>
      <w:r>
        <w:rPr>
          <w:rFonts w:hint="default" w:ascii="Times New Roman" w:hAnsi="Times New Roman" w:eastAsia="方正仿宋_GBK" w:cs="Times New Roman"/>
          <w:color w:val="auto"/>
          <w:sz w:val="32"/>
          <w:szCs w:val="20"/>
          <w:highlight w:val="none"/>
          <w:lang w:val="en-US" w:eastAsia="zh-CN"/>
        </w:rPr>
        <w:t>10</w:t>
      </w:r>
      <w:r>
        <w:rPr>
          <w:rFonts w:hint="default" w:ascii="Times New Roman" w:hAnsi="Times New Roman" w:eastAsia="方正仿宋_GBK" w:cs="Times New Roman"/>
          <w:color w:val="auto"/>
          <w:sz w:val="32"/>
          <w:szCs w:val="20"/>
          <w:highlight w:val="none"/>
        </w:rPr>
        <w:t>亿元、下级上解收入</w:t>
      </w:r>
      <w:r>
        <w:rPr>
          <w:rFonts w:hint="default" w:ascii="Times New Roman" w:hAnsi="Times New Roman" w:eastAsia="方正仿宋_GBK" w:cs="Times New Roman"/>
          <w:color w:val="auto"/>
          <w:sz w:val="32"/>
          <w:szCs w:val="20"/>
          <w:highlight w:val="none"/>
          <w:lang w:val="en-US" w:eastAsia="zh-CN"/>
        </w:rPr>
        <w:t>3.4</w:t>
      </w:r>
      <w:r>
        <w:rPr>
          <w:rFonts w:hint="default" w:ascii="Times New Roman" w:hAnsi="Times New Roman" w:eastAsia="方正仿宋_GBK" w:cs="Times New Roman"/>
          <w:color w:val="auto"/>
          <w:sz w:val="32"/>
          <w:szCs w:val="20"/>
          <w:highlight w:val="none"/>
        </w:rPr>
        <w:t>亿元、上年结转结余</w:t>
      </w:r>
      <w:r>
        <w:rPr>
          <w:rFonts w:hint="default" w:ascii="Times New Roman" w:hAnsi="Times New Roman" w:eastAsia="方正仿宋_GBK" w:cs="Times New Roman"/>
          <w:color w:val="auto"/>
          <w:sz w:val="32"/>
          <w:szCs w:val="20"/>
          <w:highlight w:val="none"/>
          <w:lang w:val="en-US" w:eastAsia="zh-CN"/>
        </w:rPr>
        <w:t>11.3</w:t>
      </w:r>
      <w:r>
        <w:rPr>
          <w:rFonts w:hint="default" w:ascii="Times New Roman" w:hAnsi="Times New Roman" w:eastAsia="方正仿宋_GBK" w:cs="Times New Roman"/>
          <w:color w:val="auto"/>
          <w:sz w:val="32"/>
          <w:szCs w:val="20"/>
          <w:highlight w:val="none"/>
        </w:rPr>
        <w:t>亿元，减调出资金</w:t>
      </w:r>
      <w:r>
        <w:rPr>
          <w:rFonts w:hint="default" w:ascii="Times New Roman" w:hAnsi="Times New Roman" w:eastAsia="方正仿宋_GBK" w:cs="Times New Roman"/>
          <w:color w:val="auto"/>
          <w:sz w:val="32"/>
          <w:szCs w:val="20"/>
          <w:highlight w:val="none"/>
          <w:lang w:val="en-US" w:eastAsia="zh-CN"/>
        </w:rPr>
        <w:t>20</w:t>
      </w:r>
      <w:r>
        <w:rPr>
          <w:rFonts w:hint="default" w:ascii="Times New Roman" w:hAnsi="Times New Roman" w:eastAsia="方正仿宋_GBK" w:cs="Times New Roman"/>
          <w:color w:val="auto"/>
          <w:sz w:val="32"/>
          <w:szCs w:val="20"/>
          <w:highlight w:val="none"/>
        </w:rPr>
        <w:t>亿元、上解上级支出</w:t>
      </w:r>
      <w:r>
        <w:rPr>
          <w:rFonts w:hint="default" w:ascii="Times New Roman" w:hAnsi="Times New Roman" w:eastAsia="方正仿宋_GBK" w:cs="Times New Roman"/>
          <w:color w:val="auto"/>
          <w:sz w:val="32"/>
          <w:szCs w:val="20"/>
          <w:highlight w:val="none"/>
          <w:lang w:val="en-US" w:eastAsia="zh-CN"/>
        </w:rPr>
        <w:t>4</w:t>
      </w:r>
      <w:r>
        <w:rPr>
          <w:rFonts w:hint="default" w:ascii="Times New Roman" w:hAnsi="Times New Roman" w:eastAsia="方正仿宋_GBK" w:cs="Times New Roman"/>
          <w:color w:val="auto"/>
          <w:sz w:val="32"/>
          <w:szCs w:val="20"/>
          <w:highlight w:val="none"/>
        </w:rPr>
        <w:t>亿元，当年预算财力</w:t>
      </w:r>
      <w:r>
        <w:rPr>
          <w:rFonts w:hint="default" w:ascii="Times New Roman" w:hAnsi="Times New Roman" w:eastAsia="方正仿宋_GBK" w:cs="Times New Roman"/>
          <w:color w:val="auto"/>
          <w:sz w:val="32"/>
          <w:szCs w:val="20"/>
          <w:highlight w:val="none"/>
          <w:lang w:val="en-US" w:eastAsia="zh-CN"/>
        </w:rPr>
        <w:t>40.8</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40.8</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3.国有资本经营预算</w:t>
      </w:r>
      <w:r>
        <w:rPr>
          <w:rFonts w:hint="default" w:ascii="Times New Roman" w:hAnsi="Times New Roman" w:eastAsia="方正仿宋_GBK" w:cs="Times New Roman"/>
          <w:color w:val="auto"/>
          <w:sz w:val="32"/>
          <w:szCs w:val="20"/>
          <w:highlight w:val="none"/>
        </w:rPr>
        <w:t>。收入预计</w:t>
      </w:r>
      <w:r>
        <w:rPr>
          <w:rFonts w:hint="default" w:ascii="Times New Roman" w:hAnsi="Times New Roman" w:eastAsia="方正仿宋_GBK" w:cs="Times New Roman"/>
          <w:color w:val="auto"/>
          <w:sz w:val="32"/>
          <w:szCs w:val="20"/>
          <w:highlight w:val="none"/>
          <w:lang w:val="en-US" w:eastAsia="zh-CN"/>
        </w:rPr>
        <w:t>1.2</w:t>
      </w:r>
      <w:r>
        <w:rPr>
          <w:rFonts w:hint="default" w:ascii="Times New Roman" w:hAnsi="Times New Roman" w:eastAsia="方正仿宋_GBK" w:cs="Times New Roman"/>
          <w:color w:val="auto"/>
          <w:sz w:val="32"/>
          <w:szCs w:val="20"/>
          <w:highlight w:val="none"/>
        </w:rPr>
        <w:t>亿元，下降</w:t>
      </w:r>
      <w:r>
        <w:rPr>
          <w:rFonts w:hint="default" w:ascii="Times New Roman" w:hAnsi="Times New Roman" w:eastAsia="方正仿宋_GBK" w:cs="Times New Roman"/>
          <w:color w:val="auto"/>
          <w:sz w:val="32"/>
          <w:szCs w:val="20"/>
          <w:highlight w:val="none"/>
          <w:lang w:val="en-US" w:eastAsia="zh-CN"/>
        </w:rPr>
        <w:t>15</w:t>
      </w:r>
      <w:r>
        <w:rPr>
          <w:rFonts w:hint="default" w:ascii="Times New Roman" w:hAnsi="Times New Roman" w:eastAsia="方正仿宋_GBK" w:cs="Times New Roman"/>
          <w:color w:val="auto"/>
          <w:sz w:val="32"/>
          <w:szCs w:val="20"/>
          <w:highlight w:val="none"/>
        </w:rPr>
        <w:t>%。当年预算财力</w:t>
      </w:r>
      <w:r>
        <w:rPr>
          <w:rFonts w:hint="default" w:ascii="Times New Roman" w:hAnsi="Times New Roman" w:eastAsia="方正仿宋_GBK" w:cs="Times New Roman"/>
          <w:color w:val="auto"/>
          <w:sz w:val="32"/>
          <w:szCs w:val="20"/>
          <w:highlight w:val="none"/>
          <w:lang w:val="en-US" w:eastAsia="zh-CN"/>
        </w:rPr>
        <w:t>1.2</w:t>
      </w:r>
      <w:r>
        <w:rPr>
          <w:rFonts w:hint="default" w:ascii="Times New Roman" w:hAnsi="Times New Roman" w:eastAsia="方正仿宋_GBK" w:cs="Times New Roman"/>
          <w:color w:val="auto"/>
          <w:sz w:val="32"/>
          <w:szCs w:val="20"/>
          <w:highlight w:val="none"/>
        </w:rPr>
        <w:t>亿元。支出安排</w:t>
      </w:r>
      <w:r>
        <w:rPr>
          <w:rFonts w:hint="default" w:ascii="Times New Roman" w:hAnsi="Times New Roman" w:eastAsia="方正仿宋_GBK" w:cs="Times New Roman"/>
          <w:color w:val="auto"/>
          <w:sz w:val="32"/>
          <w:szCs w:val="20"/>
          <w:highlight w:val="none"/>
          <w:lang w:val="en-US" w:eastAsia="zh-CN"/>
        </w:rPr>
        <w:t>1.2</w:t>
      </w:r>
      <w:r>
        <w:rPr>
          <w:rFonts w:hint="default" w:ascii="Times New Roman" w:hAnsi="Times New Roman" w:eastAsia="方正仿宋_GBK" w:cs="Times New Roman"/>
          <w:color w:val="auto"/>
          <w:sz w:val="32"/>
          <w:szCs w:val="20"/>
          <w:highlight w:val="none"/>
        </w:rPr>
        <w:t>亿元，收支平衡。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hAnsi="Times New Roman" w:eastAsia="方正仿宋_GBK" w:cs="Times New Roman"/>
          <w:color w:val="auto"/>
          <w:sz w:val="32"/>
          <w:szCs w:val="20"/>
          <w:highlight w:val="none"/>
        </w:rPr>
      </w:pPr>
      <w:r>
        <w:rPr>
          <w:rFonts w:hint="default" w:ascii="Times New Roman" w:hAnsi="Times New Roman" w:eastAsia="方正楷体_GBK" w:cs="Times New Roman"/>
          <w:color w:val="auto"/>
          <w:sz w:val="32"/>
          <w:szCs w:val="20"/>
          <w:highlight w:val="none"/>
        </w:rPr>
        <w:t>（五）万州经开区、渝东新区、镇乡街道预算收入预计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1.万州经开区</w:t>
      </w:r>
      <w:r>
        <w:rPr>
          <w:rFonts w:hint="default" w:ascii="Times New Roman" w:hAnsi="Times New Roman" w:eastAsia="方正仿宋_GBK" w:cs="Times New Roman"/>
          <w:color w:val="auto"/>
          <w:sz w:val="32"/>
          <w:szCs w:val="20"/>
          <w:highlight w:val="none"/>
        </w:rPr>
        <w:t>。一般公共预算收入预计</w:t>
      </w:r>
      <w:r>
        <w:rPr>
          <w:rFonts w:hint="default" w:ascii="Times New Roman" w:hAnsi="Times New Roman" w:eastAsia="方正仿宋_GBK" w:cs="Times New Roman"/>
          <w:color w:val="auto"/>
          <w:sz w:val="32"/>
          <w:szCs w:val="20"/>
          <w:highlight w:val="none"/>
          <w:lang w:val="en-US" w:eastAsia="zh-CN"/>
        </w:rPr>
        <w:t>20.8</w:t>
      </w:r>
      <w:r>
        <w:rPr>
          <w:rFonts w:hint="default" w:ascii="Times New Roman" w:hAnsi="Times New Roman" w:eastAsia="方正仿宋_GBK" w:cs="Times New Roman"/>
          <w:color w:val="auto"/>
          <w:sz w:val="32"/>
          <w:szCs w:val="20"/>
          <w:highlight w:val="none"/>
        </w:rPr>
        <w:t>亿元；其中，税收收入</w:t>
      </w:r>
      <w:r>
        <w:rPr>
          <w:rFonts w:hint="default" w:ascii="Times New Roman" w:hAnsi="Times New Roman" w:eastAsia="方正仿宋_GBK" w:cs="Times New Roman"/>
          <w:color w:val="auto"/>
          <w:sz w:val="32"/>
          <w:szCs w:val="20"/>
          <w:highlight w:val="none"/>
          <w:lang w:val="en-US" w:eastAsia="zh-CN"/>
        </w:rPr>
        <w:t>13.1</w:t>
      </w:r>
      <w:r>
        <w:rPr>
          <w:rFonts w:hint="default" w:ascii="Times New Roman" w:hAnsi="Times New Roman" w:eastAsia="方正仿宋_GBK" w:cs="Times New Roman"/>
          <w:color w:val="auto"/>
          <w:sz w:val="32"/>
          <w:szCs w:val="20"/>
          <w:highlight w:val="none"/>
        </w:rPr>
        <w:t>亿元。政府性基金预算收入预计</w:t>
      </w:r>
      <w:r>
        <w:rPr>
          <w:rFonts w:hint="default" w:ascii="Times New Roman" w:hAnsi="Times New Roman" w:eastAsia="方正仿宋_GBK" w:cs="Times New Roman"/>
          <w:color w:val="auto"/>
          <w:sz w:val="32"/>
          <w:szCs w:val="20"/>
          <w:highlight w:val="none"/>
          <w:lang w:val="en-US" w:eastAsia="zh-CN"/>
        </w:rPr>
        <w:t>30.5</w:t>
      </w:r>
      <w:r>
        <w:rPr>
          <w:rFonts w:hint="default" w:ascii="Times New Roman" w:hAnsi="Times New Roman" w:eastAsia="方正仿宋_GBK" w:cs="Times New Roman"/>
          <w:color w:val="auto"/>
          <w:sz w:val="32"/>
          <w:szCs w:val="20"/>
          <w:highlight w:val="none"/>
        </w:rPr>
        <w:t>亿元。国有资本经营预算收入预计</w:t>
      </w:r>
      <w:r>
        <w:rPr>
          <w:rFonts w:hint="default" w:ascii="Times New Roman" w:hAnsi="Times New Roman" w:eastAsia="方正仿宋_GBK" w:cs="Times New Roman"/>
          <w:color w:val="auto"/>
          <w:sz w:val="32"/>
          <w:szCs w:val="20"/>
          <w:highlight w:val="none"/>
          <w:lang w:val="en-US" w:eastAsia="zh-CN"/>
        </w:rPr>
        <w:t>1</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2.渝东新区</w:t>
      </w:r>
      <w:r>
        <w:rPr>
          <w:rFonts w:hint="default" w:ascii="Times New Roman" w:hAnsi="Times New Roman" w:eastAsia="方正仿宋_GBK" w:cs="Times New Roman"/>
          <w:color w:val="auto"/>
          <w:sz w:val="32"/>
          <w:szCs w:val="20"/>
          <w:highlight w:val="none"/>
        </w:rPr>
        <w:t>。一般公共预算收入预计</w:t>
      </w:r>
      <w:r>
        <w:rPr>
          <w:rFonts w:hint="default" w:ascii="Times New Roman" w:hAnsi="Times New Roman" w:eastAsia="方正仿宋_GBK" w:cs="Times New Roman"/>
          <w:color w:val="auto"/>
          <w:sz w:val="32"/>
          <w:szCs w:val="20"/>
          <w:highlight w:val="none"/>
          <w:lang w:val="en-US" w:eastAsia="zh-CN"/>
        </w:rPr>
        <w:t>4.1</w:t>
      </w:r>
      <w:r>
        <w:rPr>
          <w:rFonts w:hint="default" w:ascii="Times New Roman" w:hAnsi="Times New Roman" w:eastAsia="方正仿宋_GBK" w:cs="Times New Roman"/>
          <w:color w:val="auto"/>
          <w:sz w:val="32"/>
          <w:szCs w:val="20"/>
          <w:highlight w:val="none"/>
        </w:rPr>
        <w:t>亿元；其中，税收收入</w:t>
      </w:r>
      <w:r>
        <w:rPr>
          <w:rFonts w:hint="default" w:ascii="Times New Roman" w:hAnsi="Times New Roman" w:eastAsia="方正仿宋_GBK" w:cs="Times New Roman"/>
          <w:color w:val="auto"/>
          <w:sz w:val="32"/>
          <w:szCs w:val="20"/>
          <w:highlight w:val="none"/>
          <w:lang w:val="en-US" w:eastAsia="zh-CN"/>
        </w:rPr>
        <w:t>4</w:t>
      </w:r>
      <w:r>
        <w:rPr>
          <w:rFonts w:hint="default" w:ascii="Times New Roman" w:hAnsi="Times New Roman" w:eastAsia="方正仿宋_GBK" w:cs="Times New Roman"/>
          <w:color w:val="auto"/>
          <w:sz w:val="32"/>
          <w:szCs w:val="20"/>
          <w:highlight w:val="none"/>
        </w:rPr>
        <w:t>亿元。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b/>
          <w:bCs/>
          <w:color w:val="auto"/>
          <w:sz w:val="32"/>
          <w:szCs w:val="20"/>
          <w:highlight w:val="none"/>
        </w:rPr>
        <w:t>3.镇乡街道</w:t>
      </w:r>
      <w:r>
        <w:rPr>
          <w:rFonts w:hint="default" w:ascii="Times New Roman" w:hAnsi="Times New Roman" w:eastAsia="方正仿宋_GBK" w:cs="Times New Roman"/>
          <w:color w:val="auto"/>
          <w:sz w:val="32"/>
          <w:szCs w:val="20"/>
          <w:highlight w:val="none"/>
        </w:rPr>
        <w:t>。一般公共预算收入预计</w:t>
      </w:r>
      <w:r>
        <w:rPr>
          <w:rFonts w:hint="default" w:ascii="Times New Roman" w:hAnsi="Times New Roman" w:eastAsia="方正仿宋_GBK" w:cs="Times New Roman"/>
          <w:color w:val="auto"/>
          <w:sz w:val="32"/>
          <w:szCs w:val="20"/>
          <w:highlight w:val="none"/>
          <w:lang w:val="en-US" w:eastAsia="zh-CN"/>
        </w:rPr>
        <w:t>5.3</w:t>
      </w:r>
      <w:r>
        <w:rPr>
          <w:rFonts w:hint="default" w:ascii="Times New Roman" w:hAnsi="Times New Roman" w:eastAsia="方正仿宋_GBK" w:cs="Times New Roman"/>
          <w:color w:val="auto"/>
          <w:sz w:val="32"/>
          <w:szCs w:val="20"/>
          <w:highlight w:val="none"/>
        </w:rPr>
        <w:t>亿元；其中，税收收入</w:t>
      </w:r>
      <w:r>
        <w:rPr>
          <w:rFonts w:hint="default" w:ascii="Times New Roman" w:hAnsi="Times New Roman" w:eastAsia="方正仿宋_GBK" w:cs="Times New Roman"/>
          <w:color w:val="auto"/>
          <w:sz w:val="32"/>
          <w:szCs w:val="20"/>
          <w:highlight w:val="none"/>
          <w:lang w:val="en-US" w:eastAsia="zh-CN"/>
        </w:rPr>
        <w:t>4.9</w:t>
      </w:r>
      <w:r>
        <w:rPr>
          <w:rFonts w:hint="default" w:ascii="Times New Roman" w:hAnsi="Times New Roman" w:eastAsia="方正仿宋_GBK" w:cs="Times New Roman"/>
          <w:color w:val="auto"/>
          <w:sz w:val="32"/>
          <w:szCs w:val="20"/>
          <w:highlight w:val="none"/>
        </w:rPr>
        <w:t>亿元。政府性基金预算收入预计</w:t>
      </w:r>
      <w:r>
        <w:rPr>
          <w:rFonts w:hint="default" w:ascii="Times New Roman" w:hAnsi="Times New Roman" w:eastAsia="方正仿宋_GBK" w:cs="Times New Roman"/>
          <w:color w:val="auto"/>
          <w:sz w:val="32"/>
          <w:szCs w:val="20"/>
          <w:highlight w:val="none"/>
          <w:lang w:val="en-US" w:eastAsia="zh-CN"/>
        </w:rPr>
        <w:t>728</w:t>
      </w:r>
      <w:r>
        <w:rPr>
          <w:rFonts w:hint="default" w:ascii="Times New Roman" w:hAnsi="Times New Roman" w:eastAsia="方正仿宋_GBK" w:cs="Times New Roman"/>
          <w:color w:val="auto"/>
          <w:sz w:val="32"/>
          <w:szCs w:val="20"/>
          <w:highlight w:val="none"/>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需要说明的是，预算草案批准前，涉及必须安排的人员、基本运转等支出，按照预算法规定，已作相应安排。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四、2023年财政重点工作</w:t>
      </w:r>
    </w:p>
    <w:p>
      <w:pPr>
        <w:keepNext w:val="0"/>
        <w:keepLines w:val="0"/>
        <w:pageBreakBefore w:val="0"/>
        <w:widowControl w:val="0"/>
        <w:tabs>
          <w:tab w:val="left" w:pos="294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2023年，全区财政将认真贯彻区委决策部署，严格落实区人大及其常委会预算决议，精准实施积极的财政政策，切实增强重大战略任务保障能力，加快建立规范透明、标准科学、约束有力的预算制度，推进预算绩效管理提质增效，促进全区经济高质量发展和社会大局和谐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（一）落细落实财政政策，推动高质量发展</w:t>
      </w:r>
      <w:r>
        <w:rPr>
          <w:rFonts w:hint="default" w:ascii="Times New Roman" w:hAnsi="Times New Roman" w:eastAsia="方正仿宋_GBK" w:cs="Times New Roman"/>
          <w:color w:val="auto"/>
          <w:sz w:val="32"/>
          <w:szCs w:val="32"/>
          <w:highlight w:val="none"/>
          <w:lang w:val="en-US" w:eastAsia="zh-CN"/>
        </w:rPr>
        <w:t>。强化高质量发展目标引领，集成运用各项财税政策工具，更好发挥财政政策、资金的引导作用。全面落实减税降费政策，积极引导市场主体将现金流支持用于转型升级、扩大生产，持续释放政策红利。精准落实产业扶持、招商引资政策，足额预算产业发展专项资金，加强产业政策实施效果评估，动态优化调整产业政策支持重点和方向</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支持建设工业强区、现代服务业高质量发展、提质现代山地特色高效农业，加快构建现代产业体系。积极推动组建渝东北科创基金，力争落地万州，持续优化科技创新生态，着力培育引进创新企业、研发机构和科研人才。高水平创建重庆市普惠金融发展示范区，积极与市级融资担保机构开展合作，扩大中小微企业受益面。强化政府采购政策功能，提高面向中小企业的预留政府采购份额，支持中小企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（二）用好用活财政资金，助力高品质生活</w:t>
      </w:r>
      <w:r>
        <w:rPr>
          <w:rFonts w:hint="default" w:ascii="Times New Roman" w:hAnsi="Times New Roman" w:eastAsia="方正仿宋_GBK" w:cs="Times New Roman"/>
          <w:color w:val="auto"/>
          <w:sz w:val="32"/>
          <w:szCs w:val="32"/>
          <w:highlight w:val="none"/>
          <w:lang w:val="en-US" w:eastAsia="zh-CN"/>
        </w:rPr>
        <w:t>。坚持以人民为中心的发展思想，坚决保障好民生支出，持续增强人民群众获得感、幸福感和安全感。坚持“三保”支出优先地位，在预算安排上优先保障，在资金拨付上足额预留，支持教育、医疗、文化体育等社会事业高质量发展，切实保障重点群体人员政策待遇，兜牢兜实“三保”底线。坚持党政机关过紧日子，大力压减一般性支出，严禁将项目资金用于一般性支出，从严从紧控制预算追加，深化财政内控建设，完善过紧日子的制度体系，腾出更多财政资源用于保障和改善民生。围绕人民群众最关心、最直接、最现实的突出问题和重点领域，加强项目包装策划储备，积极争取上级专项转移支付、新增地方政府债券，加大财政统筹整合力度，支持推进城市更新提升、完善交通网络体系、提升生态环境质量、全面推进乡村振兴、维护安全稳定等重点领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（三）突围突破财政改革，助推高效能治理</w:t>
      </w:r>
      <w:r>
        <w:rPr>
          <w:rFonts w:hint="default" w:ascii="Times New Roman" w:hAnsi="Times New Roman" w:eastAsia="方正仿宋_GBK" w:cs="Times New Roman"/>
          <w:color w:val="auto"/>
          <w:sz w:val="32"/>
          <w:szCs w:val="32"/>
          <w:highlight w:val="none"/>
          <w:lang w:val="en-US" w:eastAsia="zh-CN"/>
        </w:rPr>
        <w:t>。聚焦健全现代预算制度，进一步破除体制机制障碍、补齐管理制度短板，提升财政治理效能。完成渝东新区财政管理体制调整，加强镇乡街道财政管理体制业务培训和运行评估，完善财政转移支付体系，更好发挥各财政单元的积极性。全面推进综合预算改革，将预算单位非财政拨款收入纳入预算管理，加强财政拨款收入和非财政拨款收入统筹，增强政府预算调控能力。深入推进预算绩效改革，将绩效理念与方法深度融入预算管理各环节，完善与绩效目标编制相衔接的绩效指标和标准体系，加强绩效运行监控，扩大重点绩效评价覆盖面，强化绩效评价结果运用，探索</w:t>
      </w:r>
      <w:r>
        <w:rPr>
          <w:rFonts w:hint="eastAsia" w:ascii="Times New Roman" w:hAnsi="Times New Roman" w:eastAsia="方正仿宋_GBK" w:cs="Times New Roman"/>
          <w:color w:val="auto"/>
          <w:sz w:val="32"/>
          <w:szCs w:val="32"/>
          <w:highlight w:val="none"/>
          <w:lang w:val="en-US" w:eastAsia="zh-CN"/>
        </w:rPr>
        <w:t>推进</w:t>
      </w:r>
      <w:r>
        <w:rPr>
          <w:rFonts w:hint="default" w:ascii="Times New Roman" w:hAnsi="Times New Roman" w:eastAsia="方正仿宋_GBK" w:cs="Times New Roman"/>
          <w:color w:val="auto"/>
          <w:sz w:val="32"/>
          <w:szCs w:val="32"/>
          <w:highlight w:val="none"/>
          <w:lang w:val="en-US" w:eastAsia="zh-CN"/>
        </w:rPr>
        <w:t>绩效管理与财政监督贯通协调，不断提高资金使用效益。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（四）严管严控财政风险，促进高水平安全</w:t>
      </w:r>
      <w:r>
        <w:rPr>
          <w:rFonts w:hint="default" w:ascii="Times New Roman" w:hAnsi="Times New Roman" w:eastAsia="方正仿宋_GBK" w:cs="Times New Roman"/>
          <w:color w:val="auto"/>
          <w:sz w:val="32"/>
          <w:szCs w:val="32"/>
          <w:highlight w:val="none"/>
          <w:lang w:val="en-US" w:eastAsia="zh-CN"/>
        </w:rPr>
        <w:t>。平衡好促发展和防风险的关系，推动财政更为安全、更可持续发展。认真落实区政府重大经济工作议事决策机制，建立健全财政承受能力评估机制，扎实开展事前绩效评估，防止过度保障、低效投资。防范化解政府债务风险，</w:t>
      </w:r>
      <w:r>
        <w:rPr>
          <w:rFonts w:hint="default" w:ascii="Times New Roman" w:hAnsi="Times New Roman" w:eastAsia="方正仿宋_GBK" w:cs="Times New Roman"/>
          <w:color w:val="auto"/>
          <w:sz w:val="30"/>
          <w:szCs w:val="30"/>
          <w:highlight w:val="none"/>
          <w:lang w:val="en-US" w:eastAsia="zh-CN"/>
        </w:rPr>
        <w:t>动态监测全区平台类公司及国有企业债务，</w:t>
      </w:r>
      <w:r>
        <w:rPr>
          <w:rFonts w:hint="default" w:ascii="Times New Roman" w:hAnsi="Times New Roman" w:eastAsia="方正仿宋_GBK" w:cs="Times New Roman"/>
          <w:color w:val="auto"/>
          <w:sz w:val="32"/>
          <w:szCs w:val="32"/>
          <w:highlight w:val="none"/>
          <w:lang w:val="en-US" w:eastAsia="zh-CN"/>
        </w:rPr>
        <w:t>妥善化解存量隐性债务，坚决遏制新增隐性债务，加大对镇乡街道新增隐性赤字监督查处力度。强化审计发现问题整改，提高财政监督效能，让财经纪律成为不可触碰的“高压线”。</w:t>
      </w:r>
    </w:p>
    <w:p>
      <w:pPr>
        <w:spacing w:line="590" w:lineRule="exact"/>
        <w:ind w:firstLine="640" w:firstLineChars="200"/>
        <w:rPr>
          <w:rFonts w:ascii="Times New Roman" w:hAnsi="Times New Roman"/>
          <w:color w:val="auto"/>
          <w:highlight w:val="none"/>
        </w:rPr>
      </w:pPr>
      <w:r>
        <w:rPr>
          <w:rFonts w:hint="default" w:ascii="Times New Roman" w:hAnsi="Times New Roman" w:eastAsia="方正仿宋_GBK" w:cs="Times New Roman"/>
          <w:color w:val="auto"/>
          <w:sz w:val="32"/>
          <w:szCs w:val="32"/>
          <w:highlight w:val="none"/>
          <w:lang w:val="en-US" w:eastAsia="zh-CN"/>
        </w:rPr>
        <w:t>各位代表！路虽远，行则将至；事虽难，做则必成。2023年，全区财政将更加紧密地团结在以习近平同志为核心的党中央周围，以习近平新时代中国特色社会主义思想为指导，在区委的坚强领导下，自觉接受区人大的监督，认真听取区政协的意见建议，知重负重、攻坚克难，踔厉奋发、勇毅前行，扎扎实实做好财政各项工作，推动财政事业在高质量发展道路上行稳致远，为全面建设社会主义现代化新万州而不懈奋斗。</w:t>
      </w:r>
    </w:p>
    <w:sectPr>
      <w:footerReference r:id="rId3" w:type="default"/>
      <w:pgSz w:w="11906" w:h="16838"/>
      <w:pgMar w:top="1587" w:right="1502" w:bottom="1587" w:left="1502"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4580"/>
    <w:rsid w:val="00F5543E"/>
    <w:rsid w:val="023A61D9"/>
    <w:rsid w:val="06474A51"/>
    <w:rsid w:val="07A005CD"/>
    <w:rsid w:val="07A3702C"/>
    <w:rsid w:val="09A87DB7"/>
    <w:rsid w:val="0DE3187D"/>
    <w:rsid w:val="0F1A0CE8"/>
    <w:rsid w:val="0F3D244E"/>
    <w:rsid w:val="0FC23401"/>
    <w:rsid w:val="10A64960"/>
    <w:rsid w:val="118F3B8B"/>
    <w:rsid w:val="11930768"/>
    <w:rsid w:val="13501AFC"/>
    <w:rsid w:val="16A216F5"/>
    <w:rsid w:val="17CF798A"/>
    <w:rsid w:val="182614B5"/>
    <w:rsid w:val="19331B01"/>
    <w:rsid w:val="1B55414C"/>
    <w:rsid w:val="1C0A0B1C"/>
    <w:rsid w:val="1D7B152A"/>
    <w:rsid w:val="1E005F77"/>
    <w:rsid w:val="20510F19"/>
    <w:rsid w:val="221F6AE5"/>
    <w:rsid w:val="22702A02"/>
    <w:rsid w:val="23BC1736"/>
    <w:rsid w:val="257428F1"/>
    <w:rsid w:val="269F3B0E"/>
    <w:rsid w:val="288829C2"/>
    <w:rsid w:val="294A29C7"/>
    <w:rsid w:val="2AFA2FB5"/>
    <w:rsid w:val="2BB47763"/>
    <w:rsid w:val="2BF91CEB"/>
    <w:rsid w:val="2CFC74E3"/>
    <w:rsid w:val="2D155B06"/>
    <w:rsid w:val="2D993ECD"/>
    <w:rsid w:val="2DEC68A2"/>
    <w:rsid w:val="2F761ABE"/>
    <w:rsid w:val="305B5C00"/>
    <w:rsid w:val="31705EE9"/>
    <w:rsid w:val="33CD2E20"/>
    <w:rsid w:val="3589449E"/>
    <w:rsid w:val="366B71BD"/>
    <w:rsid w:val="37F46823"/>
    <w:rsid w:val="395F0E48"/>
    <w:rsid w:val="3B2B6EBD"/>
    <w:rsid w:val="3C6D2714"/>
    <w:rsid w:val="3CBA2453"/>
    <w:rsid w:val="40826ACE"/>
    <w:rsid w:val="44744F1F"/>
    <w:rsid w:val="47102FDA"/>
    <w:rsid w:val="47803503"/>
    <w:rsid w:val="47EC1D97"/>
    <w:rsid w:val="4ACC6DFF"/>
    <w:rsid w:val="4B1C4B94"/>
    <w:rsid w:val="4DD754FA"/>
    <w:rsid w:val="4E2D3474"/>
    <w:rsid w:val="4E426B81"/>
    <w:rsid w:val="4F6808EA"/>
    <w:rsid w:val="4F762D35"/>
    <w:rsid w:val="4F7E5A9B"/>
    <w:rsid w:val="50E306A8"/>
    <w:rsid w:val="5298647E"/>
    <w:rsid w:val="531971E5"/>
    <w:rsid w:val="53DF3ACC"/>
    <w:rsid w:val="54061EEB"/>
    <w:rsid w:val="54BC7AF7"/>
    <w:rsid w:val="57E35768"/>
    <w:rsid w:val="5A675B87"/>
    <w:rsid w:val="5A6B524E"/>
    <w:rsid w:val="5B7E60CD"/>
    <w:rsid w:val="5C5D00B3"/>
    <w:rsid w:val="5C94724E"/>
    <w:rsid w:val="5E84784E"/>
    <w:rsid w:val="5EC822CA"/>
    <w:rsid w:val="5F3D3C95"/>
    <w:rsid w:val="61A35943"/>
    <w:rsid w:val="61B06D68"/>
    <w:rsid w:val="62405706"/>
    <w:rsid w:val="63223250"/>
    <w:rsid w:val="63E83EA5"/>
    <w:rsid w:val="64D81B46"/>
    <w:rsid w:val="66B7243D"/>
    <w:rsid w:val="66C26382"/>
    <w:rsid w:val="68AD4580"/>
    <w:rsid w:val="694C2288"/>
    <w:rsid w:val="69CE7451"/>
    <w:rsid w:val="6B6141CF"/>
    <w:rsid w:val="6BFF7478"/>
    <w:rsid w:val="6E264242"/>
    <w:rsid w:val="71990963"/>
    <w:rsid w:val="736E3ACC"/>
    <w:rsid w:val="758A59A4"/>
    <w:rsid w:val="78AC76B3"/>
    <w:rsid w:val="79341DD5"/>
    <w:rsid w:val="797B4FE6"/>
    <w:rsid w:val="7A5C7B1C"/>
    <w:rsid w:val="7A9C51C8"/>
    <w:rsid w:val="7CB215F5"/>
    <w:rsid w:val="7CFF54FD"/>
    <w:rsid w:val="7D000F02"/>
    <w:rsid w:val="7DCF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2023-01-08T23:52:00Z</dcterms:created>
  <dc:creator>Administrator</dc:creator>
  <cp:lastModifiedBy>Administrator</cp:lastModifiedBy>
  <cp:lastPrinted>2023-02-11T08:06:00Z</cp:lastPrinted>
  <dcterms:modified xsi:type="dcterms:W3CDTF">2025-09-09T07:06:04Z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