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6E8" w:rsidRDefault="00A43AFE">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重庆市万州区社会保险事务中心</w:t>
      </w:r>
    </w:p>
    <w:p w:rsidR="003006E8" w:rsidRDefault="00A43AFE">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2020</w:t>
      </w:r>
      <w:r>
        <w:rPr>
          <w:rFonts w:ascii="Times New Roman" w:eastAsia="方正小标宋_GBK" w:hAnsi="Times New Roman" w:cs="Times New Roman" w:hint="eastAsia"/>
          <w:sz w:val="44"/>
          <w:szCs w:val="44"/>
        </w:rPr>
        <w:t>部门决算情况说明</w:t>
      </w:r>
    </w:p>
    <w:p w:rsidR="003006E8" w:rsidRDefault="00A43AFE">
      <w:pPr>
        <w:widowControl/>
        <w:shd w:val="clear" w:color="auto" w:fill="FFFFFF"/>
        <w:spacing w:before="100" w:beforeAutospacing="1" w:after="100" w:afterAutospacing="1" w:line="670" w:lineRule="atLeast"/>
        <w:ind w:firstLine="720"/>
        <w:jc w:val="left"/>
        <w:rPr>
          <w:rFonts w:ascii="微软雅黑" w:eastAsia="微软雅黑" w:hAnsi="微软雅黑" w:cs="宋体"/>
          <w:color w:val="333333"/>
          <w:kern w:val="0"/>
          <w:sz w:val="32"/>
          <w:szCs w:val="32"/>
        </w:rPr>
      </w:pPr>
      <w:r>
        <w:rPr>
          <w:rFonts w:ascii="方正黑体_GBK" w:eastAsia="方正黑体_GBK" w:hAnsi="方正黑体_GBK" w:cs="宋体" w:hint="eastAsia"/>
          <w:color w:val="333333"/>
          <w:kern w:val="0"/>
          <w:sz w:val="32"/>
          <w:szCs w:val="32"/>
        </w:rPr>
        <w:t>一、单位基本情况</w:t>
      </w:r>
    </w:p>
    <w:p w:rsidR="003006E8" w:rsidRDefault="00A43AFE">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（一）职能职责</w:t>
      </w:r>
    </w:p>
    <w:p w:rsidR="003006E8" w:rsidRDefault="00A43AFE">
      <w:pPr>
        <w:widowControl/>
        <w:shd w:val="clear" w:color="auto" w:fill="FFFFFF"/>
        <w:spacing w:line="670" w:lineRule="atLeast"/>
        <w:ind w:firstLine="720"/>
        <w:jc w:val="left"/>
        <w:rPr>
          <w:rFonts w:ascii="微软雅黑" w:eastAsia="微软雅黑" w:hAnsi="微软雅黑" w:cs="宋体"/>
          <w:color w:val="333333"/>
          <w:kern w:val="0"/>
          <w:sz w:val="32"/>
          <w:szCs w:val="32"/>
        </w:rPr>
      </w:pPr>
      <w:r>
        <w:rPr>
          <w:rFonts w:ascii="方正仿宋_GBK" w:eastAsia="方正仿宋_GBK" w:hAnsi="方正仿宋_GBK" w:cs="宋体" w:hint="eastAsia"/>
          <w:color w:val="333333"/>
          <w:kern w:val="0"/>
          <w:sz w:val="32"/>
          <w:szCs w:val="32"/>
        </w:rPr>
        <w:t>我单位主要职责为：贯彻执行有关社会保险的法律、法规、规章和政策，负责指导镇乡、街道社会保险经办工作；拟订并组织实施全区城乡养老保险、机关事业单位养老保险、工伤保险年度工作计划、实施方案、管理制度；制定城乡养老保险、机关事业单位养老保险、工伤保险年度基金的预算决算方案；承担社会保险基金的核算等工作；统筹承办社会保险的登记、参保工作；配合税务部门做好征收工作，承担城乡养老保险关系转移、接续和基金划转工作；承担按政策规定审核、调整城乡养老保险、工伤保险待遇和费用的事务性工作，按时足额发放社会保险待遇；承担机关事业</w:t>
      </w:r>
      <w:r>
        <w:rPr>
          <w:rFonts w:ascii="方正仿宋_GBK" w:eastAsia="方正仿宋_GBK" w:hAnsi="方正仿宋_GBK" w:cs="宋体" w:hint="eastAsia"/>
          <w:color w:val="333333"/>
          <w:kern w:val="0"/>
          <w:sz w:val="32"/>
          <w:szCs w:val="32"/>
        </w:rPr>
        <w:t>单位养老保险参保、关系转移接续、待遇调整和发放工作，承担职业年金经办工作；承担社会保险经办风险防控；承担城乡养老保险、工伤保险费征缴和基金支付稽核的事务性工作；负责工伤保险协议医疗机构的协议管理；协助相关部门处理骗取社会保险基金举报投诉案件；承担社会保险信息化的建设工作；承担养老保险和工伤保险的个人权益记录、查询和数</w:t>
      </w:r>
      <w:r>
        <w:rPr>
          <w:rFonts w:ascii="方正仿宋_GBK" w:eastAsia="方正仿宋_GBK" w:hAnsi="方正仿宋_GBK" w:cs="宋体" w:hint="eastAsia"/>
          <w:color w:val="333333"/>
          <w:kern w:val="0"/>
          <w:sz w:val="32"/>
          <w:szCs w:val="32"/>
        </w:rPr>
        <w:lastRenderedPageBreak/>
        <w:t>据分析、运用；承担相关社会保险统计工作；承担社会保障卡的管理、运用和推广等工作；承担社保业务档案管理，指导全区退休人员社会化管理服务工作；承担社会保险政策宣传、业务咨询，负责经办服务的新闻宣传、</w:t>
      </w:r>
      <w:r>
        <w:rPr>
          <w:rFonts w:ascii="方正仿宋_GBK" w:eastAsia="方正仿宋_GBK" w:hAnsi="方正仿宋_GBK" w:cs="宋体" w:hint="eastAsia"/>
          <w:color w:val="333333"/>
          <w:kern w:val="0"/>
          <w:sz w:val="32"/>
          <w:szCs w:val="32"/>
        </w:rPr>
        <w:t>舆情处理和来信来访办理；完成区委、区政府和区人力社保局交办的其他任务。</w:t>
      </w:r>
    </w:p>
    <w:p w:rsidR="003006E8" w:rsidRDefault="00A43AFE">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（二）机构设置</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单位原名称为“重庆市万州区社会保障服务中心”，于</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w:t>
      </w:r>
      <w:r>
        <w:rPr>
          <w:rFonts w:ascii="方正仿宋_GBK" w:eastAsia="方正仿宋_GBK" w:hAnsi="方正仿宋_GBK" w:cs="宋体" w:hint="eastAsia"/>
          <w:color w:val="333333"/>
          <w:kern w:val="0"/>
          <w:sz w:val="32"/>
          <w:szCs w:val="32"/>
        </w:rPr>
        <w:t>5</w:t>
      </w:r>
      <w:r>
        <w:rPr>
          <w:rFonts w:ascii="方正仿宋_GBK" w:eastAsia="方正仿宋_GBK" w:hAnsi="方正仿宋_GBK" w:cs="宋体" w:hint="eastAsia"/>
          <w:color w:val="333333"/>
          <w:kern w:val="0"/>
          <w:sz w:val="32"/>
          <w:szCs w:val="32"/>
        </w:rPr>
        <w:t>月变更为“重庆市万州区社会保险事务中心”，为参照公务员管理的全额拨款事业单位，执行政府会计制度，一级预算单位。编办核定全额拨款事业编制</w:t>
      </w:r>
      <w:r>
        <w:rPr>
          <w:rFonts w:ascii="方正仿宋_GBK" w:eastAsia="方正仿宋_GBK" w:hAnsi="方正仿宋_GBK" w:cs="宋体" w:hint="eastAsia"/>
          <w:color w:val="333333"/>
          <w:kern w:val="0"/>
          <w:sz w:val="32"/>
          <w:szCs w:val="32"/>
        </w:rPr>
        <w:t>72</w:t>
      </w:r>
      <w:r>
        <w:rPr>
          <w:rFonts w:ascii="方正仿宋_GBK" w:eastAsia="方正仿宋_GBK" w:hAnsi="方正仿宋_GBK" w:cs="宋体" w:hint="eastAsia"/>
          <w:color w:val="333333"/>
          <w:kern w:val="0"/>
          <w:sz w:val="32"/>
          <w:szCs w:val="32"/>
        </w:rPr>
        <w:t>名，其中：主任</w:t>
      </w:r>
      <w:r>
        <w:rPr>
          <w:rFonts w:ascii="方正仿宋_GBK" w:eastAsia="方正仿宋_GBK" w:hAnsi="方正仿宋_GBK" w:cs="宋体" w:hint="eastAsia"/>
          <w:color w:val="333333"/>
          <w:kern w:val="0"/>
          <w:sz w:val="32"/>
          <w:szCs w:val="32"/>
        </w:rPr>
        <w:t>1</w:t>
      </w:r>
      <w:r>
        <w:rPr>
          <w:rFonts w:ascii="方正仿宋_GBK" w:eastAsia="方正仿宋_GBK" w:hAnsi="方正仿宋_GBK" w:cs="宋体" w:hint="eastAsia"/>
          <w:color w:val="333333"/>
          <w:kern w:val="0"/>
          <w:sz w:val="32"/>
          <w:szCs w:val="32"/>
        </w:rPr>
        <w:t>名，副主任</w:t>
      </w:r>
      <w:r>
        <w:rPr>
          <w:rFonts w:ascii="方正仿宋_GBK" w:eastAsia="方正仿宋_GBK" w:hAnsi="方正仿宋_GBK" w:cs="宋体" w:hint="eastAsia"/>
          <w:color w:val="333333"/>
          <w:kern w:val="0"/>
          <w:sz w:val="32"/>
          <w:szCs w:val="32"/>
        </w:rPr>
        <w:t>4</w:t>
      </w:r>
      <w:r>
        <w:rPr>
          <w:rFonts w:ascii="方正仿宋_GBK" w:eastAsia="方正仿宋_GBK" w:hAnsi="方正仿宋_GBK" w:cs="宋体" w:hint="eastAsia"/>
          <w:color w:val="333333"/>
          <w:kern w:val="0"/>
          <w:sz w:val="32"/>
          <w:szCs w:val="32"/>
        </w:rPr>
        <w:t>名；内设机构</w:t>
      </w:r>
      <w:r>
        <w:rPr>
          <w:rFonts w:ascii="方正仿宋_GBK" w:eastAsia="方正仿宋_GBK" w:hAnsi="方正仿宋_GBK" w:cs="宋体" w:hint="eastAsia"/>
          <w:color w:val="333333"/>
          <w:kern w:val="0"/>
          <w:sz w:val="32"/>
          <w:szCs w:val="32"/>
        </w:rPr>
        <w:t>12</w:t>
      </w:r>
      <w:r>
        <w:rPr>
          <w:rFonts w:ascii="方正仿宋_GBK" w:eastAsia="方正仿宋_GBK" w:hAnsi="方正仿宋_GBK" w:cs="宋体" w:hint="eastAsia"/>
          <w:color w:val="333333"/>
          <w:kern w:val="0"/>
          <w:sz w:val="32"/>
          <w:szCs w:val="32"/>
        </w:rPr>
        <w:t>个；科级领导职数</w:t>
      </w:r>
      <w:r>
        <w:rPr>
          <w:rFonts w:ascii="方正仿宋_GBK" w:eastAsia="方正仿宋_GBK" w:hAnsi="方正仿宋_GBK" w:cs="宋体" w:hint="eastAsia"/>
          <w:color w:val="333333"/>
          <w:kern w:val="0"/>
          <w:sz w:val="32"/>
          <w:szCs w:val="32"/>
        </w:rPr>
        <w:t>17</w:t>
      </w:r>
      <w:r>
        <w:rPr>
          <w:rFonts w:ascii="方正仿宋_GBK" w:eastAsia="方正仿宋_GBK" w:hAnsi="方正仿宋_GBK" w:cs="宋体" w:hint="eastAsia"/>
          <w:color w:val="333333"/>
          <w:kern w:val="0"/>
          <w:sz w:val="32"/>
          <w:szCs w:val="32"/>
        </w:rPr>
        <w:t>名。目前设有综合科、组织人事科、稽核风控科、数据管理科、基金财务科、公共业务科、单位征缴科、个人参保科、机关事业养老保险科、居民养老保险科、养老保险待遇科、工伤保</w:t>
      </w:r>
      <w:r>
        <w:rPr>
          <w:rFonts w:ascii="方正仿宋_GBK" w:eastAsia="方正仿宋_GBK" w:hAnsi="方正仿宋_GBK" w:cs="宋体" w:hint="eastAsia"/>
          <w:color w:val="333333"/>
          <w:kern w:val="0"/>
          <w:sz w:val="32"/>
          <w:szCs w:val="32"/>
        </w:rPr>
        <w:t>险待遇科共</w:t>
      </w:r>
      <w:r>
        <w:rPr>
          <w:rFonts w:ascii="方正仿宋_GBK" w:eastAsia="方正仿宋_GBK" w:hAnsi="方正仿宋_GBK" w:cs="宋体" w:hint="eastAsia"/>
          <w:color w:val="333333"/>
          <w:kern w:val="0"/>
          <w:sz w:val="32"/>
          <w:szCs w:val="32"/>
        </w:rPr>
        <w:t>12</w:t>
      </w:r>
      <w:r>
        <w:rPr>
          <w:rFonts w:ascii="方正仿宋_GBK" w:eastAsia="方正仿宋_GBK" w:hAnsi="方正仿宋_GBK" w:cs="宋体" w:hint="eastAsia"/>
          <w:color w:val="333333"/>
          <w:kern w:val="0"/>
          <w:sz w:val="32"/>
          <w:szCs w:val="32"/>
        </w:rPr>
        <w:t>个科室。</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年年末单位实有人员</w:t>
      </w:r>
      <w:r>
        <w:rPr>
          <w:rFonts w:ascii="方正仿宋_GBK" w:eastAsia="方正仿宋_GBK" w:hAnsi="方正仿宋_GBK" w:cs="宋体" w:hint="eastAsia"/>
          <w:color w:val="333333"/>
          <w:kern w:val="0"/>
          <w:sz w:val="32"/>
          <w:szCs w:val="32"/>
        </w:rPr>
        <w:t>60</w:t>
      </w:r>
      <w:r>
        <w:rPr>
          <w:rFonts w:ascii="方正仿宋_GBK" w:eastAsia="方正仿宋_GBK" w:hAnsi="方正仿宋_GBK" w:cs="宋体" w:hint="eastAsia"/>
          <w:color w:val="333333"/>
          <w:kern w:val="0"/>
          <w:sz w:val="32"/>
          <w:szCs w:val="32"/>
        </w:rPr>
        <w:t>名，在编人员</w:t>
      </w:r>
      <w:r>
        <w:rPr>
          <w:rFonts w:ascii="方正仿宋_GBK" w:eastAsia="方正仿宋_GBK" w:hAnsi="方正仿宋_GBK" w:cs="宋体" w:hint="eastAsia"/>
          <w:color w:val="333333"/>
          <w:kern w:val="0"/>
          <w:sz w:val="32"/>
          <w:szCs w:val="32"/>
        </w:rPr>
        <w:t>52</w:t>
      </w:r>
      <w:r>
        <w:rPr>
          <w:rFonts w:ascii="方正仿宋_GBK" w:eastAsia="方正仿宋_GBK" w:hAnsi="方正仿宋_GBK" w:cs="宋体" w:hint="eastAsia"/>
          <w:color w:val="333333"/>
          <w:kern w:val="0"/>
          <w:sz w:val="32"/>
          <w:szCs w:val="32"/>
        </w:rPr>
        <w:t>名，临聘人员</w:t>
      </w:r>
      <w:r>
        <w:rPr>
          <w:rFonts w:ascii="方正仿宋_GBK" w:eastAsia="方正仿宋_GBK" w:hAnsi="方正仿宋_GBK" w:cs="宋体" w:hint="eastAsia"/>
          <w:color w:val="333333"/>
          <w:kern w:val="0"/>
          <w:sz w:val="32"/>
          <w:szCs w:val="32"/>
        </w:rPr>
        <w:t>8</w:t>
      </w:r>
      <w:r>
        <w:rPr>
          <w:rFonts w:ascii="方正仿宋_GBK" w:eastAsia="方正仿宋_GBK" w:hAnsi="方正仿宋_GBK" w:cs="宋体" w:hint="eastAsia"/>
          <w:color w:val="333333"/>
          <w:kern w:val="0"/>
          <w:sz w:val="32"/>
          <w:szCs w:val="32"/>
        </w:rPr>
        <w:t>名。</w:t>
      </w:r>
    </w:p>
    <w:p w:rsidR="003006E8" w:rsidRDefault="00A43AFE">
      <w:pPr>
        <w:widowControl/>
        <w:shd w:val="clear" w:color="auto" w:fill="FFFFFF"/>
        <w:spacing w:before="100" w:beforeAutospacing="1" w:after="100" w:afterAutospacing="1" w:line="670" w:lineRule="atLeast"/>
        <w:ind w:firstLine="720"/>
        <w:jc w:val="left"/>
        <w:rPr>
          <w:rFonts w:ascii="微软雅黑" w:eastAsia="微软雅黑" w:hAnsi="微软雅黑" w:cs="宋体"/>
          <w:color w:val="333333"/>
          <w:kern w:val="0"/>
          <w:sz w:val="27"/>
          <w:szCs w:val="27"/>
        </w:rPr>
      </w:pPr>
      <w:r>
        <w:rPr>
          <w:rFonts w:ascii="Times New Roman" w:eastAsia="方正楷体_GBK" w:hAnsi="Times New Roman" w:cs="Times New Roman" w:hint="eastAsia"/>
          <w:sz w:val="32"/>
          <w:szCs w:val="32"/>
        </w:rPr>
        <w:t>（三）单位构成。</w:t>
      </w:r>
      <w:r>
        <w:rPr>
          <w:rFonts w:ascii="方正仿宋_GBK" w:eastAsia="方正仿宋_GBK" w:hAnsi="方正仿宋_GBK" w:cs="宋体" w:hint="eastAsia"/>
          <w:color w:val="333333"/>
          <w:kern w:val="0"/>
          <w:sz w:val="32"/>
          <w:szCs w:val="32"/>
        </w:rPr>
        <w:t>本单位无下级预算单位。</w:t>
      </w:r>
    </w:p>
    <w:p w:rsidR="003006E8" w:rsidRDefault="00A43AFE">
      <w:pPr>
        <w:widowControl/>
        <w:shd w:val="clear" w:color="auto" w:fill="FFFFFF"/>
        <w:spacing w:before="100" w:beforeAutospacing="1" w:after="100" w:afterAutospacing="1" w:line="670" w:lineRule="atLeast"/>
        <w:ind w:firstLine="720"/>
        <w:jc w:val="left"/>
        <w:rPr>
          <w:rFonts w:ascii="方正黑体_GBK" w:eastAsia="方正黑体_GBK" w:hAnsi="方正黑体_GBK" w:cs="宋体"/>
          <w:color w:val="333333"/>
          <w:kern w:val="0"/>
          <w:sz w:val="32"/>
          <w:szCs w:val="32"/>
        </w:rPr>
      </w:pPr>
      <w:r>
        <w:rPr>
          <w:rFonts w:ascii="方正黑体_GBK" w:eastAsia="方正黑体_GBK" w:hAnsi="方正黑体_GBK" w:cs="宋体" w:hint="eastAsia"/>
          <w:color w:val="333333"/>
          <w:kern w:val="0"/>
          <w:sz w:val="32"/>
          <w:szCs w:val="32"/>
        </w:rPr>
        <w:t>二、部门决算情况说明</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lastRenderedPageBreak/>
        <w:t>（一）收入支出决算情况说明</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1.</w:t>
      </w:r>
      <w:r>
        <w:rPr>
          <w:rFonts w:ascii="方正仿宋_GBK" w:eastAsia="方正仿宋_GBK" w:hAnsi="方正仿宋_GBK" w:cs="宋体" w:hint="eastAsia"/>
          <w:color w:val="333333"/>
          <w:kern w:val="0"/>
          <w:sz w:val="32"/>
          <w:szCs w:val="32"/>
        </w:rPr>
        <w:t>总体情况。本部门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年度收入总计</w:t>
      </w:r>
      <w:r>
        <w:rPr>
          <w:rFonts w:ascii="方正仿宋_GBK" w:eastAsia="方正仿宋_GBK" w:hAnsi="方正仿宋_GBK" w:cs="宋体" w:hint="eastAsia"/>
          <w:color w:val="333333"/>
          <w:kern w:val="0"/>
          <w:sz w:val="32"/>
          <w:szCs w:val="32"/>
        </w:rPr>
        <w:t>2236.03</w:t>
      </w:r>
      <w:r>
        <w:rPr>
          <w:rFonts w:ascii="方正仿宋_GBK" w:eastAsia="方正仿宋_GBK" w:hAnsi="方正仿宋_GBK" w:cs="宋体" w:hint="eastAsia"/>
          <w:color w:val="333333"/>
          <w:kern w:val="0"/>
          <w:sz w:val="32"/>
          <w:szCs w:val="32"/>
        </w:rPr>
        <w:t>万元，支出总计</w:t>
      </w:r>
      <w:r>
        <w:rPr>
          <w:rFonts w:ascii="方正仿宋_GBK" w:eastAsia="方正仿宋_GBK" w:hAnsi="方正仿宋_GBK" w:cs="宋体" w:hint="eastAsia"/>
          <w:color w:val="333333"/>
          <w:kern w:val="0"/>
          <w:sz w:val="32"/>
          <w:szCs w:val="32"/>
        </w:rPr>
        <w:t>2236.03</w:t>
      </w:r>
      <w:r>
        <w:rPr>
          <w:rFonts w:ascii="方正仿宋_GBK" w:eastAsia="方正仿宋_GBK" w:hAnsi="方正仿宋_GBK" w:cs="宋体" w:hint="eastAsia"/>
          <w:color w:val="333333"/>
          <w:kern w:val="0"/>
          <w:sz w:val="32"/>
          <w:szCs w:val="32"/>
        </w:rPr>
        <w:t>万元。收支较上年决算数减少</w:t>
      </w:r>
      <w:r>
        <w:rPr>
          <w:rFonts w:ascii="方正仿宋_GBK" w:eastAsia="方正仿宋_GBK" w:hAnsi="方正仿宋_GBK" w:cs="宋体" w:hint="eastAsia"/>
          <w:color w:val="333333"/>
          <w:kern w:val="0"/>
          <w:sz w:val="32"/>
          <w:szCs w:val="32"/>
        </w:rPr>
        <w:t>309.66</w:t>
      </w:r>
      <w:r>
        <w:rPr>
          <w:rFonts w:ascii="方正仿宋_GBK" w:eastAsia="方正仿宋_GBK" w:hAnsi="方正仿宋_GBK" w:cs="宋体" w:hint="eastAsia"/>
          <w:color w:val="333333"/>
          <w:kern w:val="0"/>
          <w:sz w:val="32"/>
          <w:szCs w:val="32"/>
        </w:rPr>
        <w:t>万元、降低</w:t>
      </w:r>
      <w:r>
        <w:rPr>
          <w:rFonts w:ascii="方正仿宋_GBK" w:eastAsia="方正仿宋_GBK" w:hAnsi="方正仿宋_GBK" w:cs="宋体" w:hint="eastAsia"/>
          <w:color w:val="333333"/>
          <w:kern w:val="0"/>
          <w:sz w:val="32"/>
          <w:szCs w:val="32"/>
        </w:rPr>
        <w:t>12.2%</w:t>
      </w:r>
      <w:r>
        <w:rPr>
          <w:rFonts w:ascii="方正仿宋_GBK" w:eastAsia="方正仿宋_GBK" w:hAnsi="方正仿宋_GBK" w:cs="宋体" w:hint="eastAsia"/>
          <w:color w:val="333333"/>
          <w:kern w:val="0"/>
          <w:sz w:val="32"/>
          <w:szCs w:val="32"/>
        </w:rPr>
        <w:t>，主要原因是人员减少，致使相应的人员经费收支减少，人员经费收支减少数大于项目经费收支增加数，同时上年结转结余资金上划拨财政，致使收支减少资金较多。</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2.</w:t>
      </w:r>
      <w:r>
        <w:rPr>
          <w:rFonts w:ascii="方正仿宋_GBK" w:eastAsia="方正仿宋_GBK" w:hAnsi="方正仿宋_GBK" w:cs="宋体" w:hint="eastAsia"/>
          <w:color w:val="333333"/>
          <w:kern w:val="0"/>
          <w:sz w:val="32"/>
          <w:szCs w:val="32"/>
        </w:rPr>
        <w:t>收入情况。本部门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年度收入合计</w:t>
      </w:r>
      <w:r>
        <w:rPr>
          <w:rFonts w:ascii="方正仿宋_GBK" w:eastAsia="方正仿宋_GBK" w:hAnsi="方正仿宋_GBK" w:cs="宋体" w:hint="eastAsia"/>
          <w:color w:val="333333"/>
          <w:kern w:val="0"/>
          <w:sz w:val="32"/>
          <w:szCs w:val="32"/>
        </w:rPr>
        <w:t>223</w:t>
      </w:r>
      <w:r>
        <w:rPr>
          <w:rFonts w:ascii="方正仿宋_GBK" w:eastAsia="方正仿宋_GBK" w:hAnsi="方正仿宋_GBK" w:cs="宋体" w:hint="eastAsia"/>
          <w:color w:val="333333"/>
          <w:kern w:val="0"/>
          <w:sz w:val="32"/>
          <w:szCs w:val="32"/>
        </w:rPr>
        <w:t>6.03</w:t>
      </w:r>
      <w:r>
        <w:rPr>
          <w:rFonts w:ascii="方正仿宋_GBK" w:eastAsia="方正仿宋_GBK" w:hAnsi="方正仿宋_GBK" w:cs="宋体" w:hint="eastAsia"/>
          <w:color w:val="333333"/>
          <w:kern w:val="0"/>
          <w:sz w:val="32"/>
          <w:szCs w:val="32"/>
        </w:rPr>
        <w:t>万元，较上年决算减少</w:t>
      </w:r>
      <w:r>
        <w:rPr>
          <w:rFonts w:ascii="方正仿宋_GBK" w:eastAsia="方正仿宋_GBK" w:hAnsi="方正仿宋_GBK" w:cs="宋体" w:hint="eastAsia"/>
          <w:color w:val="333333"/>
          <w:kern w:val="0"/>
          <w:sz w:val="32"/>
          <w:szCs w:val="32"/>
        </w:rPr>
        <w:t>117.78</w:t>
      </w:r>
      <w:r>
        <w:rPr>
          <w:rFonts w:ascii="方正仿宋_GBK" w:eastAsia="方正仿宋_GBK" w:hAnsi="方正仿宋_GBK" w:cs="宋体" w:hint="eastAsia"/>
          <w:color w:val="333333"/>
          <w:kern w:val="0"/>
          <w:sz w:val="32"/>
          <w:szCs w:val="32"/>
        </w:rPr>
        <w:t>万元、降低</w:t>
      </w:r>
      <w:r>
        <w:rPr>
          <w:rFonts w:ascii="方正仿宋_GBK" w:eastAsia="方正仿宋_GBK" w:hAnsi="方正仿宋_GBK" w:cs="宋体" w:hint="eastAsia"/>
          <w:color w:val="333333"/>
          <w:kern w:val="0"/>
          <w:sz w:val="32"/>
          <w:szCs w:val="32"/>
        </w:rPr>
        <w:t>5.0%</w:t>
      </w:r>
      <w:r>
        <w:rPr>
          <w:rFonts w:ascii="方正仿宋_GBK" w:eastAsia="方正仿宋_GBK" w:hAnsi="方正仿宋_GBK" w:cs="宋体" w:hint="eastAsia"/>
          <w:color w:val="333333"/>
          <w:kern w:val="0"/>
          <w:sz w:val="32"/>
          <w:szCs w:val="32"/>
        </w:rPr>
        <w:t>，主要原因是人员减少，致使相应的人员经费收入减少，虽</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年项目收入较上年有所增加，但人员经费收入减少数大于项目经费收入增加数。其中：财政拨款收入</w:t>
      </w:r>
      <w:r>
        <w:rPr>
          <w:rFonts w:ascii="方正仿宋_GBK" w:eastAsia="方正仿宋_GBK" w:hAnsi="方正仿宋_GBK" w:cs="宋体" w:hint="eastAsia"/>
          <w:color w:val="333333"/>
          <w:kern w:val="0"/>
          <w:sz w:val="32"/>
          <w:szCs w:val="32"/>
        </w:rPr>
        <w:t>2229.39</w:t>
      </w:r>
      <w:r>
        <w:rPr>
          <w:rFonts w:ascii="方正仿宋_GBK" w:eastAsia="方正仿宋_GBK" w:hAnsi="方正仿宋_GBK" w:cs="宋体" w:hint="eastAsia"/>
          <w:color w:val="333333"/>
          <w:kern w:val="0"/>
          <w:sz w:val="32"/>
          <w:szCs w:val="32"/>
        </w:rPr>
        <w:t>万元，占</w:t>
      </w:r>
      <w:r>
        <w:rPr>
          <w:rFonts w:ascii="方正仿宋_GBK" w:eastAsia="方正仿宋_GBK" w:hAnsi="方正仿宋_GBK" w:cs="宋体" w:hint="eastAsia"/>
          <w:color w:val="333333"/>
          <w:kern w:val="0"/>
          <w:sz w:val="32"/>
          <w:szCs w:val="32"/>
        </w:rPr>
        <w:t>99.7%</w:t>
      </w:r>
      <w:r>
        <w:rPr>
          <w:rFonts w:ascii="方正仿宋_GBK" w:eastAsia="方正仿宋_GBK" w:hAnsi="方正仿宋_GBK" w:cs="宋体" w:hint="eastAsia"/>
          <w:color w:val="333333"/>
          <w:kern w:val="0"/>
          <w:sz w:val="32"/>
          <w:szCs w:val="32"/>
        </w:rPr>
        <w:t>；事业收入</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万元，占</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；经营收入</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万元，占</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；其他收入</w:t>
      </w:r>
      <w:r>
        <w:rPr>
          <w:rFonts w:ascii="方正仿宋_GBK" w:eastAsia="方正仿宋_GBK" w:hAnsi="方正仿宋_GBK" w:cs="宋体" w:hint="eastAsia"/>
          <w:color w:val="333333"/>
          <w:kern w:val="0"/>
          <w:sz w:val="32"/>
          <w:szCs w:val="32"/>
        </w:rPr>
        <w:t>6.63</w:t>
      </w:r>
      <w:r>
        <w:rPr>
          <w:rFonts w:ascii="方正仿宋_GBK" w:eastAsia="方正仿宋_GBK" w:hAnsi="方正仿宋_GBK" w:cs="宋体" w:hint="eastAsia"/>
          <w:color w:val="333333"/>
          <w:kern w:val="0"/>
          <w:sz w:val="32"/>
          <w:szCs w:val="32"/>
        </w:rPr>
        <w:t>万元，占</w:t>
      </w:r>
      <w:r>
        <w:rPr>
          <w:rFonts w:ascii="方正仿宋_GBK" w:eastAsia="方正仿宋_GBK" w:hAnsi="方正仿宋_GBK" w:cs="宋体" w:hint="eastAsia"/>
          <w:color w:val="333333"/>
          <w:kern w:val="0"/>
          <w:sz w:val="32"/>
          <w:szCs w:val="32"/>
        </w:rPr>
        <w:t>0.3%</w:t>
      </w:r>
      <w:r>
        <w:rPr>
          <w:rFonts w:ascii="方正仿宋_GBK" w:eastAsia="方正仿宋_GBK" w:hAnsi="方正仿宋_GBK" w:cs="宋体" w:hint="eastAsia"/>
          <w:color w:val="333333"/>
          <w:kern w:val="0"/>
          <w:sz w:val="32"/>
          <w:szCs w:val="32"/>
        </w:rPr>
        <w:t>。此外，使用非财政拨款结余</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万元，年初结转和结余</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年其他收入主要是社保卡制作经费。</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3.</w:t>
      </w:r>
      <w:r>
        <w:rPr>
          <w:rFonts w:ascii="方正仿宋_GBK" w:eastAsia="方正仿宋_GBK" w:hAnsi="方正仿宋_GBK" w:cs="宋体" w:hint="eastAsia"/>
          <w:color w:val="333333"/>
          <w:kern w:val="0"/>
          <w:sz w:val="32"/>
          <w:szCs w:val="32"/>
        </w:rPr>
        <w:t>支出情况。本部门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年度支出合计</w:t>
      </w:r>
      <w:r>
        <w:rPr>
          <w:rFonts w:ascii="方正仿宋_GBK" w:eastAsia="方正仿宋_GBK" w:hAnsi="方正仿宋_GBK" w:cs="宋体" w:hint="eastAsia"/>
          <w:color w:val="333333"/>
          <w:kern w:val="0"/>
          <w:sz w:val="32"/>
          <w:szCs w:val="32"/>
        </w:rPr>
        <w:t>2236.03</w:t>
      </w:r>
      <w:r>
        <w:rPr>
          <w:rFonts w:ascii="方正仿宋_GBK" w:eastAsia="方正仿宋_GBK" w:hAnsi="方正仿宋_GBK" w:cs="宋体" w:hint="eastAsia"/>
          <w:color w:val="333333"/>
          <w:kern w:val="0"/>
          <w:sz w:val="32"/>
          <w:szCs w:val="32"/>
        </w:rPr>
        <w:t>万元，较上年决算减少</w:t>
      </w:r>
      <w:r>
        <w:rPr>
          <w:rFonts w:ascii="方正仿宋_GBK" w:eastAsia="方正仿宋_GBK" w:hAnsi="方正仿宋_GBK" w:cs="宋体" w:hint="eastAsia"/>
          <w:color w:val="333333"/>
          <w:kern w:val="0"/>
          <w:sz w:val="32"/>
          <w:szCs w:val="32"/>
        </w:rPr>
        <w:t>95.23</w:t>
      </w:r>
      <w:r>
        <w:rPr>
          <w:rFonts w:ascii="方正仿宋_GBK" w:eastAsia="方正仿宋_GBK" w:hAnsi="方正仿宋_GBK" w:cs="宋体" w:hint="eastAsia"/>
          <w:color w:val="333333"/>
          <w:kern w:val="0"/>
          <w:sz w:val="32"/>
          <w:szCs w:val="32"/>
        </w:rPr>
        <w:t>万元、降低</w:t>
      </w:r>
      <w:r>
        <w:rPr>
          <w:rFonts w:ascii="方正仿宋_GBK" w:eastAsia="方正仿宋_GBK" w:hAnsi="方正仿宋_GBK" w:cs="宋体" w:hint="eastAsia"/>
          <w:color w:val="333333"/>
          <w:kern w:val="0"/>
          <w:sz w:val="32"/>
          <w:szCs w:val="32"/>
        </w:rPr>
        <w:t>4.1%</w:t>
      </w:r>
      <w:r>
        <w:rPr>
          <w:rFonts w:ascii="方正仿宋_GBK" w:eastAsia="方正仿宋_GBK" w:hAnsi="方正仿宋_GBK" w:cs="宋体" w:hint="eastAsia"/>
          <w:color w:val="333333"/>
          <w:kern w:val="0"/>
          <w:sz w:val="32"/>
          <w:szCs w:val="32"/>
        </w:rPr>
        <w:t>，主要原因是人员减少，目标考核奖和未休带薪年休假支出减少较多，虽然</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年增加了社会保险基金专项资金决算先进奖励资金和中央在渝企业退休人员社会化管理移交补助资金等项目支出，但</w:t>
      </w:r>
      <w:r>
        <w:rPr>
          <w:rFonts w:ascii="方正仿宋_GBK" w:eastAsia="方正仿宋_GBK" w:hAnsi="方正仿宋_GBK" w:cs="宋体" w:hint="eastAsia"/>
          <w:color w:val="333333"/>
          <w:kern w:val="0"/>
          <w:sz w:val="32"/>
          <w:szCs w:val="32"/>
        </w:rPr>
        <w:lastRenderedPageBreak/>
        <w:t>人员经费支出减少数大于项目经费支出增加数，致使总体支出数较上年支出数减少。其中：基本支出</w:t>
      </w:r>
      <w:r>
        <w:rPr>
          <w:rFonts w:ascii="方正仿宋_GBK" w:eastAsia="方正仿宋_GBK" w:hAnsi="方正仿宋_GBK" w:cs="宋体" w:hint="eastAsia"/>
          <w:color w:val="333333"/>
          <w:kern w:val="0"/>
          <w:sz w:val="32"/>
          <w:szCs w:val="32"/>
        </w:rPr>
        <w:t>1236.76</w:t>
      </w:r>
      <w:r>
        <w:rPr>
          <w:rFonts w:ascii="方正仿宋_GBK" w:eastAsia="方正仿宋_GBK" w:hAnsi="方正仿宋_GBK" w:cs="宋体" w:hint="eastAsia"/>
          <w:color w:val="333333"/>
          <w:kern w:val="0"/>
          <w:sz w:val="32"/>
          <w:szCs w:val="32"/>
        </w:rPr>
        <w:t>万元，占</w:t>
      </w:r>
      <w:r>
        <w:rPr>
          <w:rFonts w:ascii="方正仿宋_GBK" w:eastAsia="方正仿宋_GBK" w:hAnsi="方正仿宋_GBK" w:cs="宋体" w:hint="eastAsia"/>
          <w:color w:val="333333"/>
          <w:kern w:val="0"/>
          <w:sz w:val="32"/>
          <w:szCs w:val="32"/>
        </w:rPr>
        <w:t>55.3%</w:t>
      </w:r>
      <w:r>
        <w:rPr>
          <w:rFonts w:ascii="方正仿宋_GBK" w:eastAsia="方正仿宋_GBK" w:hAnsi="方正仿宋_GBK" w:cs="宋体" w:hint="eastAsia"/>
          <w:color w:val="333333"/>
          <w:kern w:val="0"/>
          <w:sz w:val="32"/>
          <w:szCs w:val="32"/>
        </w:rPr>
        <w:t>；项目支出</w:t>
      </w:r>
      <w:r>
        <w:rPr>
          <w:rFonts w:ascii="方正仿宋_GBK" w:eastAsia="方正仿宋_GBK" w:hAnsi="方正仿宋_GBK" w:cs="宋体" w:hint="eastAsia"/>
          <w:color w:val="333333"/>
          <w:kern w:val="0"/>
          <w:sz w:val="32"/>
          <w:szCs w:val="32"/>
        </w:rPr>
        <w:t>999.27</w:t>
      </w:r>
      <w:r>
        <w:rPr>
          <w:rFonts w:ascii="方正仿宋_GBK" w:eastAsia="方正仿宋_GBK" w:hAnsi="方正仿宋_GBK" w:cs="宋体" w:hint="eastAsia"/>
          <w:color w:val="333333"/>
          <w:kern w:val="0"/>
          <w:sz w:val="32"/>
          <w:szCs w:val="32"/>
        </w:rPr>
        <w:t>万元，占</w:t>
      </w:r>
      <w:r>
        <w:rPr>
          <w:rFonts w:ascii="方正仿宋_GBK" w:eastAsia="方正仿宋_GBK" w:hAnsi="方正仿宋_GBK" w:cs="宋体" w:hint="eastAsia"/>
          <w:color w:val="333333"/>
          <w:kern w:val="0"/>
          <w:sz w:val="32"/>
          <w:szCs w:val="32"/>
        </w:rPr>
        <w:t>44.7%</w:t>
      </w:r>
      <w:r>
        <w:rPr>
          <w:rFonts w:ascii="方正仿宋_GBK" w:eastAsia="方正仿宋_GBK" w:hAnsi="方正仿宋_GBK" w:cs="宋体" w:hint="eastAsia"/>
          <w:color w:val="333333"/>
          <w:kern w:val="0"/>
          <w:sz w:val="32"/>
          <w:szCs w:val="32"/>
        </w:rPr>
        <w:t>；经营支出</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万元，占</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。此外，结余分配</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4.</w:t>
      </w:r>
      <w:r>
        <w:rPr>
          <w:rFonts w:ascii="方正仿宋_GBK" w:eastAsia="方正仿宋_GBK" w:hAnsi="方正仿宋_GBK" w:cs="宋体" w:hint="eastAsia"/>
          <w:color w:val="333333"/>
          <w:kern w:val="0"/>
          <w:sz w:val="32"/>
          <w:szCs w:val="32"/>
        </w:rPr>
        <w:t>结转结余情况。本</w:t>
      </w:r>
      <w:r>
        <w:rPr>
          <w:rFonts w:ascii="方正仿宋_GBK" w:eastAsia="方正仿宋_GBK" w:hAnsi="方正仿宋_GBK" w:cs="宋体" w:hint="eastAsia"/>
          <w:color w:val="333333"/>
          <w:kern w:val="0"/>
          <w:sz w:val="32"/>
          <w:szCs w:val="32"/>
        </w:rPr>
        <w:t>部门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年度年末结转和结余</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万元，较上年决算数减少</w:t>
      </w:r>
      <w:r>
        <w:rPr>
          <w:rFonts w:ascii="方正仿宋_GBK" w:eastAsia="方正仿宋_GBK" w:hAnsi="方正仿宋_GBK" w:cs="宋体" w:hint="eastAsia"/>
          <w:color w:val="333333"/>
          <w:kern w:val="0"/>
          <w:sz w:val="32"/>
          <w:szCs w:val="32"/>
        </w:rPr>
        <w:t>214.43</w:t>
      </w:r>
      <w:r>
        <w:rPr>
          <w:rFonts w:ascii="方正仿宋_GBK" w:eastAsia="方正仿宋_GBK" w:hAnsi="方正仿宋_GBK" w:cs="宋体" w:hint="eastAsia"/>
          <w:color w:val="333333"/>
          <w:kern w:val="0"/>
          <w:sz w:val="32"/>
          <w:szCs w:val="32"/>
        </w:rPr>
        <w:t>万元，减少</w:t>
      </w:r>
      <w:r>
        <w:rPr>
          <w:rFonts w:ascii="方正仿宋_GBK" w:eastAsia="方正仿宋_GBK" w:hAnsi="方正仿宋_GBK" w:cs="宋体" w:hint="eastAsia"/>
          <w:color w:val="333333"/>
          <w:kern w:val="0"/>
          <w:sz w:val="32"/>
          <w:szCs w:val="32"/>
        </w:rPr>
        <w:t>100.0%</w:t>
      </w:r>
      <w:r>
        <w:rPr>
          <w:rFonts w:ascii="方正仿宋_GBK" w:eastAsia="方正仿宋_GBK" w:hAnsi="方正仿宋_GBK" w:cs="宋体" w:hint="eastAsia"/>
          <w:color w:val="333333"/>
          <w:kern w:val="0"/>
          <w:sz w:val="32"/>
          <w:szCs w:val="32"/>
        </w:rPr>
        <w:t>，主要原因是上年结转和结余资金收回财政，当年年末无结转和结余。</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（二）财政拨款收入支出决算总体情况说明</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年度财政拨款收、支总计</w:t>
      </w:r>
      <w:r>
        <w:rPr>
          <w:rFonts w:ascii="方正仿宋_GBK" w:eastAsia="方正仿宋_GBK" w:hAnsi="方正仿宋_GBK" w:cs="宋体" w:hint="eastAsia"/>
          <w:color w:val="333333"/>
          <w:kern w:val="0"/>
          <w:sz w:val="32"/>
          <w:szCs w:val="32"/>
        </w:rPr>
        <w:t>2229.39</w:t>
      </w:r>
      <w:r>
        <w:rPr>
          <w:rFonts w:ascii="方正仿宋_GBK" w:eastAsia="方正仿宋_GBK" w:hAnsi="方正仿宋_GBK" w:cs="宋体" w:hint="eastAsia"/>
          <w:color w:val="333333"/>
          <w:kern w:val="0"/>
          <w:sz w:val="32"/>
          <w:szCs w:val="32"/>
        </w:rPr>
        <w:t>万元。与</w:t>
      </w:r>
      <w:r>
        <w:rPr>
          <w:rFonts w:ascii="方正仿宋_GBK" w:eastAsia="方正仿宋_GBK" w:hAnsi="方正仿宋_GBK" w:cs="宋体" w:hint="eastAsia"/>
          <w:color w:val="333333"/>
          <w:kern w:val="0"/>
          <w:sz w:val="32"/>
          <w:szCs w:val="32"/>
        </w:rPr>
        <w:t>2019</w:t>
      </w:r>
      <w:r>
        <w:rPr>
          <w:rFonts w:ascii="方正仿宋_GBK" w:eastAsia="方正仿宋_GBK" w:hAnsi="方正仿宋_GBK" w:cs="宋体" w:hint="eastAsia"/>
          <w:color w:val="333333"/>
          <w:kern w:val="0"/>
          <w:sz w:val="32"/>
          <w:szCs w:val="32"/>
        </w:rPr>
        <w:t>年相比，财政拨款收支各减少</w:t>
      </w:r>
      <w:r>
        <w:rPr>
          <w:rFonts w:ascii="方正仿宋_GBK" w:eastAsia="方正仿宋_GBK" w:hAnsi="方正仿宋_GBK" w:cs="宋体" w:hint="eastAsia"/>
          <w:color w:val="333333"/>
          <w:kern w:val="0"/>
          <w:sz w:val="32"/>
          <w:szCs w:val="32"/>
        </w:rPr>
        <w:t>79.40</w:t>
      </w:r>
      <w:r>
        <w:rPr>
          <w:rFonts w:ascii="方正仿宋_GBK" w:eastAsia="方正仿宋_GBK" w:hAnsi="方正仿宋_GBK" w:cs="宋体" w:hint="eastAsia"/>
          <w:color w:val="333333"/>
          <w:kern w:val="0"/>
          <w:sz w:val="32"/>
          <w:szCs w:val="32"/>
        </w:rPr>
        <w:t>万元，下降</w:t>
      </w:r>
      <w:r>
        <w:rPr>
          <w:rFonts w:ascii="方正仿宋_GBK" w:eastAsia="方正仿宋_GBK" w:hAnsi="方正仿宋_GBK" w:cs="宋体" w:hint="eastAsia"/>
          <w:color w:val="333333"/>
          <w:kern w:val="0"/>
          <w:sz w:val="32"/>
          <w:szCs w:val="32"/>
        </w:rPr>
        <w:t>3.4%</w:t>
      </w:r>
      <w:r>
        <w:rPr>
          <w:rFonts w:ascii="方正仿宋_GBK" w:eastAsia="方正仿宋_GBK" w:hAnsi="方正仿宋_GBK" w:cs="宋体" w:hint="eastAsia"/>
          <w:color w:val="333333"/>
          <w:kern w:val="0"/>
          <w:sz w:val="32"/>
          <w:szCs w:val="32"/>
        </w:rPr>
        <w:t>。主要原因是人员减少，致使相应的人员经费收支减少，虽项目经费收支较上年有所增加，但人员经费收支减少数大于项目经费收支增加数，致使总体财政拨款收支数较上年收支数减少。</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（三）一般公共预算财政拨款支出决算情况说</w:t>
      </w:r>
      <w:r>
        <w:rPr>
          <w:rFonts w:ascii="Times New Roman" w:eastAsia="方正楷体_GBK" w:hAnsi="Times New Roman" w:cs="Times New Roman" w:hint="eastAsia"/>
          <w:sz w:val="32"/>
          <w:szCs w:val="32"/>
        </w:rPr>
        <w:t>明</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1.</w:t>
      </w:r>
      <w:r>
        <w:rPr>
          <w:rFonts w:ascii="方正仿宋_GBK" w:eastAsia="方正仿宋_GBK" w:hAnsi="方正仿宋_GBK" w:cs="宋体" w:hint="eastAsia"/>
          <w:color w:val="333333"/>
          <w:kern w:val="0"/>
          <w:sz w:val="32"/>
          <w:szCs w:val="32"/>
        </w:rPr>
        <w:t>收入情况。本部门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年度财政拨款收入</w:t>
      </w:r>
      <w:r>
        <w:rPr>
          <w:rFonts w:ascii="方正仿宋_GBK" w:eastAsia="方正仿宋_GBK" w:hAnsi="方正仿宋_GBK" w:cs="宋体" w:hint="eastAsia"/>
          <w:color w:val="333333"/>
          <w:kern w:val="0"/>
          <w:sz w:val="32"/>
          <w:szCs w:val="32"/>
        </w:rPr>
        <w:t>2229.39</w:t>
      </w:r>
      <w:r>
        <w:rPr>
          <w:rFonts w:ascii="方正仿宋_GBK" w:eastAsia="方正仿宋_GBK" w:hAnsi="方正仿宋_GBK" w:cs="宋体" w:hint="eastAsia"/>
          <w:color w:val="333333"/>
          <w:kern w:val="0"/>
          <w:sz w:val="32"/>
          <w:szCs w:val="32"/>
        </w:rPr>
        <w:t>万元（含代发</w:t>
      </w:r>
      <w:r>
        <w:rPr>
          <w:rFonts w:ascii="方正仿宋_GBK" w:eastAsia="方正仿宋_GBK" w:hAnsi="方正仿宋_GBK" w:cs="宋体" w:hint="eastAsia"/>
          <w:color w:val="333333"/>
          <w:kern w:val="0"/>
          <w:sz w:val="32"/>
          <w:szCs w:val="32"/>
        </w:rPr>
        <w:t>4950</w:t>
      </w:r>
      <w:r>
        <w:rPr>
          <w:rFonts w:ascii="方正仿宋_GBK" w:eastAsia="方正仿宋_GBK" w:hAnsi="方正仿宋_GBK" w:cs="宋体" w:hint="eastAsia"/>
          <w:color w:val="333333"/>
          <w:kern w:val="0"/>
          <w:sz w:val="32"/>
          <w:szCs w:val="32"/>
        </w:rPr>
        <w:t>退休干部生活补贴和新中国成立前退休老工人生活补贴</w:t>
      </w:r>
      <w:r>
        <w:rPr>
          <w:rFonts w:ascii="方正仿宋_GBK" w:eastAsia="方正仿宋_GBK" w:hAnsi="方正仿宋_GBK" w:cs="宋体" w:hint="eastAsia"/>
          <w:color w:val="333333"/>
          <w:kern w:val="0"/>
          <w:sz w:val="32"/>
          <w:szCs w:val="32"/>
        </w:rPr>
        <w:t>275.14</w:t>
      </w:r>
      <w:r>
        <w:rPr>
          <w:rFonts w:ascii="方正仿宋_GBK" w:eastAsia="方正仿宋_GBK" w:hAnsi="方正仿宋_GBK" w:cs="宋体" w:hint="eastAsia"/>
          <w:color w:val="333333"/>
          <w:kern w:val="0"/>
          <w:sz w:val="32"/>
          <w:szCs w:val="32"/>
        </w:rPr>
        <w:t>万元），较上年决算减少</w:t>
      </w:r>
      <w:r>
        <w:rPr>
          <w:rFonts w:ascii="方正仿宋_GBK" w:eastAsia="方正仿宋_GBK" w:hAnsi="方正仿宋_GBK" w:cs="宋体" w:hint="eastAsia"/>
          <w:color w:val="333333"/>
          <w:kern w:val="0"/>
          <w:sz w:val="32"/>
          <w:szCs w:val="32"/>
        </w:rPr>
        <w:t>79.40</w:t>
      </w:r>
      <w:r>
        <w:rPr>
          <w:rFonts w:ascii="方正仿宋_GBK" w:eastAsia="方正仿宋_GBK" w:hAnsi="方正仿宋_GBK" w:cs="宋体" w:hint="eastAsia"/>
          <w:color w:val="333333"/>
          <w:kern w:val="0"/>
          <w:sz w:val="32"/>
          <w:szCs w:val="32"/>
        </w:rPr>
        <w:t>万元，降低</w:t>
      </w:r>
      <w:r>
        <w:rPr>
          <w:rFonts w:ascii="方正仿宋_GBK" w:eastAsia="方正仿宋_GBK" w:hAnsi="方正仿宋_GBK" w:cs="宋体" w:hint="eastAsia"/>
          <w:color w:val="333333"/>
          <w:kern w:val="0"/>
          <w:sz w:val="32"/>
          <w:szCs w:val="32"/>
        </w:rPr>
        <w:t>3.4%</w:t>
      </w:r>
      <w:r>
        <w:rPr>
          <w:rFonts w:ascii="方正仿宋_GBK" w:eastAsia="方正仿宋_GBK" w:hAnsi="方正仿宋_GBK" w:cs="宋体" w:hint="eastAsia"/>
          <w:color w:val="333333"/>
          <w:kern w:val="0"/>
          <w:sz w:val="32"/>
          <w:szCs w:val="32"/>
        </w:rPr>
        <w:t>。主要原因是：人员减少，致使相应的财政拨款人员经费收入减少，虽</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年财政拨款项目收入较上年有所</w:t>
      </w:r>
      <w:r>
        <w:rPr>
          <w:rFonts w:ascii="方正仿宋_GBK" w:eastAsia="方正仿宋_GBK" w:hAnsi="方正仿宋_GBK" w:cs="宋体" w:hint="eastAsia"/>
          <w:color w:val="333333"/>
          <w:kern w:val="0"/>
          <w:sz w:val="32"/>
          <w:szCs w:val="32"/>
        </w:rPr>
        <w:lastRenderedPageBreak/>
        <w:t>增加，但财政拨款人员经费收入减少数大于财政拨款项目经费收入增加数。</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2.</w:t>
      </w:r>
      <w:r>
        <w:rPr>
          <w:rFonts w:ascii="方正仿宋_GBK" w:eastAsia="方正仿宋_GBK" w:hAnsi="方正仿宋_GBK" w:cs="宋体" w:hint="eastAsia"/>
          <w:color w:val="333333"/>
          <w:kern w:val="0"/>
          <w:sz w:val="32"/>
          <w:szCs w:val="32"/>
        </w:rPr>
        <w:t>支出情况。本部门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年度财政拨款支出合计</w:t>
      </w:r>
      <w:r>
        <w:rPr>
          <w:rFonts w:ascii="方正仿宋_GBK" w:eastAsia="方正仿宋_GBK" w:hAnsi="方正仿宋_GBK" w:cs="宋体" w:hint="eastAsia"/>
          <w:color w:val="333333"/>
          <w:kern w:val="0"/>
          <w:sz w:val="32"/>
          <w:szCs w:val="32"/>
        </w:rPr>
        <w:t>2229.39</w:t>
      </w:r>
      <w:r>
        <w:rPr>
          <w:rFonts w:ascii="方正仿宋_GBK" w:eastAsia="方正仿宋_GBK" w:hAnsi="方正仿宋_GBK" w:cs="宋体" w:hint="eastAsia"/>
          <w:color w:val="333333"/>
          <w:kern w:val="0"/>
          <w:sz w:val="32"/>
          <w:szCs w:val="32"/>
        </w:rPr>
        <w:t>万元，较上年决算减少</w:t>
      </w:r>
      <w:r>
        <w:rPr>
          <w:rFonts w:ascii="方正仿宋_GBK" w:eastAsia="方正仿宋_GBK" w:hAnsi="方正仿宋_GBK" w:cs="宋体" w:hint="eastAsia"/>
          <w:color w:val="333333"/>
          <w:kern w:val="0"/>
          <w:sz w:val="32"/>
          <w:szCs w:val="32"/>
        </w:rPr>
        <w:t>79.40</w:t>
      </w:r>
      <w:r>
        <w:rPr>
          <w:rFonts w:ascii="方正仿宋_GBK" w:eastAsia="方正仿宋_GBK" w:hAnsi="方正仿宋_GBK" w:cs="宋体" w:hint="eastAsia"/>
          <w:color w:val="333333"/>
          <w:kern w:val="0"/>
          <w:sz w:val="32"/>
          <w:szCs w:val="32"/>
        </w:rPr>
        <w:t>万元，减少</w:t>
      </w:r>
      <w:r>
        <w:rPr>
          <w:rFonts w:ascii="方正仿宋_GBK" w:eastAsia="方正仿宋_GBK" w:hAnsi="方正仿宋_GBK" w:cs="宋体" w:hint="eastAsia"/>
          <w:color w:val="333333"/>
          <w:kern w:val="0"/>
          <w:sz w:val="32"/>
          <w:szCs w:val="32"/>
        </w:rPr>
        <w:t>3.4%</w:t>
      </w:r>
      <w:r>
        <w:rPr>
          <w:rFonts w:ascii="方正仿宋_GBK" w:eastAsia="方正仿宋_GBK" w:hAnsi="方正仿宋_GBK" w:cs="宋体" w:hint="eastAsia"/>
          <w:color w:val="333333"/>
          <w:kern w:val="0"/>
          <w:sz w:val="32"/>
          <w:szCs w:val="32"/>
        </w:rPr>
        <w:t>，主要原因是人员减少，目标考核奖和未休带薪年</w:t>
      </w:r>
      <w:r>
        <w:rPr>
          <w:rFonts w:ascii="方正仿宋_GBK" w:eastAsia="方正仿宋_GBK" w:hAnsi="方正仿宋_GBK" w:cs="宋体" w:hint="eastAsia"/>
          <w:color w:val="333333"/>
          <w:kern w:val="0"/>
          <w:sz w:val="32"/>
          <w:szCs w:val="32"/>
        </w:rPr>
        <w:t>休假等财政拨款支出减少较多，虽然</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增加了社会保险基金专项资金决算先进奖励资金和中央在渝企业退休人员社会化管理移交补助资金等项目支出，但人员经费支出减少数大于项目经费支出增加数，致使总体支出数较上年支出数减少。较年初预算数增加</w:t>
      </w:r>
      <w:r>
        <w:rPr>
          <w:rFonts w:ascii="方正仿宋_GBK" w:eastAsia="方正仿宋_GBK" w:hAnsi="方正仿宋_GBK" w:cs="宋体" w:hint="eastAsia"/>
          <w:color w:val="333333"/>
          <w:kern w:val="0"/>
          <w:sz w:val="32"/>
          <w:szCs w:val="32"/>
        </w:rPr>
        <w:t>586.53</w:t>
      </w:r>
      <w:r>
        <w:rPr>
          <w:rFonts w:ascii="方正仿宋_GBK" w:eastAsia="方正仿宋_GBK" w:hAnsi="方正仿宋_GBK" w:cs="宋体" w:hint="eastAsia"/>
          <w:color w:val="333333"/>
          <w:kern w:val="0"/>
          <w:sz w:val="32"/>
          <w:szCs w:val="32"/>
        </w:rPr>
        <w:t>万元，增加</w:t>
      </w:r>
      <w:r>
        <w:rPr>
          <w:rFonts w:ascii="方正仿宋_GBK" w:eastAsia="方正仿宋_GBK" w:hAnsi="方正仿宋_GBK" w:cs="宋体" w:hint="eastAsia"/>
          <w:color w:val="333333"/>
          <w:kern w:val="0"/>
          <w:sz w:val="32"/>
          <w:szCs w:val="32"/>
        </w:rPr>
        <w:t>35.7%</w:t>
      </w:r>
      <w:r>
        <w:rPr>
          <w:rFonts w:ascii="方正仿宋_GBK" w:eastAsia="方正仿宋_GBK" w:hAnsi="方正仿宋_GBK" w:cs="宋体" w:hint="eastAsia"/>
          <w:color w:val="333333"/>
          <w:kern w:val="0"/>
          <w:sz w:val="32"/>
          <w:szCs w:val="32"/>
        </w:rPr>
        <w:t>。主要原因：一是目标考核奖和带薪年休假等支出未纳入年初预算，而后追加下达本单位。二是增加了社会保险基金专项资金决算先进奖励资金和中央在渝企业退休人员社会化管理移交补助资金等项目支出。</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3.</w:t>
      </w:r>
      <w:r>
        <w:rPr>
          <w:rFonts w:ascii="方正仿宋_GBK" w:eastAsia="方正仿宋_GBK" w:hAnsi="方正仿宋_GBK" w:cs="宋体" w:hint="eastAsia"/>
          <w:color w:val="333333"/>
          <w:kern w:val="0"/>
          <w:sz w:val="32"/>
          <w:szCs w:val="32"/>
        </w:rPr>
        <w:t>结转结余情况。本部门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年度年末财政拨款结转和结余</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w:t>
      </w:r>
      <w:r>
        <w:rPr>
          <w:rFonts w:ascii="方正仿宋_GBK" w:eastAsia="方正仿宋_GBK" w:hAnsi="方正仿宋_GBK" w:cs="宋体" w:hint="eastAsia"/>
          <w:color w:val="333333"/>
          <w:kern w:val="0"/>
          <w:sz w:val="32"/>
          <w:szCs w:val="32"/>
        </w:rPr>
        <w:t>，较上年决算数增减</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万元，增减</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4.</w:t>
      </w:r>
      <w:r>
        <w:rPr>
          <w:rFonts w:ascii="方正仿宋_GBK" w:eastAsia="方正仿宋_GBK" w:hAnsi="方正仿宋_GBK" w:cs="宋体" w:hint="eastAsia"/>
          <w:color w:val="333333"/>
          <w:kern w:val="0"/>
          <w:sz w:val="32"/>
          <w:szCs w:val="32"/>
        </w:rPr>
        <w:t>比较情况</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本部门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年度财政拨款支出主要用于以下几个方面：</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w:t>
      </w:r>
      <w:r>
        <w:rPr>
          <w:rFonts w:ascii="方正仿宋_GBK" w:eastAsia="方正仿宋_GBK" w:hAnsi="方正仿宋_GBK" w:cs="宋体" w:hint="eastAsia"/>
          <w:color w:val="333333"/>
          <w:kern w:val="0"/>
          <w:sz w:val="32"/>
          <w:szCs w:val="32"/>
        </w:rPr>
        <w:t>1</w:t>
      </w:r>
      <w:r>
        <w:rPr>
          <w:rFonts w:ascii="方正仿宋_GBK" w:eastAsia="方正仿宋_GBK" w:hAnsi="方正仿宋_GBK" w:cs="宋体" w:hint="eastAsia"/>
          <w:color w:val="333333"/>
          <w:kern w:val="0"/>
          <w:sz w:val="32"/>
          <w:szCs w:val="32"/>
        </w:rPr>
        <w:t>）社会保障和就业支出</w:t>
      </w:r>
      <w:r>
        <w:rPr>
          <w:rFonts w:ascii="方正仿宋_GBK" w:eastAsia="方正仿宋_GBK" w:hAnsi="方正仿宋_GBK" w:cs="宋体" w:hint="eastAsia"/>
          <w:color w:val="333333"/>
          <w:kern w:val="0"/>
          <w:sz w:val="32"/>
          <w:szCs w:val="32"/>
        </w:rPr>
        <w:t>2120.45</w:t>
      </w:r>
      <w:r>
        <w:rPr>
          <w:rFonts w:ascii="方正仿宋_GBK" w:eastAsia="方正仿宋_GBK" w:hAnsi="方正仿宋_GBK" w:cs="宋体" w:hint="eastAsia"/>
          <w:color w:val="333333"/>
          <w:kern w:val="0"/>
          <w:sz w:val="32"/>
          <w:szCs w:val="32"/>
        </w:rPr>
        <w:t>万元，占</w:t>
      </w:r>
      <w:r>
        <w:rPr>
          <w:rFonts w:ascii="方正仿宋_GBK" w:eastAsia="方正仿宋_GBK" w:hAnsi="方正仿宋_GBK" w:cs="宋体" w:hint="eastAsia"/>
          <w:color w:val="333333"/>
          <w:kern w:val="0"/>
          <w:sz w:val="32"/>
          <w:szCs w:val="32"/>
        </w:rPr>
        <w:t>95.1%</w:t>
      </w:r>
      <w:r>
        <w:rPr>
          <w:rFonts w:ascii="方正仿宋_GBK" w:eastAsia="方正仿宋_GBK" w:hAnsi="方正仿宋_GBK" w:cs="宋体" w:hint="eastAsia"/>
          <w:color w:val="333333"/>
          <w:kern w:val="0"/>
          <w:sz w:val="32"/>
          <w:szCs w:val="32"/>
        </w:rPr>
        <w:t>，较年初预算数增加</w:t>
      </w:r>
      <w:r>
        <w:rPr>
          <w:rFonts w:ascii="方正仿宋_GBK" w:eastAsia="方正仿宋_GBK" w:hAnsi="方正仿宋_GBK" w:cs="宋体" w:hint="eastAsia"/>
          <w:color w:val="333333"/>
          <w:kern w:val="0"/>
          <w:sz w:val="32"/>
          <w:szCs w:val="32"/>
        </w:rPr>
        <w:t>586.52</w:t>
      </w:r>
      <w:r>
        <w:rPr>
          <w:rFonts w:ascii="方正仿宋_GBK" w:eastAsia="方正仿宋_GBK" w:hAnsi="方正仿宋_GBK" w:cs="宋体" w:hint="eastAsia"/>
          <w:color w:val="333333"/>
          <w:kern w:val="0"/>
          <w:sz w:val="32"/>
          <w:szCs w:val="32"/>
        </w:rPr>
        <w:t>万元，增加</w:t>
      </w:r>
      <w:r>
        <w:rPr>
          <w:rFonts w:ascii="方正仿宋_GBK" w:eastAsia="方正仿宋_GBK" w:hAnsi="方正仿宋_GBK" w:cs="宋体" w:hint="eastAsia"/>
          <w:color w:val="333333"/>
          <w:kern w:val="0"/>
          <w:sz w:val="32"/>
          <w:szCs w:val="32"/>
        </w:rPr>
        <w:t>38.2%</w:t>
      </w:r>
      <w:r>
        <w:rPr>
          <w:rFonts w:ascii="方正仿宋_GBK" w:eastAsia="方正仿宋_GBK" w:hAnsi="方正仿宋_GBK" w:cs="宋体" w:hint="eastAsia"/>
          <w:color w:val="333333"/>
          <w:kern w:val="0"/>
          <w:sz w:val="32"/>
          <w:szCs w:val="32"/>
        </w:rPr>
        <w:t>，主要原因是：一</w:t>
      </w:r>
      <w:r>
        <w:rPr>
          <w:rFonts w:ascii="方正仿宋_GBK" w:eastAsia="方正仿宋_GBK" w:hAnsi="方正仿宋_GBK" w:cs="宋体" w:hint="eastAsia"/>
          <w:color w:val="333333"/>
          <w:kern w:val="0"/>
          <w:sz w:val="32"/>
          <w:szCs w:val="32"/>
        </w:rPr>
        <w:lastRenderedPageBreak/>
        <w:t>是目标考核奖和带薪年休假等支出未纳入年初预算，而后追加下达本单位。二是增加了社会保险基金专项资金决算先进奖励资金和中央在渝企业退休人员社会化管理移交补助资金等项目支出。</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w:t>
      </w:r>
      <w:r>
        <w:rPr>
          <w:rFonts w:ascii="方正仿宋_GBK" w:eastAsia="方正仿宋_GBK" w:hAnsi="方正仿宋_GBK" w:cs="宋体" w:hint="eastAsia"/>
          <w:color w:val="333333"/>
          <w:kern w:val="0"/>
          <w:sz w:val="32"/>
          <w:szCs w:val="32"/>
        </w:rPr>
        <w:t>2</w:t>
      </w:r>
      <w:r>
        <w:rPr>
          <w:rFonts w:ascii="方正仿宋_GBK" w:eastAsia="方正仿宋_GBK" w:hAnsi="方正仿宋_GBK" w:cs="宋体" w:hint="eastAsia"/>
          <w:color w:val="333333"/>
          <w:kern w:val="0"/>
          <w:sz w:val="32"/>
          <w:szCs w:val="32"/>
        </w:rPr>
        <w:t>）医疗卫生与计划生育支出</w:t>
      </w:r>
      <w:r>
        <w:rPr>
          <w:rFonts w:ascii="方正仿宋_GBK" w:eastAsia="方正仿宋_GBK" w:hAnsi="方正仿宋_GBK" w:cs="宋体" w:hint="eastAsia"/>
          <w:color w:val="333333"/>
          <w:kern w:val="0"/>
          <w:sz w:val="32"/>
          <w:szCs w:val="32"/>
        </w:rPr>
        <w:t>57.81</w:t>
      </w:r>
      <w:r>
        <w:rPr>
          <w:rFonts w:ascii="方正仿宋_GBK" w:eastAsia="方正仿宋_GBK" w:hAnsi="方正仿宋_GBK" w:cs="宋体" w:hint="eastAsia"/>
          <w:color w:val="333333"/>
          <w:kern w:val="0"/>
          <w:sz w:val="32"/>
          <w:szCs w:val="32"/>
        </w:rPr>
        <w:t>万元，占</w:t>
      </w:r>
      <w:r>
        <w:rPr>
          <w:rFonts w:ascii="方正仿宋_GBK" w:eastAsia="方正仿宋_GBK" w:hAnsi="方正仿宋_GBK" w:cs="宋体" w:hint="eastAsia"/>
          <w:color w:val="333333"/>
          <w:kern w:val="0"/>
          <w:sz w:val="32"/>
          <w:szCs w:val="32"/>
        </w:rPr>
        <w:t>2.6%</w:t>
      </w:r>
      <w:r>
        <w:rPr>
          <w:rFonts w:ascii="方正仿宋_GBK" w:eastAsia="方正仿宋_GBK" w:hAnsi="方正仿宋_GBK" w:cs="宋体" w:hint="eastAsia"/>
          <w:color w:val="333333"/>
          <w:kern w:val="0"/>
          <w:sz w:val="32"/>
          <w:szCs w:val="32"/>
        </w:rPr>
        <w:t>，较年初预算数持平，增减</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w:t>
      </w:r>
    </w:p>
    <w:p w:rsidR="003006E8" w:rsidRDefault="00A43AFE">
      <w:pPr>
        <w:widowControl/>
        <w:shd w:val="clear" w:color="auto" w:fill="FFFFFF"/>
        <w:spacing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w:t>
      </w:r>
      <w:r>
        <w:rPr>
          <w:rFonts w:ascii="方正仿宋_GBK" w:eastAsia="方正仿宋_GBK" w:hAnsi="方正仿宋_GBK" w:cs="宋体" w:hint="eastAsia"/>
          <w:color w:val="333333"/>
          <w:kern w:val="0"/>
          <w:sz w:val="32"/>
          <w:szCs w:val="32"/>
        </w:rPr>
        <w:t>3</w:t>
      </w:r>
      <w:r>
        <w:rPr>
          <w:rFonts w:ascii="方正仿宋_GBK" w:eastAsia="方正仿宋_GBK" w:hAnsi="方正仿宋_GBK" w:cs="宋体" w:hint="eastAsia"/>
          <w:color w:val="333333"/>
          <w:kern w:val="0"/>
          <w:sz w:val="32"/>
          <w:szCs w:val="32"/>
        </w:rPr>
        <w:t>）住房保障支出</w:t>
      </w:r>
      <w:r>
        <w:rPr>
          <w:rFonts w:ascii="方正仿宋_GBK" w:eastAsia="方正仿宋_GBK" w:hAnsi="方正仿宋_GBK" w:cs="宋体" w:hint="eastAsia"/>
          <w:color w:val="333333"/>
          <w:kern w:val="0"/>
          <w:sz w:val="32"/>
          <w:szCs w:val="32"/>
        </w:rPr>
        <w:t>51.13</w:t>
      </w:r>
      <w:r>
        <w:rPr>
          <w:rFonts w:ascii="方正仿宋_GBK" w:eastAsia="方正仿宋_GBK" w:hAnsi="方正仿宋_GBK" w:cs="宋体" w:hint="eastAsia"/>
          <w:color w:val="333333"/>
          <w:kern w:val="0"/>
          <w:sz w:val="32"/>
          <w:szCs w:val="32"/>
        </w:rPr>
        <w:t>万元，占</w:t>
      </w:r>
      <w:r>
        <w:rPr>
          <w:rFonts w:ascii="方正仿宋_GBK" w:eastAsia="方正仿宋_GBK" w:hAnsi="方正仿宋_GBK" w:cs="宋体" w:hint="eastAsia"/>
          <w:color w:val="333333"/>
          <w:kern w:val="0"/>
          <w:sz w:val="32"/>
          <w:szCs w:val="32"/>
        </w:rPr>
        <w:t>2.3%</w:t>
      </w:r>
      <w:r>
        <w:rPr>
          <w:rFonts w:ascii="方正仿宋_GBK" w:eastAsia="方正仿宋_GBK" w:hAnsi="方正仿宋_GBK" w:cs="宋体" w:hint="eastAsia"/>
          <w:color w:val="333333"/>
          <w:kern w:val="0"/>
          <w:sz w:val="32"/>
          <w:szCs w:val="32"/>
        </w:rPr>
        <w:t>，较年初预算数增加（减少）</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（四）一般公共预算财政拨款基本支出决算情况说明。</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本部门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年度一般公共财政拨款基本支出</w:t>
      </w:r>
      <w:r>
        <w:rPr>
          <w:rFonts w:ascii="方正仿宋_GBK" w:eastAsia="方正仿宋_GBK" w:hAnsi="方正仿宋_GBK" w:cs="宋体" w:hint="eastAsia"/>
          <w:color w:val="333333"/>
          <w:kern w:val="0"/>
          <w:sz w:val="32"/>
          <w:szCs w:val="32"/>
        </w:rPr>
        <w:t>1230.12</w:t>
      </w:r>
      <w:r>
        <w:rPr>
          <w:rFonts w:ascii="方正仿宋_GBK" w:eastAsia="方正仿宋_GBK" w:hAnsi="方正仿宋_GBK" w:cs="宋体" w:hint="eastAsia"/>
          <w:color w:val="333333"/>
          <w:kern w:val="0"/>
          <w:sz w:val="32"/>
          <w:szCs w:val="32"/>
        </w:rPr>
        <w:t>万元。其中：人员经费</w:t>
      </w:r>
      <w:r>
        <w:rPr>
          <w:rFonts w:ascii="方正仿宋_GBK" w:eastAsia="方正仿宋_GBK" w:hAnsi="方正仿宋_GBK" w:cs="宋体" w:hint="eastAsia"/>
          <w:color w:val="333333"/>
          <w:kern w:val="0"/>
          <w:sz w:val="32"/>
          <w:szCs w:val="32"/>
        </w:rPr>
        <w:t>1102.45</w:t>
      </w:r>
      <w:r>
        <w:rPr>
          <w:rFonts w:ascii="方正仿宋_GBK" w:eastAsia="方正仿宋_GBK" w:hAnsi="方正仿宋_GBK" w:cs="宋体" w:hint="eastAsia"/>
          <w:color w:val="333333"/>
          <w:kern w:val="0"/>
          <w:sz w:val="32"/>
          <w:szCs w:val="32"/>
        </w:rPr>
        <w:t>万元，较上年决算数减少</w:t>
      </w:r>
      <w:r>
        <w:rPr>
          <w:rFonts w:ascii="方正仿宋_GBK" w:eastAsia="方正仿宋_GBK" w:hAnsi="方正仿宋_GBK" w:cs="宋体" w:hint="eastAsia"/>
          <w:color w:val="333333"/>
          <w:kern w:val="0"/>
          <w:sz w:val="32"/>
          <w:szCs w:val="32"/>
        </w:rPr>
        <w:t>405.01</w:t>
      </w:r>
      <w:r>
        <w:rPr>
          <w:rFonts w:ascii="方正仿宋_GBK" w:eastAsia="方正仿宋_GBK" w:hAnsi="方正仿宋_GBK" w:cs="宋体" w:hint="eastAsia"/>
          <w:color w:val="333333"/>
          <w:kern w:val="0"/>
          <w:sz w:val="32"/>
          <w:szCs w:val="32"/>
        </w:rPr>
        <w:t>万元，降低</w:t>
      </w:r>
      <w:r>
        <w:rPr>
          <w:rFonts w:ascii="方正仿宋_GBK" w:eastAsia="方正仿宋_GBK" w:hAnsi="方正仿宋_GBK" w:cs="宋体" w:hint="eastAsia"/>
          <w:color w:val="333333"/>
          <w:kern w:val="0"/>
          <w:sz w:val="32"/>
          <w:szCs w:val="32"/>
        </w:rPr>
        <w:t>26.9%</w:t>
      </w:r>
      <w:r>
        <w:rPr>
          <w:rFonts w:ascii="方正仿宋_GBK" w:eastAsia="方正仿宋_GBK" w:hAnsi="方正仿宋_GBK" w:cs="宋体" w:hint="eastAsia"/>
          <w:color w:val="333333"/>
          <w:kern w:val="0"/>
          <w:sz w:val="32"/>
          <w:szCs w:val="32"/>
        </w:rPr>
        <w:t>，主要原因是人员减少，财政下达人员经费减少。人员经费用途主要包括基本工资、津贴补贴、奖金、社会保障缴费等。公用经费</w:t>
      </w:r>
      <w:r>
        <w:rPr>
          <w:rFonts w:ascii="方正仿宋_GBK" w:eastAsia="方正仿宋_GBK" w:hAnsi="方正仿宋_GBK" w:cs="宋体" w:hint="eastAsia"/>
          <w:color w:val="333333"/>
          <w:kern w:val="0"/>
          <w:sz w:val="32"/>
          <w:szCs w:val="32"/>
        </w:rPr>
        <w:t>127.67</w:t>
      </w:r>
      <w:r>
        <w:rPr>
          <w:rFonts w:ascii="方正仿宋_GBK" w:eastAsia="方正仿宋_GBK" w:hAnsi="方正仿宋_GBK" w:cs="宋体" w:hint="eastAsia"/>
          <w:color w:val="333333"/>
          <w:kern w:val="0"/>
          <w:sz w:val="32"/>
          <w:szCs w:val="32"/>
        </w:rPr>
        <w:t>万元，较上年决算数减少</w:t>
      </w:r>
      <w:r>
        <w:rPr>
          <w:rFonts w:ascii="方正仿宋_GBK" w:eastAsia="方正仿宋_GBK" w:hAnsi="方正仿宋_GBK" w:cs="宋体" w:hint="eastAsia"/>
          <w:color w:val="333333"/>
          <w:kern w:val="0"/>
          <w:sz w:val="32"/>
          <w:szCs w:val="32"/>
        </w:rPr>
        <w:t>54.02</w:t>
      </w:r>
      <w:r>
        <w:rPr>
          <w:rFonts w:ascii="方正仿宋_GBK" w:eastAsia="方正仿宋_GBK" w:hAnsi="方正仿宋_GBK" w:cs="宋体" w:hint="eastAsia"/>
          <w:color w:val="333333"/>
          <w:kern w:val="0"/>
          <w:sz w:val="32"/>
          <w:szCs w:val="32"/>
        </w:rPr>
        <w:t>万元，减少</w:t>
      </w:r>
      <w:r>
        <w:rPr>
          <w:rFonts w:ascii="方正仿宋_GBK" w:eastAsia="方正仿宋_GBK" w:hAnsi="方正仿宋_GBK" w:cs="宋体" w:hint="eastAsia"/>
          <w:color w:val="333333"/>
          <w:kern w:val="0"/>
          <w:sz w:val="32"/>
          <w:szCs w:val="32"/>
        </w:rPr>
        <w:t>29.7%</w:t>
      </w:r>
      <w:r>
        <w:rPr>
          <w:rFonts w:ascii="方正仿宋_GBK" w:eastAsia="方正仿宋_GBK" w:hAnsi="方正仿宋_GBK" w:cs="宋体" w:hint="eastAsia"/>
          <w:color w:val="333333"/>
          <w:kern w:val="0"/>
          <w:sz w:val="32"/>
          <w:szCs w:val="32"/>
        </w:rPr>
        <w:t>，主要原因是：人员减少，差旅包干、交通补贴等公用经费支出减少</w:t>
      </w:r>
      <w:r>
        <w:rPr>
          <w:rFonts w:ascii="方正仿宋_GBK" w:eastAsia="方正仿宋_GBK" w:hAnsi="方正仿宋_GBK" w:cs="宋体" w:hint="eastAsia"/>
          <w:color w:val="333333"/>
          <w:kern w:val="0"/>
          <w:sz w:val="32"/>
          <w:szCs w:val="32"/>
        </w:rPr>
        <w:t>。公用经费用途主要包括办公费、印刷费、水费、电费、邮电费、差旅费、维修费、手续费等。</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（五）政府性基金预算收支决算情况说明。</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lastRenderedPageBreak/>
        <w:t>本部门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年度政府性基金预算财政拨款年初结转结余</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万元，年末结转结余</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万元。本年收入</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万元，较上年决算数增减</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万元，增减</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，与上年持平。本年支出</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万元，较上年决算数增加</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万元，增长</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，与上年持平。</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5"/>
          <w:szCs w:val="35"/>
        </w:rPr>
      </w:pP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年度无政府性基金预算财政拨款收支。</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（六）国有资本经营预算财政拨款支出决算情况说明。</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年度无国有资本经营预算财政拨款收支。</w:t>
      </w:r>
    </w:p>
    <w:p w:rsidR="003006E8" w:rsidRDefault="00A43AFE">
      <w:pPr>
        <w:widowControl/>
        <w:shd w:val="clear" w:color="auto" w:fill="FFFFFF"/>
        <w:spacing w:before="100" w:beforeAutospacing="1" w:after="100" w:afterAutospacing="1" w:line="670" w:lineRule="atLeast"/>
        <w:ind w:firstLine="720"/>
        <w:jc w:val="left"/>
        <w:rPr>
          <w:rFonts w:ascii="方正黑体_GBK" w:eastAsia="方正黑体_GBK" w:hAnsi="方正黑体_GBK" w:cs="宋体"/>
          <w:color w:val="333333"/>
          <w:kern w:val="0"/>
          <w:sz w:val="32"/>
          <w:szCs w:val="32"/>
        </w:rPr>
      </w:pPr>
      <w:r>
        <w:rPr>
          <w:rFonts w:ascii="方正黑体_GBK" w:eastAsia="方正黑体_GBK" w:hAnsi="方正黑体_GBK" w:cs="宋体" w:hint="eastAsia"/>
          <w:color w:val="333333"/>
          <w:kern w:val="0"/>
          <w:sz w:val="32"/>
          <w:szCs w:val="32"/>
        </w:rPr>
        <w:t>三、“三公”经费情况说明</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Pr>
          <w:rFonts w:ascii="Times New Roman" w:eastAsia="方正楷体_GBK" w:hAnsi="Times New Roman" w:cs="Times New Roman" w:hint="eastAsia"/>
          <w:sz w:val="32"/>
          <w:szCs w:val="32"/>
        </w:rPr>
        <w:t>“三公”经费支出情况</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1</w:t>
      </w:r>
      <w:r>
        <w:rPr>
          <w:rFonts w:ascii="Times New Roman" w:eastAsia="方正楷体_GBK" w:hAnsi="Times New Roman" w:cs="Times New Roman" w:hint="eastAsia"/>
          <w:sz w:val="32"/>
          <w:szCs w:val="32"/>
        </w:rPr>
        <w:t>、“三公”经费支出总体情况说明</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年“三公”经费决算支出</w:t>
      </w:r>
      <w:r>
        <w:rPr>
          <w:rFonts w:ascii="方正仿宋_GBK" w:eastAsia="方正仿宋_GBK" w:hAnsi="方正仿宋_GBK" w:cs="宋体" w:hint="eastAsia"/>
          <w:color w:val="333333"/>
          <w:kern w:val="0"/>
          <w:sz w:val="32"/>
          <w:szCs w:val="32"/>
        </w:rPr>
        <w:t>15.51</w:t>
      </w:r>
      <w:r>
        <w:rPr>
          <w:rFonts w:ascii="方正仿宋_GBK" w:eastAsia="方正仿宋_GBK" w:hAnsi="方正仿宋_GBK" w:cs="宋体" w:hint="eastAsia"/>
          <w:color w:val="333333"/>
          <w:kern w:val="0"/>
          <w:sz w:val="32"/>
          <w:szCs w:val="32"/>
        </w:rPr>
        <w:t>万元。较年初预算数减少</w:t>
      </w:r>
      <w:r>
        <w:rPr>
          <w:rFonts w:ascii="方正仿宋_GBK" w:eastAsia="方正仿宋_GBK" w:hAnsi="方正仿宋_GBK" w:cs="宋体" w:hint="eastAsia"/>
          <w:color w:val="333333"/>
          <w:kern w:val="0"/>
          <w:sz w:val="32"/>
          <w:szCs w:val="32"/>
        </w:rPr>
        <w:t>4.49</w:t>
      </w:r>
      <w:r>
        <w:rPr>
          <w:rFonts w:ascii="方正仿宋_GBK" w:eastAsia="方正仿宋_GBK" w:hAnsi="方正仿宋_GBK" w:cs="宋体" w:hint="eastAsia"/>
          <w:color w:val="333333"/>
          <w:kern w:val="0"/>
          <w:sz w:val="32"/>
          <w:szCs w:val="32"/>
        </w:rPr>
        <w:t>万元，下降</w:t>
      </w:r>
      <w:r>
        <w:rPr>
          <w:rFonts w:ascii="方正仿宋_GBK" w:eastAsia="方正仿宋_GBK" w:hAnsi="方正仿宋_GBK" w:cs="宋体" w:hint="eastAsia"/>
          <w:color w:val="333333"/>
          <w:kern w:val="0"/>
          <w:sz w:val="32"/>
          <w:szCs w:val="32"/>
        </w:rPr>
        <w:t>22.5%</w:t>
      </w:r>
      <w:r>
        <w:rPr>
          <w:rFonts w:ascii="方正仿宋_GBK" w:eastAsia="方正仿宋_GBK" w:hAnsi="方正仿宋_GBK" w:cs="宋体" w:hint="eastAsia"/>
          <w:color w:val="333333"/>
          <w:kern w:val="0"/>
          <w:sz w:val="32"/>
          <w:szCs w:val="32"/>
        </w:rPr>
        <w:t>，主要原因：一是认真贯彻落实中央八项规定精神和厉行节约要求，按照只减不增的要求从严控制三公经费，全年实际支出较年初预算减少较多。二是规范公务用车管理办法和用车程序，严格执行节假日公车封存制度，从严安排出车，控制用车成本，提高车辆使用效率，公车运行维护成本有所下降。三是强化公务接待支出管</w:t>
      </w:r>
      <w:r>
        <w:rPr>
          <w:rFonts w:ascii="方正仿宋_GBK" w:eastAsia="方正仿宋_GBK" w:hAnsi="方正仿宋_GBK" w:cs="宋体" w:hint="eastAsia"/>
          <w:color w:val="333333"/>
          <w:kern w:val="0"/>
          <w:sz w:val="32"/>
          <w:szCs w:val="32"/>
        </w:rPr>
        <w:lastRenderedPageBreak/>
        <w:t>理，严格遵守公务接待开支范围和开支标准，严格控制陪餐人数，公务接待费大幅下降。较上年支出数减少</w:t>
      </w:r>
      <w:r>
        <w:rPr>
          <w:rFonts w:ascii="方正仿宋_GBK" w:eastAsia="方正仿宋_GBK" w:hAnsi="方正仿宋_GBK" w:cs="宋体" w:hint="eastAsia"/>
          <w:color w:val="333333"/>
          <w:kern w:val="0"/>
          <w:sz w:val="32"/>
          <w:szCs w:val="32"/>
        </w:rPr>
        <w:t>0.46</w:t>
      </w:r>
      <w:r>
        <w:rPr>
          <w:rFonts w:ascii="方正仿宋_GBK" w:eastAsia="方正仿宋_GBK" w:hAnsi="方正仿宋_GBK" w:cs="宋体" w:hint="eastAsia"/>
          <w:color w:val="333333"/>
          <w:kern w:val="0"/>
          <w:sz w:val="32"/>
          <w:szCs w:val="32"/>
        </w:rPr>
        <w:t>万元，下降</w:t>
      </w:r>
      <w:r>
        <w:rPr>
          <w:rFonts w:ascii="方正仿宋_GBK" w:eastAsia="方正仿宋_GBK" w:hAnsi="方正仿宋_GBK" w:cs="宋体" w:hint="eastAsia"/>
          <w:color w:val="333333"/>
          <w:kern w:val="0"/>
          <w:sz w:val="32"/>
          <w:szCs w:val="32"/>
        </w:rPr>
        <w:t>2.9%</w:t>
      </w:r>
      <w:r>
        <w:rPr>
          <w:rFonts w:ascii="方正仿宋_GBK" w:eastAsia="方正仿宋_GBK" w:hAnsi="方正仿宋_GBK" w:cs="宋体" w:hint="eastAsia"/>
          <w:color w:val="333333"/>
          <w:kern w:val="0"/>
          <w:sz w:val="32"/>
          <w:szCs w:val="32"/>
        </w:rPr>
        <w:t>。主要原因是：认</w:t>
      </w:r>
      <w:r>
        <w:rPr>
          <w:rFonts w:ascii="方正仿宋_GBK" w:eastAsia="方正仿宋_GBK" w:hAnsi="方正仿宋_GBK" w:cs="宋体" w:hint="eastAsia"/>
          <w:color w:val="333333"/>
          <w:kern w:val="0"/>
          <w:sz w:val="32"/>
          <w:szCs w:val="32"/>
        </w:rPr>
        <w:t>真贯彻落实厉行节约的各项规定，严格“三公”经费管理，“三公”经费支出较上年有所减少。一是规范公务用车管理办法和用车程序，严格执行节假日公车封存制度，从严安排出车，控制用车成本，提高车辆使用效率；二是强化公务接待支出管理，严格遵守公务接待开支范围和开支标准，严格控制陪餐人数。</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2</w:t>
      </w:r>
      <w:r>
        <w:rPr>
          <w:rFonts w:ascii="Times New Roman" w:eastAsia="方正楷体_GBK" w:hAnsi="Times New Roman" w:cs="Times New Roman" w:hint="eastAsia"/>
          <w:sz w:val="32"/>
          <w:szCs w:val="32"/>
        </w:rPr>
        <w:t>、“三公”经费分项支出情况</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年因公出国（境）费用</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万元，较预算数增加</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万元，增长</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，主要原因是</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年未安排单位人员出国出访，未发生因公出国（境）费用。较上年支出数增加</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万元，增长</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，与上年持平，主要原因是未安排</w:t>
      </w:r>
      <w:r>
        <w:rPr>
          <w:rFonts w:ascii="方正仿宋_GBK" w:eastAsia="方正仿宋_GBK" w:hAnsi="方正仿宋_GBK" w:cs="宋体" w:hint="eastAsia"/>
          <w:color w:val="333333"/>
          <w:kern w:val="0"/>
          <w:sz w:val="32"/>
          <w:szCs w:val="32"/>
        </w:rPr>
        <w:t>单位人员出国出访，未发生因公出国（境）费用。</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公务用车购置费</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万元，费用支出较预算数增加</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万元，增长</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，主要原因是本单位本年未发生公务车购置费支出。较上年支出数增加</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万元，增长</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，与上年持平，主要原因是本年未发生公务车购置费支出。</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lastRenderedPageBreak/>
        <w:t>公务用车运行维护费</w:t>
      </w:r>
      <w:r>
        <w:rPr>
          <w:rFonts w:ascii="方正仿宋_GBK" w:eastAsia="方正仿宋_GBK" w:hAnsi="方正仿宋_GBK" w:cs="宋体" w:hint="eastAsia"/>
          <w:color w:val="333333"/>
          <w:kern w:val="0"/>
          <w:sz w:val="32"/>
          <w:szCs w:val="32"/>
        </w:rPr>
        <w:t>12.01</w:t>
      </w:r>
      <w:r>
        <w:rPr>
          <w:rFonts w:ascii="方正仿宋_GBK" w:eastAsia="方正仿宋_GBK" w:hAnsi="方正仿宋_GBK" w:cs="宋体" w:hint="eastAsia"/>
          <w:color w:val="333333"/>
          <w:kern w:val="0"/>
          <w:sz w:val="32"/>
          <w:szCs w:val="32"/>
        </w:rPr>
        <w:t>万元，主要用于机要文件交换、市内因公出行、应急保障等工作所需车辆的燃料费、维修费、过桥过路费、保险费及公务用车租赁费等。费用支出较年初预算数减少</w:t>
      </w:r>
      <w:r>
        <w:rPr>
          <w:rFonts w:ascii="方正仿宋_GBK" w:eastAsia="方正仿宋_GBK" w:hAnsi="方正仿宋_GBK" w:cs="宋体" w:hint="eastAsia"/>
          <w:color w:val="333333"/>
          <w:kern w:val="0"/>
          <w:sz w:val="32"/>
          <w:szCs w:val="32"/>
        </w:rPr>
        <w:t>2.49</w:t>
      </w:r>
      <w:r>
        <w:rPr>
          <w:rFonts w:ascii="方正仿宋_GBK" w:eastAsia="方正仿宋_GBK" w:hAnsi="方正仿宋_GBK" w:cs="宋体" w:hint="eastAsia"/>
          <w:color w:val="333333"/>
          <w:kern w:val="0"/>
          <w:sz w:val="32"/>
          <w:szCs w:val="32"/>
        </w:rPr>
        <w:t>万元，下降</w:t>
      </w:r>
      <w:r>
        <w:rPr>
          <w:rFonts w:ascii="方正仿宋_GBK" w:eastAsia="方正仿宋_GBK" w:hAnsi="方正仿宋_GBK" w:cs="宋体" w:hint="eastAsia"/>
          <w:color w:val="333333"/>
          <w:kern w:val="0"/>
          <w:sz w:val="32"/>
          <w:szCs w:val="32"/>
        </w:rPr>
        <w:t>17.2%</w:t>
      </w:r>
      <w:r>
        <w:rPr>
          <w:rFonts w:ascii="方正仿宋_GBK" w:eastAsia="方正仿宋_GBK" w:hAnsi="方正仿宋_GBK" w:cs="宋体" w:hint="eastAsia"/>
          <w:color w:val="333333"/>
          <w:kern w:val="0"/>
          <w:sz w:val="32"/>
          <w:szCs w:val="32"/>
        </w:rPr>
        <w:t>，主要原因是规范公务用车管理办法和用车程序，严格执行节假日公车封存制</w:t>
      </w:r>
      <w:r>
        <w:rPr>
          <w:rFonts w:ascii="方正仿宋_GBK" w:eastAsia="方正仿宋_GBK" w:hAnsi="方正仿宋_GBK" w:cs="宋体" w:hint="eastAsia"/>
          <w:color w:val="333333"/>
          <w:kern w:val="0"/>
          <w:sz w:val="32"/>
          <w:szCs w:val="32"/>
        </w:rPr>
        <w:t>度，从严安排出车，控制用车成本，提高车辆使用效率，公车运行维护成本有所下降。较上年支出数减少</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万元，下降</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，与上年持平，主要原因是规范公务用车管理办法和用车程序，严格执行节假日公车封存制度，从严安排出车，控制用车成本，提高车辆使用效率，公车运行维护成本下降。</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公务接待费</w:t>
      </w:r>
      <w:r>
        <w:rPr>
          <w:rFonts w:ascii="方正仿宋_GBK" w:eastAsia="方正仿宋_GBK" w:hAnsi="方正仿宋_GBK" w:cs="宋体" w:hint="eastAsia"/>
          <w:color w:val="333333"/>
          <w:kern w:val="0"/>
          <w:sz w:val="32"/>
          <w:szCs w:val="32"/>
        </w:rPr>
        <w:t>3.50</w:t>
      </w:r>
      <w:r>
        <w:rPr>
          <w:rFonts w:ascii="方正仿宋_GBK" w:eastAsia="方正仿宋_GBK" w:hAnsi="方正仿宋_GBK" w:cs="宋体" w:hint="eastAsia"/>
          <w:color w:val="333333"/>
          <w:kern w:val="0"/>
          <w:sz w:val="32"/>
          <w:szCs w:val="32"/>
        </w:rPr>
        <w:t>万元，主要用于接待国内其他省市、区县社保经办单位及相关业务单位到我单位调研、学习，接受相关部门检查指导工作发生的接待支出等。费用支出较年初预算数减少</w:t>
      </w:r>
      <w:r>
        <w:rPr>
          <w:rFonts w:ascii="方正仿宋_GBK" w:eastAsia="方正仿宋_GBK" w:hAnsi="方正仿宋_GBK" w:cs="宋体" w:hint="eastAsia"/>
          <w:color w:val="333333"/>
          <w:kern w:val="0"/>
          <w:sz w:val="32"/>
          <w:szCs w:val="32"/>
        </w:rPr>
        <w:t>2</w:t>
      </w:r>
      <w:r>
        <w:rPr>
          <w:rFonts w:ascii="方正仿宋_GBK" w:eastAsia="方正仿宋_GBK" w:hAnsi="方正仿宋_GBK" w:cs="宋体" w:hint="eastAsia"/>
          <w:color w:val="333333"/>
          <w:kern w:val="0"/>
          <w:sz w:val="32"/>
          <w:szCs w:val="32"/>
        </w:rPr>
        <w:t>万元，下降</w:t>
      </w:r>
      <w:r>
        <w:rPr>
          <w:rFonts w:ascii="方正仿宋_GBK" w:eastAsia="方正仿宋_GBK" w:hAnsi="方正仿宋_GBK" w:cs="宋体" w:hint="eastAsia"/>
          <w:color w:val="333333"/>
          <w:kern w:val="0"/>
          <w:sz w:val="32"/>
          <w:szCs w:val="32"/>
        </w:rPr>
        <w:t>36.4%</w:t>
      </w:r>
      <w:r>
        <w:rPr>
          <w:rFonts w:ascii="方正仿宋_GBK" w:eastAsia="方正仿宋_GBK" w:hAnsi="方正仿宋_GBK" w:cs="宋体" w:hint="eastAsia"/>
          <w:color w:val="333333"/>
          <w:kern w:val="0"/>
          <w:sz w:val="32"/>
          <w:szCs w:val="32"/>
        </w:rPr>
        <w:t>，主要原因是强化公务接待支出管理，严格遵守公务接待开支范围</w:t>
      </w:r>
      <w:r>
        <w:rPr>
          <w:rFonts w:ascii="方正仿宋_GBK" w:eastAsia="方正仿宋_GBK" w:hAnsi="方正仿宋_GBK" w:cs="宋体" w:hint="eastAsia"/>
          <w:color w:val="333333"/>
          <w:kern w:val="0"/>
          <w:sz w:val="32"/>
          <w:szCs w:val="32"/>
        </w:rPr>
        <w:t>和开支标准，严格控制陪餐人数，全年实际支出较年初预算有所下降。较上年决算支出数减少</w:t>
      </w:r>
      <w:r>
        <w:rPr>
          <w:rFonts w:ascii="方正仿宋_GBK" w:eastAsia="方正仿宋_GBK" w:hAnsi="方正仿宋_GBK" w:cs="宋体" w:hint="eastAsia"/>
          <w:color w:val="333333"/>
          <w:kern w:val="0"/>
          <w:sz w:val="32"/>
          <w:szCs w:val="32"/>
        </w:rPr>
        <w:t>0.46</w:t>
      </w:r>
      <w:r>
        <w:rPr>
          <w:rFonts w:ascii="方正仿宋_GBK" w:eastAsia="方正仿宋_GBK" w:hAnsi="方正仿宋_GBK" w:cs="宋体" w:hint="eastAsia"/>
          <w:color w:val="333333"/>
          <w:kern w:val="0"/>
          <w:sz w:val="32"/>
          <w:szCs w:val="32"/>
        </w:rPr>
        <w:t>万元，下降</w:t>
      </w:r>
      <w:r>
        <w:rPr>
          <w:rFonts w:ascii="方正仿宋_GBK" w:eastAsia="方正仿宋_GBK" w:hAnsi="方正仿宋_GBK" w:cs="宋体" w:hint="eastAsia"/>
          <w:color w:val="333333"/>
          <w:kern w:val="0"/>
          <w:sz w:val="32"/>
          <w:szCs w:val="32"/>
        </w:rPr>
        <w:t>11.6%</w:t>
      </w:r>
      <w:r>
        <w:rPr>
          <w:rFonts w:ascii="方正仿宋_GBK" w:eastAsia="方正仿宋_GBK" w:hAnsi="方正仿宋_GBK" w:cs="宋体" w:hint="eastAsia"/>
          <w:color w:val="333333"/>
          <w:kern w:val="0"/>
          <w:sz w:val="32"/>
          <w:szCs w:val="32"/>
        </w:rPr>
        <w:t>，主要原因是强化公务接待支出管理，严格遵守公务接待开支范围和开支标准，严格控制陪餐人数，公务接待费大幅下降。</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lastRenderedPageBreak/>
        <w:t>（二）“三公”经费实物量情况</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年度本部门因公出国（境）共计</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个团组，</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人；公务用车购置</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辆，公务车保有量为</w:t>
      </w:r>
      <w:r>
        <w:rPr>
          <w:rFonts w:ascii="方正仿宋_GBK" w:eastAsia="方正仿宋_GBK" w:hAnsi="方正仿宋_GBK" w:cs="宋体" w:hint="eastAsia"/>
          <w:color w:val="333333"/>
          <w:kern w:val="0"/>
          <w:sz w:val="32"/>
          <w:szCs w:val="32"/>
        </w:rPr>
        <w:t>3</w:t>
      </w:r>
      <w:r>
        <w:rPr>
          <w:rFonts w:ascii="方正仿宋_GBK" w:eastAsia="方正仿宋_GBK" w:hAnsi="方正仿宋_GBK" w:cs="宋体" w:hint="eastAsia"/>
          <w:color w:val="333333"/>
          <w:kern w:val="0"/>
          <w:sz w:val="32"/>
          <w:szCs w:val="32"/>
        </w:rPr>
        <w:t>辆；国内公务接待</w:t>
      </w:r>
      <w:r>
        <w:rPr>
          <w:rFonts w:ascii="方正仿宋_GBK" w:eastAsia="方正仿宋_GBK" w:hAnsi="方正仿宋_GBK" w:cs="宋体" w:hint="eastAsia"/>
          <w:color w:val="333333"/>
          <w:kern w:val="0"/>
          <w:sz w:val="32"/>
          <w:szCs w:val="32"/>
        </w:rPr>
        <w:t>58</w:t>
      </w:r>
      <w:r>
        <w:rPr>
          <w:rFonts w:ascii="方正仿宋_GBK" w:eastAsia="方正仿宋_GBK" w:hAnsi="方正仿宋_GBK" w:cs="宋体" w:hint="eastAsia"/>
          <w:color w:val="333333"/>
          <w:kern w:val="0"/>
          <w:sz w:val="32"/>
          <w:szCs w:val="32"/>
        </w:rPr>
        <w:t>批次</w:t>
      </w:r>
      <w:r>
        <w:rPr>
          <w:rFonts w:ascii="方正仿宋_GBK" w:eastAsia="方正仿宋_GBK" w:hAnsi="方正仿宋_GBK" w:cs="宋体" w:hint="eastAsia"/>
          <w:color w:val="333333"/>
          <w:kern w:val="0"/>
          <w:sz w:val="32"/>
          <w:szCs w:val="32"/>
        </w:rPr>
        <w:t>449</w:t>
      </w:r>
      <w:r>
        <w:rPr>
          <w:rFonts w:ascii="方正仿宋_GBK" w:eastAsia="方正仿宋_GBK" w:hAnsi="方正仿宋_GBK" w:cs="宋体" w:hint="eastAsia"/>
          <w:color w:val="333333"/>
          <w:kern w:val="0"/>
          <w:sz w:val="32"/>
          <w:szCs w:val="32"/>
        </w:rPr>
        <w:t>人，其中：国内外事接待</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批次，</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人；国（境）外公务接待</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批次，</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人。</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年本部门人均接待费</w:t>
      </w:r>
      <w:r>
        <w:rPr>
          <w:rFonts w:ascii="方正仿宋_GBK" w:eastAsia="方正仿宋_GBK" w:hAnsi="方正仿宋_GBK" w:cs="宋体" w:hint="eastAsia"/>
          <w:color w:val="333333"/>
          <w:kern w:val="0"/>
          <w:sz w:val="32"/>
          <w:szCs w:val="32"/>
        </w:rPr>
        <w:t>77.95</w:t>
      </w:r>
      <w:r>
        <w:rPr>
          <w:rFonts w:ascii="方正仿宋_GBK" w:eastAsia="方正仿宋_GBK" w:hAnsi="方正仿宋_GBK" w:cs="宋体" w:hint="eastAsia"/>
          <w:color w:val="333333"/>
          <w:kern w:val="0"/>
          <w:sz w:val="32"/>
          <w:szCs w:val="32"/>
        </w:rPr>
        <w:t>元，车均购置费</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万元，车均维护费</w:t>
      </w:r>
      <w:r>
        <w:rPr>
          <w:rFonts w:ascii="方正仿宋_GBK" w:eastAsia="方正仿宋_GBK" w:hAnsi="方正仿宋_GBK" w:cs="宋体" w:hint="eastAsia"/>
          <w:color w:val="333333"/>
          <w:kern w:val="0"/>
          <w:sz w:val="32"/>
          <w:szCs w:val="32"/>
        </w:rPr>
        <w:t>4.00</w:t>
      </w:r>
      <w:r>
        <w:rPr>
          <w:rFonts w:ascii="方正仿宋_GBK" w:eastAsia="方正仿宋_GBK" w:hAnsi="方正仿宋_GBK" w:cs="宋体" w:hint="eastAsia"/>
          <w:color w:val="333333"/>
          <w:kern w:val="0"/>
          <w:sz w:val="32"/>
          <w:szCs w:val="32"/>
        </w:rPr>
        <w:t>万</w:t>
      </w:r>
      <w:r>
        <w:rPr>
          <w:rFonts w:ascii="方正仿宋_GBK" w:eastAsia="方正仿宋_GBK" w:hAnsi="方正仿宋_GBK" w:cs="宋体" w:hint="eastAsia"/>
          <w:color w:val="333333"/>
          <w:kern w:val="0"/>
          <w:sz w:val="32"/>
          <w:szCs w:val="32"/>
        </w:rPr>
        <w:t>元。</w:t>
      </w:r>
    </w:p>
    <w:p w:rsidR="003006E8" w:rsidRDefault="00A43AFE">
      <w:pPr>
        <w:widowControl/>
        <w:shd w:val="clear" w:color="auto" w:fill="FFFFFF"/>
        <w:spacing w:before="100" w:beforeAutospacing="1" w:after="100" w:afterAutospacing="1" w:line="670" w:lineRule="atLeast"/>
        <w:ind w:firstLine="720"/>
        <w:jc w:val="left"/>
        <w:rPr>
          <w:rFonts w:ascii="方正黑体_GBK" w:eastAsia="方正黑体_GBK" w:hAnsi="方正黑体_GBK" w:cs="宋体"/>
          <w:color w:val="333333"/>
          <w:kern w:val="0"/>
          <w:sz w:val="32"/>
          <w:szCs w:val="32"/>
        </w:rPr>
      </w:pPr>
      <w:r>
        <w:rPr>
          <w:rFonts w:ascii="方正黑体_GBK" w:eastAsia="方正黑体_GBK" w:hAnsi="方正黑体_GBK" w:cs="宋体" w:hint="eastAsia"/>
          <w:color w:val="333333"/>
          <w:kern w:val="0"/>
          <w:sz w:val="32"/>
          <w:szCs w:val="32"/>
        </w:rPr>
        <w:t>四、其他需要说明的事项</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Times New Roman" w:eastAsia="方正楷体_GBK" w:hAnsi="Times New Roman" w:cs="Times New Roman" w:hint="eastAsia"/>
          <w:sz w:val="32"/>
          <w:szCs w:val="32"/>
        </w:rPr>
        <w:t>（一）机关运行经费情况说明。</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年度本部门机关运行经费支出</w:t>
      </w:r>
      <w:r>
        <w:rPr>
          <w:rFonts w:ascii="方正仿宋_GBK" w:eastAsia="方正仿宋_GBK" w:hAnsi="方正仿宋_GBK" w:cs="宋体" w:hint="eastAsia"/>
          <w:color w:val="333333"/>
          <w:kern w:val="0"/>
          <w:sz w:val="32"/>
          <w:szCs w:val="32"/>
        </w:rPr>
        <w:t>127.67</w:t>
      </w:r>
      <w:r>
        <w:rPr>
          <w:rFonts w:ascii="方正仿宋_GBK" w:eastAsia="方正仿宋_GBK" w:hAnsi="方正仿宋_GBK" w:cs="宋体" w:hint="eastAsia"/>
          <w:color w:val="333333"/>
          <w:kern w:val="0"/>
          <w:sz w:val="32"/>
          <w:szCs w:val="32"/>
        </w:rPr>
        <w:t>万元，比</w:t>
      </w:r>
      <w:r>
        <w:rPr>
          <w:rFonts w:ascii="方正仿宋_GBK" w:eastAsia="方正仿宋_GBK" w:hAnsi="方正仿宋_GBK" w:cs="宋体" w:hint="eastAsia"/>
          <w:color w:val="333333"/>
          <w:kern w:val="0"/>
          <w:sz w:val="32"/>
          <w:szCs w:val="32"/>
        </w:rPr>
        <w:t>2019</w:t>
      </w:r>
      <w:r>
        <w:rPr>
          <w:rFonts w:ascii="方正仿宋_GBK" w:eastAsia="方正仿宋_GBK" w:hAnsi="方正仿宋_GBK" w:cs="宋体" w:hint="eastAsia"/>
          <w:color w:val="333333"/>
          <w:kern w:val="0"/>
          <w:sz w:val="32"/>
          <w:szCs w:val="32"/>
        </w:rPr>
        <w:t>年度减少</w:t>
      </w:r>
      <w:r>
        <w:rPr>
          <w:rFonts w:ascii="方正仿宋_GBK" w:eastAsia="方正仿宋_GBK" w:hAnsi="方正仿宋_GBK" w:cs="宋体" w:hint="eastAsia"/>
          <w:color w:val="333333"/>
          <w:kern w:val="0"/>
          <w:sz w:val="32"/>
          <w:szCs w:val="32"/>
        </w:rPr>
        <w:t>54.02</w:t>
      </w:r>
      <w:r>
        <w:rPr>
          <w:rFonts w:ascii="方正仿宋_GBK" w:eastAsia="方正仿宋_GBK" w:hAnsi="方正仿宋_GBK" w:cs="宋体" w:hint="eastAsia"/>
          <w:color w:val="333333"/>
          <w:kern w:val="0"/>
          <w:sz w:val="32"/>
          <w:szCs w:val="32"/>
        </w:rPr>
        <w:t>万元，减少</w:t>
      </w:r>
      <w:r>
        <w:rPr>
          <w:rFonts w:ascii="方正仿宋_GBK" w:eastAsia="方正仿宋_GBK" w:hAnsi="方正仿宋_GBK" w:cs="宋体" w:hint="eastAsia"/>
          <w:color w:val="333333"/>
          <w:kern w:val="0"/>
          <w:sz w:val="32"/>
          <w:szCs w:val="32"/>
        </w:rPr>
        <w:t>29.7%</w:t>
      </w:r>
      <w:r>
        <w:rPr>
          <w:rFonts w:ascii="方正仿宋_GBK" w:eastAsia="方正仿宋_GBK" w:hAnsi="方正仿宋_GBK" w:cs="宋体" w:hint="eastAsia"/>
          <w:color w:val="333333"/>
          <w:kern w:val="0"/>
          <w:sz w:val="32"/>
          <w:szCs w:val="32"/>
        </w:rPr>
        <w:t>，主要原因：人员减少，差旅包干、交通补贴等公用经费支出减少。比年初预算数减少</w:t>
      </w:r>
      <w:r>
        <w:rPr>
          <w:rFonts w:ascii="方正仿宋_GBK" w:eastAsia="方正仿宋_GBK" w:hAnsi="方正仿宋_GBK" w:cs="宋体" w:hint="eastAsia"/>
          <w:color w:val="333333"/>
          <w:kern w:val="0"/>
          <w:sz w:val="32"/>
          <w:szCs w:val="32"/>
        </w:rPr>
        <w:t>120.79</w:t>
      </w:r>
      <w:r>
        <w:rPr>
          <w:rFonts w:ascii="方正仿宋_GBK" w:eastAsia="方正仿宋_GBK" w:hAnsi="方正仿宋_GBK" w:cs="宋体" w:hint="eastAsia"/>
          <w:color w:val="333333"/>
          <w:kern w:val="0"/>
          <w:sz w:val="32"/>
          <w:szCs w:val="32"/>
        </w:rPr>
        <w:t>万元，降低</w:t>
      </w:r>
      <w:r>
        <w:rPr>
          <w:rFonts w:ascii="方正仿宋_GBK" w:eastAsia="方正仿宋_GBK" w:hAnsi="方正仿宋_GBK" w:cs="宋体" w:hint="eastAsia"/>
          <w:color w:val="333333"/>
          <w:kern w:val="0"/>
          <w:sz w:val="32"/>
          <w:szCs w:val="32"/>
        </w:rPr>
        <w:t>48.6%</w:t>
      </w:r>
      <w:r>
        <w:rPr>
          <w:rFonts w:ascii="方正仿宋_GBK" w:eastAsia="方正仿宋_GBK" w:hAnsi="方正仿宋_GBK" w:cs="宋体" w:hint="eastAsia"/>
          <w:color w:val="333333"/>
          <w:kern w:val="0"/>
          <w:sz w:val="32"/>
          <w:szCs w:val="32"/>
        </w:rPr>
        <w:t>，主要原因是用公用经费弥补人员经费不足，致使公用经费较年初预算减少。机关运行经费主要用于办公费及印刷费、邮电费、通讯、差旅、工会经费、福利费、其他商品和服务支出等。</w:t>
      </w:r>
    </w:p>
    <w:p w:rsidR="003006E8" w:rsidRDefault="00A43AFE">
      <w:pPr>
        <w:widowControl/>
        <w:shd w:val="clear" w:color="auto" w:fill="FFFFFF"/>
        <w:spacing w:before="100" w:beforeAutospacing="1" w:after="100" w:afterAutospacing="1" w:line="670" w:lineRule="atLeast"/>
        <w:ind w:firstLine="720"/>
        <w:jc w:val="left"/>
        <w:rPr>
          <w:rFonts w:ascii="微软雅黑" w:eastAsia="微软雅黑" w:hAnsi="微软雅黑" w:cs="宋体"/>
          <w:color w:val="333333"/>
          <w:kern w:val="0"/>
          <w:sz w:val="27"/>
          <w:szCs w:val="27"/>
        </w:rPr>
      </w:pPr>
      <w:r>
        <w:rPr>
          <w:rFonts w:ascii="方正仿宋_GBK" w:eastAsia="方正仿宋_GBK" w:hAnsi="方正仿宋_GBK" w:cs="宋体" w:hint="eastAsia"/>
          <w:color w:val="333333"/>
          <w:kern w:val="0"/>
          <w:sz w:val="32"/>
          <w:szCs w:val="32"/>
        </w:rPr>
        <w:t>此外，本年度一般公共预算财政拨款会议费支出</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万元，较上年决算数减少</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万元，下降</w:t>
      </w:r>
      <w:r>
        <w:rPr>
          <w:rFonts w:ascii="方正仿宋_GBK" w:eastAsia="方正仿宋_GBK" w:hAnsi="方正仿宋_GBK" w:cs="宋体" w:hint="eastAsia"/>
          <w:color w:val="333333"/>
          <w:kern w:val="0"/>
          <w:sz w:val="32"/>
          <w:szCs w:val="32"/>
        </w:rPr>
        <w:t>0.0%</w:t>
      </w:r>
      <w:r>
        <w:rPr>
          <w:rFonts w:ascii="方正仿宋_GBK" w:eastAsia="方正仿宋_GBK" w:hAnsi="方正仿宋_GBK" w:cs="宋体" w:hint="eastAsia"/>
          <w:color w:val="333333"/>
          <w:kern w:val="0"/>
          <w:sz w:val="32"/>
          <w:szCs w:val="32"/>
        </w:rPr>
        <w:t>，与上年持平，主要原因是无会议开支。本年度一般公共预算财政拨款培训费支出</w:t>
      </w:r>
      <w:r>
        <w:rPr>
          <w:rFonts w:ascii="方正仿宋_GBK" w:eastAsia="方正仿宋_GBK" w:hAnsi="方正仿宋_GBK" w:cs="宋体" w:hint="eastAsia"/>
          <w:color w:val="333333"/>
          <w:kern w:val="0"/>
          <w:sz w:val="32"/>
          <w:szCs w:val="32"/>
        </w:rPr>
        <w:lastRenderedPageBreak/>
        <w:t>11.06</w:t>
      </w:r>
      <w:r>
        <w:rPr>
          <w:rFonts w:ascii="方正仿宋_GBK" w:eastAsia="方正仿宋_GBK" w:hAnsi="方正仿宋_GBK" w:cs="宋体" w:hint="eastAsia"/>
          <w:color w:val="333333"/>
          <w:kern w:val="0"/>
          <w:sz w:val="32"/>
          <w:szCs w:val="32"/>
        </w:rPr>
        <w:t>万元，较上年决算数减少</w:t>
      </w:r>
      <w:r>
        <w:rPr>
          <w:rFonts w:ascii="方正仿宋_GBK" w:eastAsia="方正仿宋_GBK" w:hAnsi="方正仿宋_GBK" w:cs="宋体" w:hint="eastAsia"/>
          <w:color w:val="333333"/>
          <w:kern w:val="0"/>
          <w:sz w:val="32"/>
          <w:szCs w:val="32"/>
        </w:rPr>
        <w:t>0.38</w:t>
      </w:r>
      <w:r>
        <w:rPr>
          <w:rFonts w:ascii="方正仿宋_GBK" w:eastAsia="方正仿宋_GBK" w:hAnsi="方正仿宋_GBK" w:cs="宋体" w:hint="eastAsia"/>
          <w:color w:val="333333"/>
          <w:kern w:val="0"/>
          <w:sz w:val="32"/>
          <w:szCs w:val="32"/>
        </w:rPr>
        <w:t>万元，下降</w:t>
      </w:r>
      <w:r>
        <w:rPr>
          <w:rFonts w:ascii="方正仿宋_GBK" w:eastAsia="方正仿宋_GBK" w:hAnsi="方正仿宋_GBK" w:cs="宋体" w:hint="eastAsia"/>
          <w:color w:val="333333"/>
          <w:kern w:val="0"/>
          <w:sz w:val="32"/>
          <w:szCs w:val="32"/>
        </w:rPr>
        <w:t>3.3%</w:t>
      </w:r>
      <w:r>
        <w:rPr>
          <w:rFonts w:ascii="方正仿宋_GBK" w:eastAsia="方正仿宋_GBK" w:hAnsi="方正仿宋_GBK" w:cs="宋体" w:hint="eastAsia"/>
          <w:color w:val="333333"/>
          <w:kern w:val="0"/>
          <w:sz w:val="32"/>
          <w:szCs w:val="32"/>
        </w:rPr>
        <w:t>，主要原因是减少培训支出。</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（二）国有资产占用情况说明。</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截至</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w:t>
      </w:r>
      <w:r>
        <w:rPr>
          <w:rFonts w:ascii="方正仿宋_GBK" w:eastAsia="方正仿宋_GBK" w:hAnsi="方正仿宋_GBK" w:cs="宋体" w:hint="eastAsia"/>
          <w:color w:val="333333"/>
          <w:kern w:val="0"/>
          <w:sz w:val="32"/>
          <w:szCs w:val="32"/>
        </w:rPr>
        <w:t>12</w:t>
      </w:r>
      <w:r>
        <w:rPr>
          <w:rFonts w:ascii="方正仿宋_GBK" w:eastAsia="方正仿宋_GBK" w:hAnsi="方正仿宋_GBK" w:cs="宋体" w:hint="eastAsia"/>
          <w:color w:val="333333"/>
          <w:kern w:val="0"/>
          <w:sz w:val="32"/>
          <w:szCs w:val="32"/>
        </w:rPr>
        <w:t>月</w:t>
      </w:r>
      <w:r>
        <w:rPr>
          <w:rFonts w:ascii="方正仿宋_GBK" w:eastAsia="方正仿宋_GBK" w:hAnsi="方正仿宋_GBK" w:cs="宋体" w:hint="eastAsia"/>
          <w:color w:val="333333"/>
          <w:kern w:val="0"/>
          <w:sz w:val="32"/>
          <w:szCs w:val="32"/>
        </w:rPr>
        <w:t>31</w:t>
      </w:r>
      <w:r>
        <w:rPr>
          <w:rFonts w:ascii="方正仿宋_GBK" w:eastAsia="方正仿宋_GBK" w:hAnsi="方正仿宋_GBK" w:cs="宋体" w:hint="eastAsia"/>
          <w:color w:val="333333"/>
          <w:kern w:val="0"/>
          <w:sz w:val="32"/>
          <w:szCs w:val="32"/>
        </w:rPr>
        <w:t>日，本部门共有车辆</w:t>
      </w:r>
      <w:r>
        <w:rPr>
          <w:rFonts w:ascii="方正仿宋_GBK" w:eastAsia="方正仿宋_GBK" w:hAnsi="方正仿宋_GBK" w:cs="宋体" w:hint="eastAsia"/>
          <w:color w:val="333333"/>
          <w:kern w:val="0"/>
          <w:sz w:val="32"/>
          <w:szCs w:val="32"/>
        </w:rPr>
        <w:t>3</w:t>
      </w:r>
      <w:r>
        <w:rPr>
          <w:rFonts w:ascii="方正仿宋_GBK" w:eastAsia="方正仿宋_GBK" w:hAnsi="方正仿宋_GBK" w:cs="宋体" w:hint="eastAsia"/>
          <w:color w:val="333333"/>
          <w:kern w:val="0"/>
          <w:sz w:val="32"/>
          <w:szCs w:val="32"/>
        </w:rPr>
        <w:t>辆。其中：副部（省）级及以上领导用车</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辆，主要领导干部用车</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辆，机要通信用车</w:t>
      </w:r>
      <w:r>
        <w:rPr>
          <w:rFonts w:ascii="方正仿宋_GBK" w:eastAsia="方正仿宋_GBK" w:hAnsi="方正仿宋_GBK" w:cs="宋体" w:hint="eastAsia"/>
          <w:color w:val="333333"/>
          <w:kern w:val="0"/>
          <w:sz w:val="32"/>
          <w:szCs w:val="32"/>
        </w:rPr>
        <w:t>1</w:t>
      </w:r>
      <w:r>
        <w:rPr>
          <w:rFonts w:ascii="方正仿宋_GBK" w:eastAsia="方正仿宋_GBK" w:hAnsi="方正仿宋_GBK" w:cs="宋体" w:hint="eastAsia"/>
          <w:color w:val="333333"/>
          <w:kern w:val="0"/>
          <w:sz w:val="32"/>
          <w:szCs w:val="32"/>
        </w:rPr>
        <w:t>辆，应急保障用车</w:t>
      </w:r>
      <w:r>
        <w:rPr>
          <w:rFonts w:ascii="方正仿宋_GBK" w:eastAsia="方正仿宋_GBK" w:hAnsi="方正仿宋_GBK" w:cs="宋体" w:hint="eastAsia"/>
          <w:color w:val="333333"/>
          <w:kern w:val="0"/>
          <w:sz w:val="32"/>
          <w:szCs w:val="32"/>
        </w:rPr>
        <w:t>2</w:t>
      </w:r>
      <w:r>
        <w:rPr>
          <w:rFonts w:ascii="方正仿宋_GBK" w:eastAsia="方正仿宋_GBK" w:hAnsi="方正仿宋_GBK" w:cs="宋体" w:hint="eastAsia"/>
          <w:color w:val="333333"/>
          <w:kern w:val="0"/>
          <w:sz w:val="32"/>
          <w:szCs w:val="32"/>
        </w:rPr>
        <w:t>辆，执法执勤用车</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辆，特种专业技术用车</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辆，离退休干部用车</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辆，其他用车</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辆。单价</w:t>
      </w:r>
      <w:r>
        <w:rPr>
          <w:rFonts w:ascii="方正仿宋_GBK" w:eastAsia="方正仿宋_GBK" w:hAnsi="方正仿宋_GBK" w:cs="宋体" w:hint="eastAsia"/>
          <w:color w:val="333333"/>
          <w:kern w:val="0"/>
          <w:sz w:val="32"/>
          <w:szCs w:val="32"/>
        </w:rPr>
        <w:t>50</w:t>
      </w:r>
      <w:r>
        <w:rPr>
          <w:rFonts w:ascii="方正仿宋_GBK" w:eastAsia="方正仿宋_GBK" w:hAnsi="方正仿宋_GBK" w:cs="宋体" w:hint="eastAsia"/>
          <w:color w:val="333333"/>
          <w:kern w:val="0"/>
          <w:sz w:val="32"/>
          <w:szCs w:val="32"/>
        </w:rPr>
        <w:t>万元（含）以</w:t>
      </w:r>
      <w:r>
        <w:rPr>
          <w:rFonts w:ascii="方正仿宋_GBK" w:eastAsia="方正仿宋_GBK" w:hAnsi="方正仿宋_GBK" w:cs="宋体" w:hint="eastAsia"/>
          <w:color w:val="333333"/>
          <w:kern w:val="0"/>
          <w:sz w:val="32"/>
          <w:szCs w:val="32"/>
        </w:rPr>
        <w:t>上通用设备</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台（套），单价</w:t>
      </w:r>
      <w:r>
        <w:rPr>
          <w:rFonts w:ascii="方正仿宋_GBK" w:eastAsia="方正仿宋_GBK" w:hAnsi="方正仿宋_GBK" w:cs="宋体" w:hint="eastAsia"/>
          <w:color w:val="333333"/>
          <w:kern w:val="0"/>
          <w:sz w:val="32"/>
          <w:szCs w:val="32"/>
        </w:rPr>
        <w:t>100</w:t>
      </w:r>
      <w:r>
        <w:rPr>
          <w:rFonts w:ascii="方正仿宋_GBK" w:eastAsia="方正仿宋_GBK" w:hAnsi="方正仿宋_GBK" w:cs="宋体" w:hint="eastAsia"/>
          <w:color w:val="333333"/>
          <w:kern w:val="0"/>
          <w:sz w:val="32"/>
          <w:szCs w:val="32"/>
        </w:rPr>
        <w:t>万元（含）以上专用设备</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台（套）。</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（三）政府采购支出情况说明。</w:t>
      </w:r>
    </w:p>
    <w:p w:rsidR="003006E8" w:rsidRDefault="00A43AFE">
      <w:pPr>
        <w:widowControl/>
        <w:shd w:val="clear" w:color="auto" w:fill="FFFFFF"/>
        <w:spacing w:before="100" w:beforeAutospacing="1" w:after="100" w:afterAutospacing="1" w:line="670" w:lineRule="atLeast"/>
        <w:ind w:firstLineChars="200" w:firstLine="64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年度本部门政府采购支出总额</w:t>
      </w:r>
      <w:r>
        <w:rPr>
          <w:rFonts w:ascii="方正仿宋_GBK" w:eastAsia="方正仿宋_GBK" w:hAnsi="方正仿宋_GBK" w:cs="宋体" w:hint="eastAsia"/>
          <w:color w:val="333333"/>
          <w:kern w:val="0"/>
          <w:sz w:val="32"/>
          <w:szCs w:val="32"/>
        </w:rPr>
        <w:t>13.6</w:t>
      </w:r>
      <w:r>
        <w:rPr>
          <w:rFonts w:ascii="方正仿宋_GBK" w:eastAsia="方正仿宋_GBK" w:hAnsi="方正仿宋_GBK" w:cs="宋体" w:hint="eastAsia"/>
          <w:color w:val="333333"/>
          <w:kern w:val="0"/>
          <w:sz w:val="32"/>
          <w:szCs w:val="32"/>
        </w:rPr>
        <w:t>万元，其中：政府采购货物支出</w:t>
      </w:r>
      <w:r>
        <w:rPr>
          <w:rFonts w:ascii="方正仿宋_GBK" w:eastAsia="方正仿宋_GBK" w:hAnsi="方正仿宋_GBK" w:cs="宋体" w:hint="eastAsia"/>
          <w:color w:val="333333"/>
          <w:kern w:val="0"/>
          <w:sz w:val="32"/>
          <w:szCs w:val="32"/>
        </w:rPr>
        <w:t>13.6</w:t>
      </w:r>
      <w:r>
        <w:rPr>
          <w:rFonts w:ascii="方正仿宋_GBK" w:eastAsia="方正仿宋_GBK" w:hAnsi="方正仿宋_GBK" w:cs="宋体" w:hint="eastAsia"/>
          <w:color w:val="333333"/>
          <w:kern w:val="0"/>
          <w:sz w:val="32"/>
          <w:szCs w:val="32"/>
        </w:rPr>
        <w:t>万元、政府采购工程支出</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万元、政府采购服务支出</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万元。授予中小企业合同金额</w:t>
      </w:r>
      <w:r>
        <w:rPr>
          <w:rFonts w:ascii="方正仿宋_GBK" w:eastAsia="方正仿宋_GBK" w:hAnsi="方正仿宋_GBK" w:cs="宋体" w:hint="eastAsia"/>
          <w:color w:val="333333"/>
          <w:kern w:val="0"/>
          <w:sz w:val="32"/>
          <w:szCs w:val="32"/>
        </w:rPr>
        <w:t>13.6</w:t>
      </w:r>
      <w:r>
        <w:rPr>
          <w:rFonts w:ascii="方正仿宋_GBK" w:eastAsia="方正仿宋_GBK" w:hAnsi="方正仿宋_GBK" w:cs="宋体" w:hint="eastAsia"/>
          <w:color w:val="333333"/>
          <w:kern w:val="0"/>
          <w:sz w:val="32"/>
          <w:szCs w:val="32"/>
        </w:rPr>
        <w:t>万元，占政府采购支出总额的</w:t>
      </w:r>
      <w:r>
        <w:rPr>
          <w:rFonts w:ascii="方正仿宋_GBK" w:eastAsia="方正仿宋_GBK" w:hAnsi="方正仿宋_GBK" w:cs="宋体" w:hint="eastAsia"/>
          <w:color w:val="333333"/>
          <w:kern w:val="0"/>
          <w:sz w:val="32"/>
          <w:szCs w:val="32"/>
        </w:rPr>
        <w:t>100%</w:t>
      </w:r>
      <w:r>
        <w:rPr>
          <w:rFonts w:ascii="方正仿宋_GBK" w:eastAsia="方正仿宋_GBK" w:hAnsi="方正仿宋_GBK" w:cs="宋体" w:hint="eastAsia"/>
          <w:color w:val="333333"/>
          <w:kern w:val="0"/>
          <w:sz w:val="32"/>
          <w:szCs w:val="32"/>
        </w:rPr>
        <w:t>，其中：授予小微企业合同金额</w:t>
      </w:r>
      <w:r>
        <w:rPr>
          <w:rFonts w:ascii="方正仿宋_GBK" w:eastAsia="方正仿宋_GBK" w:hAnsi="方正仿宋_GBK" w:cs="宋体" w:hint="eastAsia"/>
          <w:color w:val="333333"/>
          <w:kern w:val="0"/>
          <w:sz w:val="32"/>
          <w:szCs w:val="32"/>
        </w:rPr>
        <w:t>13.6</w:t>
      </w:r>
      <w:r>
        <w:rPr>
          <w:rFonts w:ascii="方正仿宋_GBK" w:eastAsia="方正仿宋_GBK" w:hAnsi="方正仿宋_GBK" w:cs="宋体" w:hint="eastAsia"/>
          <w:color w:val="333333"/>
          <w:kern w:val="0"/>
          <w:sz w:val="32"/>
          <w:szCs w:val="32"/>
        </w:rPr>
        <w:t>万元，占政府采购支出总额的</w:t>
      </w:r>
      <w:r>
        <w:rPr>
          <w:rFonts w:ascii="方正仿宋_GBK" w:eastAsia="方正仿宋_GBK" w:hAnsi="方正仿宋_GBK" w:cs="宋体" w:hint="eastAsia"/>
          <w:color w:val="333333"/>
          <w:kern w:val="0"/>
          <w:sz w:val="32"/>
          <w:szCs w:val="32"/>
        </w:rPr>
        <w:t>100%</w:t>
      </w:r>
      <w:r>
        <w:rPr>
          <w:rFonts w:ascii="方正仿宋_GBK" w:eastAsia="方正仿宋_GBK" w:hAnsi="方正仿宋_GBK" w:cs="宋体" w:hint="eastAsia"/>
          <w:color w:val="333333"/>
          <w:kern w:val="0"/>
          <w:sz w:val="32"/>
          <w:szCs w:val="32"/>
        </w:rPr>
        <w:t>。</w:t>
      </w:r>
    </w:p>
    <w:p w:rsidR="003006E8" w:rsidRDefault="00A43AFE">
      <w:pPr>
        <w:widowControl/>
        <w:shd w:val="clear" w:color="auto" w:fill="FFFFFF"/>
        <w:spacing w:before="100" w:beforeAutospacing="1" w:after="100" w:afterAutospacing="1" w:line="670" w:lineRule="atLeast"/>
        <w:ind w:firstLine="720"/>
        <w:jc w:val="left"/>
        <w:rPr>
          <w:rFonts w:ascii="方正黑体_GBK" w:eastAsia="方正黑体_GBK" w:hAnsi="方正黑体_GBK" w:cs="宋体"/>
          <w:color w:val="333333"/>
          <w:kern w:val="0"/>
          <w:sz w:val="32"/>
          <w:szCs w:val="32"/>
        </w:rPr>
      </w:pPr>
      <w:r>
        <w:rPr>
          <w:rFonts w:ascii="方正黑体_GBK" w:eastAsia="方正黑体_GBK" w:hAnsi="方正黑体_GBK" w:cs="宋体" w:hint="eastAsia"/>
          <w:color w:val="333333"/>
          <w:kern w:val="0"/>
          <w:sz w:val="32"/>
          <w:szCs w:val="32"/>
        </w:rPr>
        <w:t>五、预算绩效管理情况说明</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（一）预算绩效管理工作开展情况</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lastRenderedPageBreak/>
        <w:t>根据预算绩效管理要求，我中心对</w:t>
      </w:r>
      <w:r>
        <w:rPr>
          <w:rFonts w:ascii="方正仿宋_GBK" w:eastAsia="方正仿宋_GBK" w:hAnsi="方正仿宋_GBK" w:cs="宋体" w:hint="eastAsia"/>
          <w:color w:val="333333"/>
          <w:kern w:val="0"/>
          <w:sz w:val="32"/>
          <w:szCs w:val="32"/>
        </w:rPr>
        <w:t>14</w:t>
      </w:r>
      <w:r>
        <w:rPr>
          <w:rFonts w:ascii="方正仿宋_GBK" w:eastAsia="方正仿宋_GBK" w:hAnsi="方正仿宋_GBK" w:cs="宋体" w:hint="eastAsia"/>
          <w:color w:val="333333"/>
          <w:kern w:val="0"/>
          <w:sz w:val="32"/>
          <w:szCs w:val="32"/>
        </w:rPr>
        <w:t>个项目开展了绩效自评，其中，以填报目标自评表形式开展自</w:t>
      </w:r>
      <w:r>
        <w:rPr>
          <w:rFonts w:ascii="方正仿宋_GBK" w:eastAsia="方正仿宋_GBK" w:hAnsi="方正仿宋_GBK" w:cs="宋体" w:hint="eastAsia"/>
          <w:color w:val="333333"/>
          <w:kern w:val="0"/>
          <w:sz w:val="32"/>
          <w:szCs w:val="32"/>
        </w:rPr>
        <w:t>评</w:t>
      </w:r>
      <w:r>
        <w:rPr>
          <w:rFonts w:ascii="方正仿宋_GBK" w:eastAsia="方正仿宋_GBK" w:hAnsi="方正仿宋_GBK" w:cs="宋体" w:hint="eastAsia"/>
          <w:color w:val="333333"/>
          <w:kern w:val="0"/>
          <w:sz w:val="32"/>
          <w:szCs w:val="32"/>
        </w:rPr>
        <w:t>14</w:t>
      </w:r>
      <w:r>
        <w:rPr>
          <w:rFonts w:ascii="方正仿宋_GBK" w:eastAsia="方正仿宋_GBK" w:hAnsi="方正仿宋_GBK" w:cs="宋体" w:hint="eastAsia"/>
          <w:color w:val="333333"/>
          <w:kern w:val="0"/>
          <w:sz w:val="32"/>
          <w:szCs w:val="32"/>
        </w:rPr>
        <w:t>项，涉及资金</w:t>
      </w:r>
      <w:r>
        <w:rPr>
          <w:rFonts w:ascii="方正仿宋_GBK" w:eastAsia="方正仿宋_GBK" w:hAnsi="方正仿宋_GBK" w:cs="宋体" w:hint="eastAsia"/>
          <w:color w:val="333333"/>
          <w:kern w:val="0"/>
          <w:sz w:val="32"/>
          <w:szCs w:val="32"/>
        </w:rPr>
        <w:t>999.27</w:t>
      </w:r>
      <w:r>
        <w:rPr>
          <w:rFonts w:ascii="方正仿宋_GBK" w:eastAsia="方正仿宋_GBK" w:hAnsi="方正仿宋_GBK" w:cs="宋体" w:hint="eastAsia"/>
          <w:color w:val="333333"/>
          <w:kern w:val="0"/>
          <w:sz w:val="32"/>
          <w:szCs w:val="32"/>
        </w:rPr>
        <w:t>万元。对</w:t>
      </w:r>
      <w:r>
        <w:rPr>
          <w:rFonts w:ascii="方正仿宋_GBK" w:eastAsia="方正仿宋_GBK" w:hAnsi="方正仿宋_GBK" w:cs="宋体" w:hint="eastAsia"/>
          <w:color w:val="333333"/>
          <w:kern w:val="0"/>
          <w:sz w:val="32"/>
          <w:szCs w:val="32"/>
        </w:rPr>
        <w:t>0</w:t>
      </w:r>
      <w:r>
        <w:rPr>
          <w:rFonts w:ascii="方正仿宋_GBK" w:eastAsia="方正仿宋_GBK" w:hAnsi="方正仿宋_GBK" w:cs="宋体" w:hint="eastAsia"/>
          <w:color w:val="333333"/>
          <w:kern w:val="0"/>
          <w:sz w:val="32"/>
          <w:szCs w:val="32"/>
        </w:rPr>
        <w:t>个项目开展了重点绩效评价。</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本部门</w:t>
      </w:r>
      <w:r>
        <w:rPr>
          <w:rFonts w:ascii="方正仿宋_GBK" w:eastAsia="方正仿宋_GBK" w:hAnsi="方正仿宋_GBK" w:cs="宋体" w:hint="eastAsia"/>
          <w:color w:val="333333"/>
          <w:kern w:val="0"/>
          <w:sz w:val="32"/>
          <w:szCs w:val="32"/>
        </w:rPr>
        <w:t>14</w:t>
      </w:r>
      <w:r>
        <w:rPr>
          <w:rFonts w:ascii="方正仿宋_GBK" w:eastAsia="方正仿宋_GBK" w:hAnsi="方正仿宋_GBK" w:cs="宋体" w:hint="eastAsia"/>
          <w:color w:val="333333"/>
          <w:kern w:val="0"/>
          <w:sz w:val="32"/>
          <w:szCs w:val="32"/>
        </w:rPr>
        <w:t>个项目，主要为城乡居民养老保险专项经费、档案管理工作经费、企业退休人员社会化管理、机关事业单位养老保险工作经费、社保中心运行经费等。</w:t>
      </w:r>
      <w:r>
        <w:rPr>
          <w:rFonts w:ascii="方正仿宋_GBK" w:eastAsia="方正仿宋_GBK" w:hAnsi="方正仿宋_GBK" w:cs="宋体" w:hint="eastAsia"/>
          <w:color w:val="333333"/>
          <w:kern w:val="0"/>
          <w:sz w:val="32"/>
          <w:szCs w:val="32"/>
        </w:rPr>
        <w:t>14</w:t>
      </w:r>
      <w:r>
        <w:rPr>
          <w:rFonts w:ascii="方正仿宋_GBK" w:eastAsia="方正仿宋_GBK" w:hAnsi="方正仿宋_GBK" w:cs="宋体" w:hint="eastAsia"/>
          <w:color w:val="333333"/>
          <w:kern w:val="0"/>
          <w:sz w:val="32"/>
          <w:szCs w:val="32"/>
        </w:rPr>
        <w:t>个项目调整预算数</w:t>
      </w:r>
      <w:r>
        <w:rPr>
          <w:rFonts w:ascii="方正仿宋_GBK" w:eastAsia="方正仿宋_GBK" w:hAnsi="方正仿宋_GBK" w:cs="宋体" w:hint="eastAsia"/>
          <w:color w:val="333333"/>
          <w:kern w:val="0"/>
          <w:sz w:val="32"/>
          <w:szCs w:val="32"/>
        </w:rPr>
        <w:t>999.27</w:t>
      </w:r>
      <w:r>
        <w:rPr>
          <w:rFonts w:ascii="方正仿宋_GBK" w:eastAsia="方正仿宋_GBK" w:hAnsi="方正仿宋_GBK" w:cs="宋体" w:hint="eastAsia"/>
          <w:color w:val="333333"/>
          <w:kern w:val="0"/>
          <w:sz w:val="32"/>
          <w:szCs w:val="32"/>
        </w:rPr>
        <w:t>万元（年初预算数</w:t>
      </w:r>
      <w:r>
        <w:rPr>
          <w:rFonts w:ascii="方正仿宋_GBK" w:eastAsia="方正仿宋_GBK" w:hAnsi="方正仿宋_GBK" w:cs="宋体" w:hint="eastAsia"/>
          <w:color w:val="333333"/>
          <w:kern w:val="0"/>
          <w:sz w:val="32"/>
          <w:szCs w:val="32"/>
        </w:rPr>
        <w:t>660.05</w:t>
      </w:r>
      <w:r>
        <w:rPr>
          <w:rFonts w:ascii="方正仿宋_GBK" w:eastAsia="方正仿宋_GBK" w:hAnsi="方正仿宋_GBK" w:cs="宋体" w:hint="eastAsia"/>
          <w:color w:val="333333"/>
          <w:kern w:val="0"/>
          <w:sz w:val="32"/>
          <w:szCs w:val="32"/>
        </w:rPr>
        <w:t>万元；因区财政政策收紧，压缩项目预算，调减资金</w:t>
      </w:r>
      <w:r>
        <w:rPr>
          <w:rFonts w:ascii="方正仿宋_GBK" w:eastAsia="方正仿宋_GBK" w:hAnsi="方正仿宋_GBK" w:cs="宋体" w:hint="eastAsia"/>
          <w:color w:val="333333"/>
          <w:kern w:val="0"/>
          <w:sz w:val="32"/>
          <w:szCs w:val="32"/>
        </w:rPr>
        <w:t>6.6</w:t>
      </w:r>
      <w:r>
        <w:rPr>
          <w:rFonts w:ascii="方正仿宋_GBK" w:eastAsia="方正仿宋_GBK" w:hAnsi="方正仿宋_GBK" w:cs="宋体" w:hint="eastAsia"/>
          <w:color w:val="333333"/>
          <w:kern w:val="0"/>
          <w:sz w:val="32"/>
          <w:szCs w:val="32"/>
        </w:rPr>
        <w:t>万；代发</w:t>
      </w:r>
      <w:r>
        <w:rPr>
          <w:rFonts w:ascii="方正仿宋_GBK" w:eastAsia="方正仿宋_GBK" w:hAnsi="方正仿宋_GBK" w:cs="宋体" w:hint="eastAsia"/>
          <w:color w:val="333333"/>
          <w:kern w:val="0"/>
          <w:sz w:val="32"/>
          <w:szCs w:val="32"/>
        </w:rPr>
        <w:t>4950</w:t>
      </w:r>
      <w:r>
        <w:rPr>
          <w:rFonts w:ascii="方正仿宋_GBK" w:eastAsia="方正仿宋_GBK" w:hAnsi="方正仿宋_GBK" w:cs="宋体" w:hint="eastAsia"/>
          <w:color w:val="333333"/>
          <w:kern w:val="0"/>
          <w:sz w:val="32"/>
          <w:szCs w:val="32"/>
        </w:rPr>
        <w:t>人员和老建工补助按实际代发数调整预算数，调减预算</w:t>
      </w:r>
      <w:r>
        <w:rPr>
          <w:rFonts w:ascii="方正仿宋_GBK" w:eastAsia="方正仿宋_GBK" w:hAnsi="方正仿宋_GBK" w:cs="宋体" w:hint="eastAsia"/>
          <w:color w:val="333333"/>
          <w:kern w:val="0"/>
          <w:sz w:val="32"/>
          <w:szCs w:val="32"/>
        </w:rPr>
        <w:t>11.75</w:t>
      </w:r>
      <w:r>
        <w:rPr>
          <w:rFonts w:ascii="方正仿宋_GBK" w:eastAsia="方正仿宋_GBK" w:hAnsi="方正仿宋_GBK" w:cs="宋体" w:hint="eastAsia"/>
          <w:color w:val="333333"/>
          <w:kern w:val="0"/>
          <w:sz w:val="32"/>
          <w:szCs w:val="32"/>
        </w:rPr>
        <w:t>万元；增加了社会保险基金专项资金决算先进奖励资金和中央在渝企业退休人员社会化管理移交补助资金</w:t>
      </w:r>
      <w:r>
        <w:rPr>
          <w:rFonts w:ascii="方正仿宋_GBK" w:eastAsia="方正仿宋_GBK" w:hAnsi="方正仿宋_GBK" w:cs="宋体" w:hint="eastAsia"/>
          <w:color w:val="333333"/>
          <w:kern w:val="0"/>
          <w:sz w:val="32"/>
          <w:szCs w:val="32"/>
        </w:rPr>
        <w:t>364.86</w:t>
      </w:r>
      <w:r>
        <w:rPr>
          <w:rFonts w:ascii="方正仿宋_GBK" w:eastAsia="方正仿宋_GBK" w:hAnsi="方正仿宋_GBK" w:cs="宋体" w:hint="eastAsia"/>
          <w:color w:val="333333"/>
          <w:kern w:val="0"/>
          <w:sz w:val="32"/>
          <w:szCs w:val="32"/>
        </w:rPr>
        <w:t>万元），执行</w:t>
      </w:r>
      <w:r>
        <w:rPr>
          <w:rFonts w:ascii="方正仿宋_GBK" w:eastAsia="方正仿宋_GBK" w:hAnsi="方正仿宋_GBK" w:cs="宋体" w:hint="eastAsia"/>
          <w:color w:val="333333"/>
          <w:kern w:val="0"/>
          <w:sz w:val="32"/>
          <w:szCs w:val="32"/>
        </w:rPr>
        <w:t>数为</w:t>
      </w:r>
      <w:r>
        <w:rPr>
          <w:rFonts w:ascii="方正仿宋_GBK" w:eastAsia="方正仿宋_GBK" w:hAnsi="方正仿宋_GBK" w:cs="宋体" w:hint="eastAsia"/>
          <w:color w:val="333333"/>
          <w:kern w:val="0"/>
          <w:sz w:val="32"/>
          <w:szCs w:val="32"/>
        </w:rPr>
        <w:t>999.27</w:t>
      </w:r>
      <w:r>
        <w:rPr>
          <w:rFonts w:ascii="方正仿宋_GBK" w:eastAsia="方正仿宋_GBK" w:hAnsi="方正仿宋_GBK" w:cs="宋体" w:hint="eastAsia"/>
          <w:color w:val="333333"/>
          <w:kern w:val="0"/>
          <w:sz w:val="32"/>
          <w:szCs w:val="32"/>
        </w:rPr>
        <w:t>万元，完成预算的</w:t>
      </w:r>
      <w:r>
        <w:rPr>
          <w:rFonts w:ascii="方正仿宋_GBK" w:eastAsia="方正仿宋_GBK" w:hAnsi="方正仿宋_GBK" w:cs="宋体" w:hint="eastAsia"/>
          <w:color w:val="333333"/>
          <w:kern w:val="0"/>
          <w:sz w:val="32"/>
          <w:szCs w:val="32"/>
        </w:rPr>
        <w:t>100%</w:t>
      </w:r>
      <w:r>
        <w:rPr>
          <w:rFonts w:ascii="方正仿宋_GBK" w:eastAsia="方正仿宋_GBK" w:hAnsi="方正仿宋_GBK" w:cs="宋体" w:hint="eastAsia"/>
          <w:color w:val="333333"/>
          <w:kern w:val="0"/>
          <w:sz w:val="32"/>
          <w:szCs w:val="32"/>
        </w:rPr>
        <w:t>。从评价情况来看，项目目标实现率达</w:t>
      </w:r>
      <w:r>
        <w:rPr>
          <w:rFonts w:ascii="方正仿宋_GBK" w:eastAsia="方正仿宋_GBK" w:hAnsi="方正仿宋_GBK" w:cs="宋体" w:hint="eastAsia"/>
          <w:color w:val="333333"/>
          <w:kern w:val="0"/>
          <w:sz w:val="32"/>
          <w:szCs w:val="32"/>
        </w:rPr>
        <w:t>100%</w:t>
      </w:r>
      <w:r>
        <w:rPr>
          <w:rFonts w:ascii="方正仿宋_GBK" w:eastAsia="方正仿宋_GBK" w:hAnsi="方正仿宋_GBK" w:cs="宋体" w:hint="eastAsia"/>
          <w:color w:val="333333"/>
          <w:kern w:val="0"/>
          <w:sz w:val="32"/>
          <w:szCs w:val="32"/>
        </w:rPr>
        <w:t>，满意度在</w:t>
      </w:r>
      <w:r>
        <w:rPr>
          <w:rFonts w:ascii="方正仿宋_GBK" w:eastAsia="方正仿宋_GBK" w:hAnsi="方正仿宋_GBK" w:cs="宋体" w:hint="eastAsia"/>
          <w:color w:val="333333"/>
          <w:kern w:val="0"/>
          <w:sz w:val="32"/>
          <w:szCs w:val="32"/>
        </w:rPr>
        <w:t>95%</w:t>
      </w:r>
      <w:r>
        <w:rPr>
          <w:rFonts w:ascii="方正仿宋_GBK" w:eastAsia="方正仿宋_GBK" w:hAnsi="方正仿宋_GBK" w:cs="宋体" w:hint="eastAsia"/>
          <w:color w:val="333333"/>
          <w:kern w:val="0"/>
          <w:sz w:val="32"/>
          <w:szCs w:val="32"/>
        </w:rPr>
        <w:t>以上。</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主要产出和效果：保障政务运转，圆满完成全年社保征收发放、退休档案管理、企业退休人员社会化管理、社保卡制作发放等各项社保工作任务。</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1</w:t>
      </w:r>
      <w:r>
        <w:rPr>
          <w:rFonts w:ascii="方正仿宋_GBK" w:eastAsia="方正仿宋_GBK" w:hAnsi="方正仿宋_GBK" w:cs="宋体" w:hint="eastAsia"/>
          <w:color w:val="333333"/>
          <w:kern w:val="0"/>
          <w:sz w:val="32"/>
          <w:szCs w:val="32"/>
        </w:rPr>
        <w:t>、社保待遇按时足额发放。全年向</w:t>
      </w:r>
      <w:r>
        <w:rPr>
          <w:rFonts w:ascii="方正仿宋_GBK" w:eastAsia="方正仿宋_GBK" w:hAnsi="方正仿宋_GBK" w:cs="宋体" w:hint="eastAsia"/>
          <w:color w:val="333333"/>
          <w:kern w:val="0"/>
          <w:sz w:val="32"/>
          <w:szCs w:val="32"/>
        </w:rPr>
        <w:t>41.41</w:t>
      </w:r>
      <w:r>
        <w:rPr>
          <w:rFonts w:ascii="方正仿宋_GBK" w:eastAsia="方正仿宋_GBK" w:hAnsi="方正仿宋_GBK" w:cs="宋体" w:hint="eastAsia"/>
          <w:color w:val="333333"/>
          <w:kern w:val="0"/>
          <w:sz w:val="32"/>
          <w:szCs w:val="32"/>
        </w:rPr>
        <w:t>万名待遇领取人员按时足额发放养老保险待遇</w:t>
      </w:r>
      <w:r>
        <w:rPr>
          <w:rFonts w:ascii="方正仿宋_GBK" w:eastAsia="方正仿宋_GBK" w:hAnsi="方正仿宋_GBK" w:cs="宋体" w:hint="eastAsia"/>
          <w:color w:val="333333"/>
          <w:kern w:val="0"/>
          <w:sz w:val="32"/>
          <w:szCs w:val="32"/>
        </w:rPr>
        <w:t>66.16</w:t>
      </w:r>
      <w:r>
        <w:rPr>
          <w:rFonts w:ascii="方正仿宋_GBK" w:eastAsia="方正仿宋_GBK" w:hAnsi="方正仿宋_GBK" w:cs="宋体" w:hint="eastAsia"/>
          <w:color w:val="333333"/>
          <w:kern w:val="0"/>
          <w:sz w:val="32"/>
          <w:szCs w:val="32"/>
        </w:rPr>
        <w:t>亿元，其中，为</w:t>
      </w:r>
      <w:r>
        <w:rPr>
          <w:rFonts w:ascii="方正仿宋_GBK" w:eastAsia="方正仿宋_GBK" w:hAnsi="方正仿宋_GBK" w:cs="宋体" w:hint="eastAsia"/>
          <w:color w:val="333333"/>
          <w:kern w:val="0"/>
          <w:sz w:val="32"/>
          <w:szCs w:val="32"/>
        </w:rPr>
        <w:t>18.46</w:t>
      </w:r>
      <w:r>
        <w:rPr>
          <w:rFonts w:ascii="方正仿宋_GBK" w:eastAsia="方正仿宋_GBK" w:hAnsi="方正仿宋_GBK" w:cs="宋体" w:hint="eastAsia"/>
          <w:color w:val="333333"/>
          <w:kern w:val="0"/>
          <w:sz w:val="32"/>
          <w:szCs w:val="32"/>
        </w:rPr>
        <w:t>万名职工养老保险待遇领取人员发放养老金</w:t>
      </w:r>
      <w:r>
        <w:rPr>
          <w:rFonts w:ascii="方正仿宋_GBK" w:eastAsia="方正仿宋_GBK" w:hAnsi="方正仿宋_GBK" w:cs="宋体" w:hint="eastAsia"/>
          <w:color w:val="333333"/>
          <w:kern w:val="0"/>
          <w:sz w:val="32"/>
          <w:szCs w:val="32"/>
        </w:rPr>
        <w:t>48.42</w:t>
      </w:r>
      <w:r>
        <w:rPr>
          <w:rFonts w:ascii="方正仿宋_GBK" w:eastAsia="方正仿宋_GBK" w:hAnsi="方正仿宋_GBK" w:cs="宋体" w:hint="eastAsia"/>
          <w:color w:val="333333"/>
          <w:kern w:val="0"/>
          <w:sz w:val="32"/>
          <w:szCs w:val="32"/>
        </w:rPr>
        <w:t>亿元，为</w:t>
      </w:r>
      <w:r>
        <w:rPr>
          <w:rFonts w:ascii="方正仿宋_GBK" w:eastAsia="方正仿宋_GBK" w:hAnsi="方正仿宋_GBK" w:cs="宋体" w:hint="eastAsia"/>
          <w:color w:val="333333"/>
          <w:kern w:val="0"/>
          <w:sz w:val="32"/>
          <w:szCs w:val="32"/>
        </w:rPr>
        <w:lastRenderedPageBreak/>
        <w:t>20.56</w:t>
      </w:r>
      <w:r>
        <w:rPr>
          <w:rFonts w:ascii="方正仿宋_GBK" w:eastAsia="方正仿宋_GBK" w:hAnsi="方正仿宋_GBK" w:cs="宋体" w:hint="eastAsia"/>
          <w:color w:val="333333"/>
          <w:kern w:val="0"/>
          <w:sz w:val="32"/>
          <w:szCs w:val="32"/>
        </w:rPr>
        <w:t>万名居民养老保险待遇领取人员发放养老金</w:t>
      </w:r>
      <w:r>
        <w:rPr>
          <w:rFonts w:ascii="方正仿宋_GBK" w:eastAsia="方正仿宋_GBK" w:hAnsi="方正仿宋_GBK" w:cs="宋体" w:hint="eastAsia"/>
          <w:color w:val="333333"/>
          <w:kern w:val="0"/>
          <w:sz w:val="32"/>
          <w:szCs w:val="32"/>
        </w:rPr>
        <w:t>3.38</w:t>
      </w:r>
      <w:r>
        <w:rPr>
          <w:rFonts w:ascii="方正仿宋_GBK" w:eastAsia="方正仿宋_GBK" w:hAnsi="方正仿宋_GBK" w:cs="宋体" w:hint="eastAsia"/>
          <w:color w:val="333333"/>
          <w:kern w:val="0"/>
          <w:sz w:val="32"/>
          <w:szCs w:val="32"/>
        </w:rPr>
        <w:t>亿元，为</w:t>
      </w:r>
      <w:r>
        <w:rPr>
          <w:rFonts w:ascii="方正仿宋_GBK" w:eastAsia="方正仿宋_GBK" w:hAnsi="方正仿宋_GBK" w:cs="宋体" w:hint="eastAsia"/>
          <w:color w:val="333333"/>
          <w:kern w:val="0"/>
          <w:sz w:val="32"/>
          <w:szCs w:val="32"/>
        </w:rPr>
        <w:t>2.39</w:t>
      </w:r>
      <w:r>
        <w:rPr>
          <w:rFonts w:ascii="方正仿宋_GBK" w:eastAsia="方正仿宋_GBK" w:hAnsi="方正仿宋_GBK" w:cs="宋体" w:hint="eastAsia"/>
          <w:color w:val="333333"/>
          <w:kern w:val="0"/>
          <w:sz w:val="32"/>
          <w:szCs w:val="32"/>
        </w:rPr>
        <w:t>万名机关事业单位退休人员发放养老</w:t>
      </w:r>
      <w:r>
        <w:rPr>
          <w:rFonts w:ascii="方正仿宋_GBK" w:eastAsia="方正仿宋_GBK" w:hAnsi="方正仿宋_GBK" w:cs="宋体" w:hint="eastAsia"/>
          <w:color w:val="333333"/>
          <w:kern w:val="0"/>
          <w:sz w:val="32"/>
          <w:szCs w:val="32"/>
        </w:rPr>
        <w:t>金</w:t>
      </w:r>
      <w:r>
        <w:rPr>
          <w:rFonts w:ascii="方正仿宋_GBK" w:eastAsia="方正仿宋_GBK" w:hAnsi="方正仿宋_GBK" w:cs="宋体" w:hint="eastAsia"/>
          <w:color w:val="333333"/>
          <w:kern w:val="0"/>
          <w:sz w:val="32"/>
          <w:szCs w:val="32"/>
        </w:rPr>
        <w:t>14.35</w:t>
      </w:r>
      <w:r>
        <w:rPr>
          <w:rFonts w:ascii="方正仿宋_GBK" w:eastAsia="方正仿宋_GBK" w:hAnsi="方正仿宋_GBK" w:cs="宋体" w:hint="eastAsia"/>
          <w:color w:val="333333"/>
          <w:kern w:val="0"/>
          <w:sz w:val="32"/>
          <w:szCs w:val="32"/>
        </w:rPr>
        <w:t>亿元。为</w:t>
      </w:r>
      <w:r>
        <w:rPr>
          <w:rFonts w:ascii="方正仿宋_GBK" w:eastAsia="方正仿宋_GBK" w:hAnsi="方正仿宋_GBK" w:cs="宋体" w:hint="eastAsia"/>
          <w:color w:val="333333"/>
          <w:kern w:val="0"/>
          <w:sz w:val="32"/>
          <w:szCs w:val="32"/>
        </w:rPr>
        <w:t>821</w:t>
      </w:r>
      <w:r>
        <w:rPr>
          <w:rFonts w:ascii="方正仿宋_GBK" w:eastAsia="方正仿宋_GBK" w:hAnsi="方正仿宋_GBK" w:cs="宋体" w:hint="eastAsia"/>
          <w:color w:val="333333"/>
          <w:kern w:val="0"/>
          <w:sz w:val="32"/>
          <w:szCs w:val="32"/>
        </w:rPr>
        <w:t>人支付工伤保险待遇</w:t>
      </w:r>
      <w:r>
        <w:rPr>
          <w:rFonts w:ascii="方正仿宋_GBK" w:eastAsia="方正仿宋_GBK" w:hAnsi="方正仿宋_GBK" w:cs="宋体" w:hint="eastAsia"/>
          <w:color w:val="333333"/>
          <w:kern w:val="0"/>
          <w:sz w:val="32"/>
          <w:szCs w:val="32"/>
        </w:rPr>
        <w:t>0.29</w:t>
      </w:r>
      <w:r>
        <w:rPr>
          <w:rFonts w:ascii="方正仿宋_GBK" w:eastAsia="方正仿宋_GBK" w:hAnsi="方正仿宋_GBK" w:cs="宋体" w:hint="eastAsia"/>
          <w:color w:val="333333"/>
          <w:kern w:val="0"/>
          <w:sz w:val="32"/>
          <w:szCs w:val="32"/>
        </w:rPr>
        <w:t>亿元。连续第</w:t>
      </w:r>
      <w:r>
        <w:rPr>
          <w:rFonts w:ascii="方正仿宋_GBK" w:eastAsia="方正仿宋_GBK" w:hAnsi="方正仿宋_GBK" w:cs="宋体" w:hint="eastAsia"/>
          <w:color w:val="333333"/>
          <w:kern w:val="0"/>
          <w:sz w:val="32"/>
          <w:szCs w:val="32"/>
        </w:rPr>
        <w:t>16</w:t>
      </w:r>
      <w:r>
        <w:rPr>
          <w:rFonts w:ascii="方正仿宋_GBK" w:eastAsia="方正仿宋_GBK" w:hAnsi="方正仿宋_GBK" w:cs="宋体" w:hint="eastAsia"/>
          <w:color w:val="333333"/>
          <w:kern w:val="0"/>
          <w:sz w:val="32"/>
          <w:szCs w:val="32"/>
        </w:rPr>
        <w:t>年调整企业退休人员养老金，连续第</w:t>
      </w:r>
      <w:r>
        <w:rPr>
          <w:rFonts w:ascii="方正仿宋_GBK" w:eastAsia="方正仿宋_GBK" w:hAnsi="方正仿宋_GBK" w:cs="宋体" w:hint="eastAsia"/>
          <w:color w:val="333333"/>
          <w:kern w:val="0"/>
          <w:sz w:val="32"/>
          <w:szCs w:val="32"/>
        </w:rPr>
        <w:t>5</w:t>
      </w:r>
      <w:r>
        <w:rPr>
          <w:rFonts w:ascii="方正仿宋_GBK" w:eastAsia="方正仿宋_GBK" w:hAnsi="方正仿宋_GBK" w:cs="宋体" w:hint="eastAsia"/>
          <w:color w:val="333333"/>
          <w:kern w:val="0"/>
          <w:sz w:val="32"/>
          <w:szCs w:val="32"/>
        </w:rPr>
        <w:t>年调整机关事业单位退休人员养老金，调整增加的养老金在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w:t>
      </w:r>
      <w:r>
        <w:rPr>
          <w:rFonts w:ascii="方正仿宋_GBK" w:eastAsia="方正仿宋_GBK" w:hAnsi="方正仿宋_GBK" w:cs="宋体" w:hint="eastAsia"/>
          <w:color w:val="333333"/>
          <w:kern w:val="0"/>
          <w:sz w:val="32"/>
          <w:szCs w:val="32"/>
        </w:rPr>
        <w:t>7</w:t>
      </w:r>
      <w:r>
        <w:rPr>
          <w:rFonts w:ascii="方正仿宋_GBK" w:eastAsia="方正仿宋_GBK" w:hAnsi="方正仿宋_GBK" w:cs="宋体" w:hint="eastAsia"/>
          <w:color w:val="333333"/>
          <w:kern w:val="0"/>
          <w:sz w:val="32"/>
          <w:szCs w:val="32"/>
        </w:rPr>
        <w:t>月发放到位。</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2</w:t>
      </w:r>
      <w:r>
        <w:rPr>
          <w:rFonts w:ascii="方正仿宋_GBK" w:eastAsia="方正仿宋_GBK" w:hAnsi="方正仿宋_GBK" w:cs="宋体" w:hint="eastAsia"/>
          <w:color w:val="333333"/>
          <w:kern w:val="0"/>
          <w:sz w:val="32"/>
          <w:szCs w:val="32"/>
        </w:rPr>
        <w:t>、社保待遇按时足额发放。全年向</w:t>
      </w:r>
      <w:r>
        <w:rPr>
          <w:rFonts w:ascii="方正仿宋_GBK" w:eastAsia="方正仿宋_GBK" w:hAnsi="方正仿宋_GBK" w:cs="宋体" w:hint="eastAsia"/>
          <w:color w:val="333333"/>
          <w:kern w:val="0"/>
          <w:sz w:val="32"/>
          <w:szCs w:val="32"/>
        </w:rPr>
        <w:t>41.41</w:t>
      </w:r>
      <w:r>
        <w:rPr>
          <w:rFonts w:ascii="方正仿宋_GBK" w:eastAsia="方正仿宋_GBK" w:hAnsi="方正仿宋_GBK" w:cs="宋体" w:hint="eastAsia"/>
          <w:color w:val="333333"/>
          <w:kern w:val="0"/>
          <w:sz w:val="32"/>
          <w:szCs w:val="32"/>
        </w:rPr>
        <w:t>万名待遇领取人员按时足额发放养老保险待遇</w:t>
      </w:r>
      <w:r>
        <w:rPr>
          <w:rFonts w:ascii="方正仿宋_GBK" w:eastAsia="方正仿宋_GBK" w:hAnsi="方正仿宋_GBK" w:cs="宋体" w:hint="eastAsia"/>
          <w:color w:val="333333"/>
          <w:kern w:val="0"/>
          <w:sz w:val="32"/>
          <w:szCs w:val="32"/>
        </w:rPr>
        <w:t>66.16</w:t>
      </w:r>
      <w:r>
        <w:rPr>
          <w:rFonts w:ascii="方正仿宋_GBK" w:eastAsia="方正仿宋_GBK" w:hAnsi="方正仿宋_GBK" w:cs="宋体" w:hint="eastAsia"/>
          <w:color w:val="333333"/>
          <w:kern w:val="0"/>
          <w:sz w:val="32"/>
          <w:szCs w:val="32"/>
        </w:rPr>
        <w:t>亿元，其中，为</w:t>
      </w:r>
      <w:r>
        <w:rPr>
          <w:rFonts w:ascii="方正仿宋_GBK" w:eastAsia="方正仿宋_GBK" w:hAnsi="方正仿宋_GBK" w:cs="宋体" w:hint="eastAsia"/>
          <w:color w:val="333333"/>
          <w:kern w:val="0"/>
          <w:sz w:val="32"/>
          <w:szCs w:val="32"/>
        </w:rPr>
        <w:t>18.46</w:t>
      </w:r>
      <w:r>
        <w:rPr>
          <w:rFonts w:ascii="方正仿宋_GBK" w:eastAsia="方正仿宋_GBK" w:hAnsi="方正仿宋_GBK" w:cs="宋体" w:hint="eastAsia"/>
          <w:color w:val="333333"/>
          <w:kern w:val="0"/>
          <w:sz w:val="32"/>
          <w:szCs w:val="32"/>
        </w:rPr>
        <w:t>万名职工养老保险待遇领取人员发放养老金</w:t>
      </w:r>
      <w:r>
        <w:rPr>
          <w:rFonts w:ascii="方正仿宋_GBK" w:eastAsia="方正仿宋_GBK" w:hAnsi="方正仿宋_GBK" w:cs="宋体" w:hint="eastAsia"/>
          <w:color w:val="333333"/>
          <w:kern w:val="0"/>
          <w:sz w:val="32"/>
          <w:szCs w:val="32"/>
        </w:rPr>
        <w:t>48.42</w:t>
      </w:r>
      <w:r>
        <w:rPr>
          <w:rFonts w:ascii="方正仿宋_GBK" w:eastAsia="方正仿宋_GBK" w:hAnsi="方正仿宋_GBK" w:cs="宋体" w:hint="eastAsia"/>
          <w:color w:val="333333"/>
          <w:kern w:val="0"/>
          <w:sz w:val="32"/>
          <w:szCs w:val="32"/>
        </w:rPr>
        <w:t>亿元，为</w:t>
      </w:r>
      <w:r>
        <w:rPr>
          <w:rFonts w:ascii="方正仿宋_GBK" w:eastAsia="方正仿宋_GBK" w:hAnsi="方正仿宋_GBK" w:cs="宋体" w:hint="eastAsia"/>
          <w:color w:val="333333"/>
          <w:kern w:val="0"/>
          <w:sz w:val="32"/>
          <w:szCs w:val="32"/>
        </w:rPr>
        <w:t>20.56</w:t>
      </w:r>
      <w:r>
        <w:rPr>
          <w:rFonts w:ascii="方正仿宋_GBK" w:eastAsia="方正仿宋_GBK" w:hAnsi="方正仿宋_GBK" w:cs="宋体" w:hint="eastAsia"/>
          <w:color w:val="333333"/>
          <w:kern w:val="0"/>
          <w:sz w:val="32"/>
          <w:szCs w:val="32"/>
        </w:rPr>
        <w:t>万名居民养老保险待遇领取人员发放养老金</w:t>
      </w:r>
      <w:r>
        <w:rPr>
          <w:rFonts w:ascii="方正仿宋_GBK" w:eastAsia="方正仿宋_GBK" w:hAnsi="方正仿宋_GBK" w:cs="宋体" w:hint="eastAsia"/>
          <w:color w:val="333333"/>
          <w:kern w:val="0"/>
          <w:sz w:val="32"/>
          <w:szCs w:val="32"/>
        </w:rPr>
        <w:t>3.38</w:t>
      </w:r>
      <w:r>
        <w:rPr>
          <w:rFonts w:ascii="方正仿宋_GBK" w:eastAsia="方正仿宋_GBK" w:hAnsi="方正仿宋_GBK" w:cs="宋体" w:hint="eastAsia"/>
          <w:color w:val="333333"/>
          <w:kern w:val="0"/>
          <w:sz w:val="32"/>
          <w:szCs w:val="32"/>
        </w:rPr>
        <w:t>亿元，为</w:t>
      </w:r>
      <w:r>
        <w:rPr>
          <w:rFonts w:ascii="方正仿宋_GBK" w:eastAsia="方正仿宋_GBK" w:hAnsi="方正仿宋_GBK" w:cs="宋体" w:hint="eastAsia"/>
          <w:color w:val="333333"/>
          <w:kern w:val="0"/>
          <w:sz w:val="32"/>
          <w:szCs w:val="32"/>
        </w:rPr>
        <w:t>2.39</w:t>
      </w:r>
      <w:r>
        <w:rPr>
          <w:rFonts w:ascii="方正仿宋_GBK" w:eastAsia="方正仿宋_GBK" w:hAnsi="方正仿宋_GBK" w:cs="宋体" w:hint="eastAsia"/>
          <w:color w:val="333333"/>
          <w:kern w:val="0"/>
          <w:sz w:val="32"/>
          <w:szCs w:val="32"/>
        </w:rPr>
        <w:t>万名机关事业单位退休人员发放养老金</w:t>
      </w:r>
      <w:r>
        <w:rPr>
          <w:rFonts w:ascii="方正仿宋_GBK" w:eastAsia="方正仿宋_GBK" w:hAnsi="方正仿宋_GBK" w:cs="宋体" w:hint="eastAsia"/>
          <w:color w:val="333333"/>
          <w:kern w:val="0"/>
          <w:sz w:val="32"/>
          <w:szCs w:val="32"/>
        </w:rPr>
        <w:t>14.35</w:t>
      </w:r>
      <w:r>
        <w:rPr>
          <w:rFonts w:ascii="方正仿宋_GBK" w:eastAsia="方正仿宋_GBK" w:hAnsi="方正仿宋_GBK" w:cs="宋体" w:hint="eastAsia"/>
          <w:color w:val="333333"/>
          <w:kern w:val="0"/>
          <w:sz w:val="32"/>
          <w:szCs w:val="32"/>
        </w:rPr>
        <w:t>亿元。为</w:t>
      </w:r>
      <w:r>
        <w:rPr>
          <w:rFonts w:ascii="方正仿宋_GBK" w:eastAsia="方正仿宋_GBK" w:hAnsi="方正仿宋_GBK" w:cs="宋体" w:hint="eastAsia"/>
          <w:color w:val="333333"/>
          <w:kern w:val="0"/>
          <w:sz w:val="32"/>
          <w:szCs w:val="32"/>
        </w:rPr>
        <w:t>821</w:t>
      </w:r>
      <w:r>
        <w:rPr>
          <w:rFonts w:ascii="方正仿宋_GBK" w:eastAsia="方正仿宋_GBK" w:hAnsi="方正仿宋_GBK" w:cs="宋体" w:hint="eastAsia"/>
          <w:color w:val="333333"/>
          <w:kern w:val="0"/>
          <w:sz w:val="32"/>
          <w:szCs w:val="32"/>
        </w:rPr>
        <w:t>人支付工伤保险待遇</w:t>
      </w:r>
      <w:r>
        <w:rPr>
          <w:rFonts w:ascii="方正仿宋_GBK" w:eastAsia="方正仿宋_GBK" w:hAnsi="方正仿宋_GBK" w:cs="宋体" w:hint="eastAsia"/>
          <w:color w:val="333333"/>
          <w:kern w:val="0"/>
          <w:sz w:val="32"/>
          <w:szCs w:val="32"/>
        </w:rPr>
        <w:t>0.29</w:t>
      </w:r>
      <w:r>
        <w:rPr>
          <w:rFonts w:ascii="方正仿宋_GBK" w:eastAsia="方正仿宋_GBK" w:hAnsi="方正仿宋_GBK" w:cs="宋体" w:hint="eastAsia"/>
          <w:color w:val="333333"/>
          <w:kern w:val="0"/>
          <w:sz w:val="32"/>
          <w:szCs w:val="32"/>
        </w:rPr>
        <w:t>亿元</w:t>
      </w:r>
      <w:r>
        <w:rPr>
          <w:rFonts w:ascii="方正仿宋_GBK" w:eastAsia="方正仿宋_GBK" w:hAnsi="方正仿宋_GBK" w:cs="宋体" w:hint="eastAsia"/>
          <w:color w:val="333333"/>
          <w:kern w:val="0"/>
          <w:sz w:val="32"/>
          <w:szCs w:val="32"/>
        </w:rPr>
        <w:t>。连续第</w:t>
      </w:r>
      <w:r>
        <w:rPr>
          <w:rFonts w:ascii="方正仿宋_GBK" w:eastAsia="方正仿宋_GBK" w:hAnsi="方正仿宋_GBK" w:cs="宋体" w:hint="eastAsia"/>
          <w:color w:val="333333"/>
          <w:kern w:val="0"/>
          <w:sz w:val="32"/>
          <w:szCs w:val="32"/>
        </w:rPr>
        <w:t>16</w:t>
      </w:r>
      <w:r>
        <w:rPr>
          <w:rFonts w:ascii="方正仿宋_GBK" w:eastAsia="方正仿宋_GBK" w:hAnsi="方正仿宋_GBK" w:cs="宋体" w:hint="eastAsia"/>
          <w:color w:val="333333"/>
          <w:kern w:val="0"/>
          <w:sz w:val="32"/>
          <w:szCs w:val="32"/>
        </w:rPr>
        <w:t>年调整企业退休人员养老金，连续第</w:t>
      </w:r>
      <w:r>
        <w:rPr>
          <w:rFonts w:ascii="方正仿宋_GBK" w:eastAsia="方正仿宋_GBK" w:hAnsi="方正仿宋_GBK" w:cs="宋体" w:hint="eastAsia"/>
          <w:color w:val="333333"/>
          <w:kern w:val="0"/>
          <w:sz w:val="32"/>
          <w:szCs w:val="32"/>
        </w:rPr>
        <w:t>5</w:t>
      </w:r>
      <w:r>
        <w:rPr>
          <w:rFonts w:ascii="方正仿宋_GBK" w:eastAsia="方正仿宋_GBK" w:hAnsi="方正仿宋_GBK" w:cs="宋体" w:hint="eastAsia"/>
          <w:color w:val="333333"/>
          <w:kern w:val="0"/>
          <w:sz w:val="32"/>
          <w:szCs w:val="32"/>
        </w:rPr>
        <w:t>年调整机关事业单位退休人员养老金，调整增加的养老金在</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w:t>
      </w:r>
      <w:r>
        <w:rPr>
          <w:rFonts w:ascii="方正仿宋_GBK" w:eastAsia="方正仿宋_GBK" w:hAnsi="方正仿宋_GBK" w:cs="宋体" w:hint="eastAsia"/>
          <w:color w:val="333333"/>
          <w:kern w:val="0"/>
          <w:sz w:val="32"/>
          <w:szCs w:val="32"/>
        </w:rPr>
        <w:t>7</w:t>
      </w:r>
      <w:r>
        <w:rPr>
          <w:rFonts w:ascii="方正仿宋_GBK" w:eastAsia="方正仿宋_GBK" w:hAnsi="方正仿宋_GBK" w:cs="宋体" w:hint="eastAsia"/>
          <w:color w:val="333333"/>
          <w:kern w:val="0"/>
          <w:sz w:val="32"/>
          <w:szCs w:val="32"/>
        </w:rPr>
        <w:t>月发放到位。</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3</w:t>
      </w:r>
      <w:r>
        <w:rPr>
          <w:rFonts w:ascii="方正仿宋_GBK" w:eastAsia="方正仿宋_GBK" w:hAnsi="方正仿宋_GBK" w:cs="宋体" w:hint="eastAsia"/>
          <w:color w:val="333333"/>
          <w:kern w:val="0"/>
          <w:sz w:val="32"/>
          <w:szCs w:val="32"/>
        </w:rPr>
        <w:t>、贫困人员实现应保尽保。一是在去年已实现建档立卡贫困人员参保、缴费、享受待遇</w:t>
      </w:r>
      <w:r>
        <w:rPr>
          <w:rFonts w:ascii="方正仿宋_GBK" w:eastAsia="方正仿宋_GBK" w:hAnsi="方正仿宋_GBK" w:cs="宋体" w:hint="eastAsia"/>
          <w:color w:val="333333"/>
          <w:kern w:val="0"/>
          <w:sz w:val="32"/>
          <w:szCs w:val="32"/>
        </w:rPr>
        <w:t>3</w:t>
      </w:r>
      <w:r>
        <w:rPr>
          <w:rFonts w:ascii="方正仿宋_GBK" w:eastAsia="方正仿宋_GBK" w:hAnsi="方正仿宋_GBK" w:cs="宋体" w:hint="eastAsia"/>
          <w:color w:val="333333"/>
          <w:kern w:val="0"/>
          <w:sz w:val="32"/>
          <w:szCs w:val="32"/>
        </w:rPr>
        <w:t>个</w:t>
      </w:r>
      <w:r>
        <w:rPr>
          <w:rFonts w:ascii="方正仿宋_GBK" w:eastAsia="方正仿宋_GBK" w:hAnsi="方正仿宋_GBK" w:cs="宋体" w:hint="eastAsia"/>
          <w:color w:val="333333"/>
          <w:kern w:val="0"/>
          <w:sz w:val="32"/>
          <w:szCs w:val="32"/>
        </w:rPr>
        <w:t>100%</w:t>
      </w:r>
      <w:r>
        <w:rPr>
          <w:rFonts w:ascii="方正仿宋_GBK" w:eastAsia="方正仿宋_GBK" w:hAnsi="方正仿宋_GBK" w:cs="宋体" w:hint="eastAsia"/>
          <w:color w:val="333333"/>
          <w:kern w:val="0"/>
          <w:sz w:val="32"/>
          <w:szCs w:val="32"/>
        </w:rPr>
        <w:t>的基础上，持续推动未参保建档立卡贫困人员动态清零。截至目前，我区符合参保条件的建卡贫困人员</w:t>
      </w:r>
      <w:r>
        <w:rPr>
          <w:rFonts w:ascii="方正仿宋_GBK" w:eastAsia="方正仿宋_GBK" w:hAnsi="方正仿宋_GBK" w:cs="宋体" w:hint="eastAsia"/>
          <w:color w:val="333333"/>
          <w:kern w:val="0"/>
          <w:sz w:val="32"/>
          <w:szCs w:val="32"/>
        </w:rPr>
        <w:t>87936</w:t>
      </w:r>
      <w:r>
        <w:rPr>
          <w:rFonts w:ascii="方正仿宋_GBK" w:eastAsia="方正仿宋_GBK" w:hAnsi="方正仿宋_GBK" w:cs="宋体" w:hint="eastAsia"/>
          <w:color w:val="333333"/>
          <w:kern w:val="0"/>
          <w:sz w:val="32"/>
          <w:szCs w:val="32"/>
        </w:rPr>
        <w:t>人</w:t>
      </w:r>
      <w:r>
        <w:rPr>
          <w:rFonts w:ascii="方正仿宋_GBK" w:eastAsia="方正仿宋_GBK" w:hAnsi="方正仿宋_GBK" w:cs="宋体" w:hint="eastAsia"/>
          <w:color w:val="333333"/>
          <w:kern w:val="0"/>
          <w:sz w:val="32"/>
          <w:szCs w:val="32"/>
        </w:rPr>
        <w:t>100%</w:t>
      </w:r>
      <w:r>
        <w:rPr>
          <w:rFonts w:ascii="方正仿宋_GBK" w:eastAsia="方正仿宋_GBK" w:hAnsi="方正仿宋_GBK" w:cs="宋体" w:hint="eastAsia"/>
          <w:color w:val="333333"/>
          <w:kern w:val="0"/>
          <w:sz w:val="32"/>
          <w:szCs w:val="32"/>
        </w:rPr>
        <w:t>参加养老保险；应代缴人员</w:t>
      </w:r>
      <w:r>
        <w:rPr>
          <w:rFonts w:ascii="方正仿宋_GBK" w:eastAsia="方正仿宋_GBK" w:hAnsi="方正仿宋_GBK" w:cs="宋体" w:hint="eastAsia"/>
          <w:color w:val="333333"/>
          <w:kern w:val="0"/>
          <w:sz w:val="32"/>
          <w:szCs w:val="32"/>
        </w:rPr>
        <w:t>8033</w:t>
      </w:r>
      <w:r>
        <w:rPr>
          <w:rFonts w:ascii="方正仿宋_GBK" w:eastAsia="方正仿宋_GBK" w:hAnsi="方正仿宋_GBK" w:cs="宋体" w:hint="eastAsia"/>
          <w:color w:val="333333"/>
          <w:kern w:val="0"/>
          <w:sz w:val="32"/>
          <w:szCs w:val="32"/>
        </w:rPr>
        <w:t>人</w:t>
      </w:r>
      <w:r>
        <w:rPr>
          <w:rFonts w:ascii="方正仿宋_GBK" w:eastAsia="方正仿宋_GBK" w:hAnsi="方正仿宋_GBK" w:cs="宋体" w:hint="eastAsia"/>
          <w:color w:val="333333"/>
          <w:kern w:val="0"/>
          <w:sz w:val="32"/>
          <w:szCs w:val="32"/>
        </w:rPr>
        <w:t>100%</w:t>
      </w:r>
      <w:r>
        <w:rPr>
          <w:rFonts w:ascii="方正仿宋_GBK" w:eastAsia="方正仿宋_GBK" w:hAnsi="方正仿宋_GBK" w:cs="宋体" w:hint="eastAsia"/>
          <w:color w:val="333333"/>
          <w:kern w:val="0"/>
          <w:sz w:val="32"/>
          <w:szCs w:val="32"/>
        </w:rPr>
        <w:t>完成代缴；</w:t>
      </w:r>
      <w:r>
        <w:rPr>
          <w:rFonts w:ascii="方正仿宋_GBK" w:eastAsia="方正仿宋_GBK" w:hAnsi="方正仿宋_GBK" w:cs="宋体" w:hint="eastAsia"/>
          <w:color w:val="333333"/>
          <w:kern w:val="0"/>
          <w:sz w:val="32"/>
          <w:szCs w:val="32"/>
        </w:rPr>
        <w:t>60</w:t>
      </w:r>
      <w:r>
        <w:rPr>
          <w:rFonts w:ascii="方正仿宋_GBK" w:eastAsia="方正仿宋_GBK" w:hAnsi="方正仿宋_GBK" w:cs="宋体" w:hint="eastAsia"/>
          <w:color w:val="333333"/>
          <w:kern w:val="0"/>
          <w:sz w:val="32"/>
          <w:szCs w:val="32"/>
        </w:rPr>
        <w:t>周岁以上的建卡贫困人</w:t>
      </w:r>
      <w:r>
        <w:rPr>
          <w:rFonts w:ascii="方正仿宋_GBK" w:eastAsia="方正仿宋_GBK" w:hAnsi="方正仿宋_GBK" w:cs="宋体" w:hint="eastAsia"/>
          <w:color w:val="333333"/>
          <w:kern w:val="0"/>
          <w:sz w:val="32"/>
          <w:szCs w:val="32"/>
        </w:rPr>
        <w:lastRenderedPageBreak/>
        <w:t>员</w:t>
      </w:r>
      <w:r>
        <w:rPr>
          <w:rFonts w:ascii="方正仿宋_GBK" w:eastAsia="方正仿宋_GBK" w:hAnsi="方正仿宋_GBK" w:cs="宋体" w:hint="eastAsia"/>
          <w:color w:val="333333"/>
          <w:kern w:val="0"/>
          <w:sz w:val="32"/>
          <w:szCs w:val="32"/>
        </w:rPr>
        <w:t>25325</w:t>
      </w:r>
      <w:r>
        <w:rPr>
          <w:rFonts w:ascii="方正仿宋_GBK" w:eastAsia="方正仿宋_GBK" w:hAnsi="方正仿宋_GBK" w:cs="宋体" w:hint="eastAsia"/>
          <w:color w:val="333333"/>
          <w:kern w:val="0"/>
          <w:sz w:val="32"/>
          <w:szCs w:val="32"/>
        </w:rPr>
        <w:t>人</w:t>
      </w:r>
      <w:r>
        <w:rPr>
          <w:rFonts w:ascii="方正仿宋_GBK" w:eastAsia="方正仿宋_GBK" w:hAnsi="方正仿宋_GBK" w:cs="宋体" w:hint="eastAsia"/>
          <w:color w:val="333333"/>
          <w:kern w:val="0"/>
          <w:sz w:val="32"/>
          <w:szCs w:val="32"/>
        </w:rPr>
        <w:t>100%</w:t>
      </w:r>
      <w:r>
        <w:rPr>
          <w:rFonts w:ascii="方正仿宋_GBK" w:eastAsia="方正仿宋_GBK" w:hAnsi="方正仿宋_GBK" w:cs="宋体" w:hint="eastAsia"/>
          <w:color w:val="333333"/>
          <w:kern w:val="0"/>
          <w:sz w:val="32"/>
          <w:szCs w:val="32"/>
        </w:rPr>
        <w:t>享受养老待遇。二是做好长江流域退捕渔民安置保障工作，有参保意愿的退捕渔民应保尽保。</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（二）绩效自评结果</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1.</w:t>
      </w:r>
      <w:r>
        <w:rPr>
          <w:rFonts w:ascii="Times New Roman" w:eastAsia="方正楷体_GBK" w:hAnsi="Times New Roman" w:cs="Times New Roman" w:hint="eastAsia"/>
          <w:sz w:val="32"/>
          <w:szCs w:val="32"/>
        </w:rPr>
        <w:t>绩效目标自评表案例</w:t>
      </w:r>
    </w:p>
    <w:tbl>
      <w:tblPr>
        <w:tblW w:w="9531" w:type="dxa"/>
        <w:jc w:val="center"/>
        <w:tblLayout w:type="fixed"/>
        <w:tblLook w:val="04A0"/>
      </w:tblPr>
      <w:tblGrid>
        <w:gridCol w:w="853"/>
        <w:gridCol w:w="853"/>
        <w:gridCol w:w="587"/>
        <w:gridCol w:w="587"/>
        <w:gridCol w:w="587"/>
        <w:gridCol w:w="587"/>
        <w:gridCol w:w="1120"/>
        <w:gridCol w:w="997"/>
        <w:gridCol w:w="1120"/>
        <w:gridCol w:w="1120"/>
        <w:gridCol w:w="1120"/>
      </w:tblGrid>
      <w:tr w:rsidR="003006E8">
        <w:trPr>
          <w:trHeight w:val="601"/>
          <w:jc w:val="center"/>
        </w:trPr>
        <w:tc>
          <w:tcPr>
            <w:tcW w:w="9531" w:type="dxa"/>
            <w:gridSpan w:val="11"/>
            <w:tcBorders>
              <w:top w:val="nil"/>
              <w:left w:val="nil"/>
              <w:bottom w:val="nil"/>
              <w:right w:val="nil"/>
            </w:tcBorders>
            <w:shd w:val="clear" w:color="auto" w:fill="auto"/>
            <w:vAlign w:val="center"/>
          </w:tcPr>
          <w:p w:rsidR="003006E8" w:rsidRDefault="003006E8">
            <w:pPr>
              <w:widowControl/>
              <w:rPr>
                <w:rFonts w:eastAsia="方正小标宋_GBK"/>
                <w:color w:val="000000"/>
                <w:kern w:val="0"/>
                <w:sz w:val="36"/>
                <w:szCs w:val="36"/>
              </w:rPr>
            </w:pPr>
          </w:p>
          <w:p w:rsidR="003006E8" w:rsidRDefault="00A43AFE">
            <w:pPr>
              <w:widowControl/>
              <w:jc w:val="center"/>
              <w:rPr>
                <w:rFonts w:eastAsia="方正小标宋_GBK"/>
                <w:color w:val="000000"/>
                <w:kern w:val="0"/>
                <w:sz w:val="36"/>
                <w:szCs w:val="36"/>
              </w:rPr>
            </w:pPr>
            <w:r>
              <w:rPr>
                <w:rFonts w:ascii="Times New Roman" w:eastAsia="方正小标宋_GBK" w:hAnsi="Times New Roman" w:cs="Times New Roman"/>
                <w:color w:val="000000"/>
                <w:kern w:val="0"/>
                <w:sz w:val="36"/>
                <w:szCs w:val="36"/>
              </w:rPr>
              <w:t>一般性项目绩效自评表</w:t>
            </w:r>
          </w:p>
        </w:tc>
      </w:tr>
      <w:tr w:rsidR="003006E8">
        <w:trPr>
          <w:trHeight w:val="601"/>
          <w:jc w:val="center"/>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项目名称</w:t>
            </w: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城乡居民养老保险专项经费</w:t>
            </w:r>
            <w:r>
              <w:rPr>
                <w:rFonts w:ascii="Times New Roman" w:eastAsia="方正仿宋_GBK" w:hAnsi="Times New Roman" w:cs="Times New Roman"/>
                <w:color w:val="000000"/>
                <w:kern w:val="0"/>
                <w:sz w:val="18"/>
                <w:szCs w:val="18"/>
              </w:rPr>
              <w:t xml:space="preserve">　</w:t>
            </w:r>
          </w:p>
        </w:tc>
        <w:tc>
          <w:tcPr>
            <w:tcW w:w="587" w:type="dxa"/>
            <w:tcBorders>
              <w:top w:val="single" w:sz="4" w:space="0" w:color="auto"/>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项目编码</w:t>
            </w:r>
          </w:p>
        </w:tc>
        <w:tc>
          <w:tcPr>
            <w:tcW w:w="1174" w:type="dxa"/>
            <w:gridSpan w:val="2"/>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1120" w:type="dxa"/>
            <w:tcBorders>
              <w:top w:val="single" w:sz="4" w:space="0" w:color="auto"/>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自评总分</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（分）</w:t>
            </w:r>
          </w:p>
        </w:tc>
        <w:tc>
          <w:tcPr>
            <w:tcW w:w="4357" w:type="dxa"/>
            <w:gridSpan w:val="4"/>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100</w:t>
            </w:r>
            <w:r>
              <w:rPr>
                <w:rFonts w:ascii="Times New Roman" w:eastAsia="方正仿宋_GBK" w:hAnsi="Times New Roman" w:cs="Times New Roman"/>
                <w:color w:val="000000"/>
                <w:kern w:val="0"/>
                <w:sz w:val="18"/>
                <w:szCs w:val="18"/>
              </w:rPr>
              <w:t xml:space="preserve">　</w:t>
            </w:r>
          </w:p>
        </w:tc>
      </w:tr>
      <w:tr w:rsidR="003006E8">
        <w:trPr>
          <w:trHeight w:val="601"/>
          <w:jc w:val="center"/>
        </w:trPr>
        <w:tc>
          <w:tcPr>
            <w:tcW w:w="853" w:type="dxa"/>
            <w:tcBorders>
              <w:top w:val="nil"/>
              <w:left w:val="single" w:sz="4" w:space="0" w:color="auto"/>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主管部门</w:t>
            </w: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区人力资源和社会保障局</w:t>
            </w:r>
            <w:r>
              <w:rPr>
                <w:rFonts w:ascii="Times New Roman" w:eastAsia="方正仿宋_GBK" w:hAnsi="Times New Roman" w:cs="Times New Roman"/>
                <w:color w:val="000000"/>
                <w:kern w:val="0"/>
                <w:sz w:val="18"/>
                <w:szCs w:val="18"/>
              </w:rPr>
              <w:t xml:space="preserve">　</w:t>
            </w:r>
          </w:p>
        </w:tc>
        <w:tc>
          <w:tcPr>
            <w:tcW w:w="587"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财政科室</w:t>
            </w:r>
          </w:p>
        </w:tc>
        <w:tc>
          <w:tcPr>
            <w:tcW w:w="1174" w:type="dxa"/>
            <w:gridSpan w:val="2"/>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社保科　</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项目</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联系人</w:t>
            </w:r>
          </w:p>
        </w:tc>
        <w:tc>
          <w:tcPr>
            <w:tcW w:w="997"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赵小平　</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联系电话</w:t>
            </w:r>
          </w:p>
        </w:tc>
        <w:tc>
          <w:tcPr>
            <w:tcW w:w="2240" w:type="dxa"/>
            <w:gridSpan w:val="2"/>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02358107016</w:t>
            </w:r>
            <w:r>
              <w:rPr>
                <w:rFonts w:ascii="Times New Roman" w:eastAsia="方正仿宋_GBK" w:hAnsi="Times New Roman" w:cs="Times New Roman"/>
                <w:color w:val="000000"/>
                <w:kern w:val="0"/>
                <w:sz w:val="18"/>
                <w:szCs w:val="18"/>
              </w:rPr>
              <w:t xml:space="preserve">　</w:t>
            </w:r>
          </w:p>
        </w:tc>
      </w:tr>
      <w:tr w:rsidR="003006E8">
        <w:trPr>
          <w:trHeight w:val="601"/>
          <w:jc w:val="center"/>
        </w:trPr>
        <w:tc>
          <w:tcPr>
            <w:tcW w:w="853" w:type="dxa"/>
            <w:vMerge w:val="restart"/>
            <w:tcBorders>
              <w:top w:val="nil"/>
              <w:left w:val="single" w:sz="4" w:space="0" w:color="auto"/>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项目资金（万元）</w:t>
            </w:r>
          </w:p>
        </w:tc>
        <w:tc>
          <w:tcPr>
            <w:tcW w:w="853" w:type="dxa"/>
            <w:tcBorders>
              <w:top w:val="nil"/>
              <w:left w:val="nil"/>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11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年初预算数</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全年（调整）预算数</w:t>
            </w:r>
          </w:p>
        </w:tc>
        <w:tc>
          <w:tcPr>
            <w:tcW w:w="2117" w:type="dxa"/>
            <w:gridSpan w:val="2"/>
            <w:tcBorders>
              <w:top w:val="single" w:sz="4" w:space="0" w:color="auto"/>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全年执行数</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执行率</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kern w:val="0"/>
                <w:sz w:val="18"/>
                <w:szCs w:val="18"/>
              </w:rPr>
              <w:t>）</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执行率</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权重</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执行率得分</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（分）</w:t>
            </w:r>
          </w:p>
        </w:tc>
      </w:tr>
      <w:tr w:rsidR="003006E8">
        <w:trPr>
          <w:trHeight w:val="601"/>
          <w:jc w:val="center"/>
        </w:trPr>
        <w:tc>
          <w:tcPr>
            <w:tcW w:w="853" w:type="dxa"/>
            <w:vMerge/>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年度总金额</w:t>
            </w:r>
          </w:p>
        </w:tc>
        <w:tc>
          <w:tcPr>
            <w:tcW w:w="11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26</w:t>
            </w:r>
            <w:r>
              <w:rPr>
                <w:rFonts w:ascii="Times New Roman" w:eastAsia="方正仿宋_GBK" w:hAnsi="Times New Roman" w:cs="Times New Roman"/>
                <w:color w:val="000000"/>
                <w:kern w:val="0"/>
                <w:sz w:val="18"/>
                <w:szCs w:val="18"/>
              </w:rPr>
              <w:t xml:space="preserve">　</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0</w:t>
            </w:r>
            <w:r>
              <w:rPr>
                <w:rFonts w:ascii="Times New Roman" w:eastAsia="方正仿宋_GBK" w:hAnsi="Times New Roman" w:cs="Times New Roman"/>
                <w:color w:val="000000"/>
                <w:kern w:val="0"/>
                <w:sz w:val="18"/>
                <w:szCs w:val="18"/>
              </w:rPr>
              <w:t xml:space="preserve">　</w:t>
            </w:r>
          </w:p>
        </w:tc>
        <w:tc>
          <w:tcPr>
            <w:tcW w:w="2117" w:type="dxa"/>
            <w:gridSpan w:val="2"/>
            <w:tcBorders>
              <w:top w:val="single" w:sz="4" w:space="0" w:color="auto"/>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26</w:t>
            </w:r>
            <w:r>
              <w:rPr>
                <w:rFonts w:ascii="Times New Roman" w:eastAsia="方正仿宋_GBK" w:hAnsi="Times New Roman" w:cs="Times New Roman"/>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100%</w:t>
            </w:r>
            <w:r>
              <w:rPr>
                <w:rFonts w:ascii="Times New Roman" w:eastAsia="方正仿宋_GBK" w:hAnsi="Times New Roman" w:cs="Times New Roman"/>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kern w:val="0"/>
                <w:sz w:val="18"/>
                <w:szCs w:val="18"/>
              </w:rPr>
            </w:pPr>
            <w:r>
              <w:rPr>
                <w:rFonts w:ascii="Times New Roman" w:eastAsia="方正仿宋_GBK" w:hAnsi="Times New Roman" w:cs="Times New Roman"/>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r>
      <w:tr w:rsidR="003006E8">
        <w:trPr>
          <w:trHeight w:val="601"/>
          <w:jc w:val="center"/>
        </w:trPr>
        <w:tc>
          <w:tcPr>
            <w:tcW w:w="853" w:type="dxa"/>
            <w:vMerge/>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widowControl/>
              <w:jc w:val="right"/>
              <w:rPr>
                <w:color w:val="000000"/>
                <w:kern w:val="0"/>
                <w:sz w:val="18"/>
                <w:szCs w:val="18"/>
              </w:rPr>
            </w:pPr>
            <w:r>
              <w:rPr>
                <w:rFonts w:ascii="Times New Roman" w:eastAsia="方正仿宋_GBK" w:hAnsi="Times New Roman" w:cs="Times New Roman"/>
                <w:color w:val="000000"/>
                <w:kern w:val="0"/>
                <w:sz w:val="18"/>
                <w:szCs w:val="18"/>
              </w:rPr>
              <w:t>其中：市级支出</w:t>
            </w:r>
          </w:p>
        </w:tc>
        <w:tc>
          <w:tcPr>
            <w:tcW w:w="11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2117" w:type="dxa"/>
            <w:gridSpan w:val="2"/>
            <w:tcBorders>
              <w:top w:val="single" w:sz="4" w:space="0" w:color="auto"/>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r>
      <w:tr w:rsidR="003006E8">
        <w:trPr>
          <w:trHeight w:val="601"/>
          <w:jc w:val="center"/>
        </w:trPr>
        <w:tc>
          <w:tcPr>
            <w:tcW w:w="853" w:type="dxa"/>
            <w:vMerge/>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widowControl/>
              <w:jc w:val="right"/>
              <w:rPr>
                <w:color w:val="000000"/>
                <w:kern w:val="0"/>
                <w:sz w:val="18"/>
                <w:szCs w:val="18"/>
              </w:rPr>
            </w:pPr>
            <w:r>
              <w:rPr>
                <w:rFonts w:ascii="Times New Roman" w:eastAsia="方正仿宋_GBK" w:hAnsi="Times New Roman" w:cs="Times New Roman"/>
                <w:color w:val="000000"/>
                <w:kern w:val="0"/>
                <w:sz w:val="18"/>
                <w:szCs w:val="18"/>
              </w:rPr>
              <w:t>补助区县</w:t>
            </w:r>
          </w:p>
        </w:tc>
        <w:tc>
          <w:tcPr>
            <w:tcW w:w="11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26</w:t>
            </w:r>
            <w:r>
              <w:rPr>
                <w:rFonts w:ascii="Times New Roman" w:eastAsia="方正仿宋_GBK" w:hAnsi="Times New Roman" w:cs="Times New Roman"/>
                <w:color w:val="000000"/>
                <w:kern w:val="0"/>
                <w:sz w:val="18"/>
                <w:szCs w:val="18"/>
              </w:rPr>
              <w:t xml:space="preserve">　</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3006E8" w:rsidRDefault="00A43AFE">
            <w:pPr>
              <w:widowControl/>
              <w:jc w:val="center"/>
              <w:rPr>
                <w:rFonts w:eastAsia="方正仿宋_GBK"/>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hint="eastAsia"/>
                <w:color w:val="000000"/>
                <w:kern w:val="0"/>
                <w:sz w:val="18"/>
                <w:szCs w:val="18"/>
              </w:rPr>
              <w:t>0</w:t>
            </w:r>
          </w:p>
        </w:tc>
        <w:tc>
          <w:tcPr>
            <w:tcW w:w="2117" w:type="dxa"/>
            <w:gridSpan w:val="2"/>
            <w:tcBorders>
              <w:top w:val="single" w:sz="4" w:space="0" w:color="auto"/>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26</w:t>
            </w:r>
            <w:r>
              <w:rPr>
                <w:rFonts w:ascii="Times New Roman" w:eastAsia="方正仿宋_GBK" w:hAnsi="Times New Roman" w:cs="Times New Roman"/>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rFonts w:eastAsia="方正仿宋_GBK"/>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hint="eastAsia"/>
                <w:color w:val="000000"/>
                <w:kern w:val="0"/>
                <w:sz w:val="18"/>
                <w:szCs w:val="18"/>
              </w:rPr>
              <w:t>100%</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r>
      <w:tr w:rsidR="003006E8">
        <w:trPr>
          <w:trHeight w:val="601"/>
          <w:jc w:val="center"/>
        </w:trPr>
        <w:tc>
          <w:tcPr>
            <w:tcW w:w="853" w:type="dxa"/>
            <w:vMerge w:val="restart"/>
            <w:tcBorders>
              <w:top w:val="nil"/>
              <w:left w:val="single" w:sz="4" w:space="0" w:color="auto"/>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当年绩效目标</w:t>
            </w:r>
          </w:p>
        </w:tc>
        <w:tc>
          <w:tcPr>
            <w:tcW w:w="2027" w:type="dxa"/>
            <w:gridSpan w:val="3"/>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年初绩效目标</w:t>
            </w:r>
          </w:p>
        </w:tc>
        <w:tc>
          <w:tcPr>
            <w:tcW w:w="3291" w:type="dxa"/>
            <w:gridSpan w:val="4"/>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全年（调整）绩效目标</w:t>
            </w:r>
          </w:p>
        </w:tc>
        <w:tc>
          <w:tcPr>
            <w:tcW w:w="3360" w:type="dxa"/>
            <w:gridSpan w:val="3"/>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全年目标实际完成情况</w:t>
            </w:r>
          </w:p>
        </w:tc>
      </w:tr>
      <w:tr w:rsidR="003006E8">
        <w:trPr>
          <w:trHeight w:val="1352"/>
          <w:jc w:val="center"/>
        </w:trPr>
        <w:tc>
          <w:tcPr>
            <w:tcW w:w="853" w:type="dxa"/>
            <w:vMerge/>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color w:val="000000"/>
                <w:kern w:val="0"/>
                <w:sz w:val="18"/>
                <w:szCs w:val="18"/>
              </w:rPr>
            </w:pPr>
          </w:p>
        </w:tc>
        <w:tc>
          <w:tcPr>
            <w:tcW w:w="2027" w:type="dxa"/>
            <w:gridSpan w:val="3"/>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保障日常政务运转，提高审核效率和行政职能，圆满完成城乡居民养老保险征收与发放工作，更好更优贯彻落实好城乡居民养老保险政策。推动建立覆盖全区城乡居民的养老保险制度，实现全区城乡居民老有所依的目标。</w:t>
            </w:r>
            <w:r>
              <w:rPr>
                <w:rFonts w:ascii="Times New Roman" w:eastAsia="方正仿宋_GBK" w:hAnsi="Times New Roman" w:cs="Times New Roman"/>
                <w:color w:val="000000"/>
                <w:kern w:val="0"/>
                <w:sz w:val="18"/>
                <w:szCs w:val="18"/>
              </w:rPr>
              <w:t xml:space="preserve">　</w:t>
            </w:r>
          </w:p>
        </w:tc>
        <w:tc>
          <w:tcPr>
            <w:tcW w:w="3291" w:type="dxa"/>
            <w:gridSpan w:val="4"/>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无　</w:t>
            </w:r>
          </w:p>
        </w:tc>
        <w:tc>
          <w:tcPr>
            <w:tcW w:w="3360" w:type="dxa"/>
            <w:gridSpan w:val="3"/>
            <w:tcBorders>
              <w:top w:val="single" w:sz="4" w:space="0" w:color="auto"/>
              <w:left w:val="nil"/>
              <w:bottom w:val="single" w:sz="4" w:space="0" w:color="auto"/>
              <w:right w:val="single" w:sz="4" w:space="0" w:color="000000"/>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完成</w:t>
            </w:r>
            <w:r>
              <w:rPr>
                <w:rFonts w:ascii="Times New Roman" w:eastAsia="方正仿宋_GBK" w:hAnsi="Times New Roman" w:cs="Times New Roman"/>
                <w:color w:val="000000"/>
                <w:kern w:val="0"/>
                <w:sz w:val="18"/>
                <w:szCs w:val="18"/>
              </w:rPr>
              <w:t xml:space="preserve">　</w:t>
            </w:r>
          </w:p>
        </w:tc>
      </w:tr>
      <w:tr w:rsidR="003006E8">
        <w:trPr>
          <w:trHeight w:val="1000"/>
          <w:jc w:val="center"/>
        </w:trPr>
        <w:tc>
          <w:tcPr>
            <w:tcW w:w="85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绩效指标</w:t>
            </w:r>
          </w:p>
        </w:tc>
        <w:tc>
          <w:tcPr>
            <w:tcW w:w="853" w:type="dxa"/>
            <w:tcBorders>
              <w:top w:val="nil"/>
              <w:left w:val="nil"/>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指标名称</w:t>
            </w:r>
          </w:p>
        </w:tc>
        <w:tc>
          <w:tcPr>
            <w:tcW w:w="587" w:type="dxa"/>
            <w:tcBorders>
              <w:top w:val="nil"/>
              <w:left w:val="single" w:sz="4" w:space="0" w:color="auto"/>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计量</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单位</w:t>
            </w:r>
          </w:p>
        </w:tc>
        <w:tc>
          <w:tcPr>
            <w:tcW w:w="587"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指标</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性质</w:t>
            </w:r>
          </w:p>
        </w:tc>
        <w:tc>
          <w:tcPr>
            <w:tcW w:w="587"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年初</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指标值</w:t>
            </w:r>
          </w:p>
        </w:tc>
        <w:tc>
          <w:tcPr>
            <w:tcW w:w="587"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调整</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指标值</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全年</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完成值</w:t>
            </w:r>
          </w:p>
        </w:tc>
        <w:tc>
          <w:tcPr>
            <w:tcW w:w="997"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得分系数</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kern w:val="0"/>
                <w:sz w:val="18"/>
                <w:szCs w:val="18"/>
              </w:rPr>
              <w:t>%</w:t>
            </w:r>
            <w:r>
              <w:rPr>
                <w:rFonts w:ascii="Times New Roman" w:eastAsia="方正仿宋_GBK" w:hAnsi="Times New Roman" w:cs="Times New Roman"/>
                <w:color w:val="000000"/>
                <w:kern w:val="0"/>
                <w:sz w:val="18"/>
                <w:szCs w:val="18"/>
              </w:rPr>
              <w:t>）</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指标权重</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（分）</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指标得分</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（分）</w:t>
            </w:r>
          </w:p>
        </w:tc>
        <w:tc>
          <w:tcPr>
            <w:tcW w:w="1120" w:type="dxa"/>
            <w:tcBorders>
              <w:top w:val="nil"/>
              <w:left w:val="nil"/>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是否核心</w:t>
            </w:r>
            <w:r>
              <w:rPr>
                <w:rFonts w:ascii="Times New Roman" w:eastAsia="方正仿宋_GBK" w:hAnsi="Times New Roman" w:cs="Times New Roman"/>
                <w:color w:val="000000"/>
                <w:kern w:val="0"/>
                <w:sz w:val="18"/>
                <w:szCs w:val="18"/>
              </w:rPr>
              <w:br/>
            </w:r>
            <w:r>
              <w:rPr>
                <w:rFonts w:ascii="Times New Roman" w:eastAsia="方正仿宋_GBK" w:hAnsi="Times New Roman" w:cs="Times New Roman"/>
                <w:color w:val="000000"/>
                <w:kern w:val="0"/>
                <w:sz w:val="18"/>
                <w:szCs w:val="18"/>
              </w:rPr>
              <w:t>指标</w:t>
            </w:r>
          </w:p>
        </w:tc>
      </w:tr>
      <w:tr w:rsidR="003006E8">
        <w:trPr>
          <w:trHeight w:val="523"/>
          <w:jc w:val="center"/>
        </w:trPr>
        <w:tc>
          <w:tcPr>
            <w:tcW w:w="853" w:type="dxa"/>
            <w:vMerge/>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资金到</w:t>
            </w:r>
            <w:r>
              <w:rPr>
                <w:rFonts w:hint="eastAsia"/>
                <w:color w:val="000000"/>
                <w:sz w:val="20"/>
                <w:szCs w:val="20"/>
              </w:rPr>
              <w:lastRenderedPageBreak/>
              <w:t>位率</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lastRenderedPageBreak/>
              <w:t xml:space="preserve">　</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r>
              <w:rPr>
                <w:rFonts w:hint="eastAsia"/>
                <w:color w:val="000000"/>
                <w:sz w:val="20"/>
                <w:szCs w:val="20"/>
              </w:rPr>
              <w:lastRenderedPageBreak/>
              <w:t>%</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lastRenderedPageBreak/>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p>
        </w:tc>
        <w:tc>
          <w:tcPr>
            <w:tcW w:w="99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eastAsia="方正仿宋_GBK"/>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hint="eastAsia"/>
                <w:color w:val="000000"/>
                <w:kern w:val="0"/>
                <w:sz w:val="18"/>
                <w:szCs w:val="18"/>
              </w:rPr>
              <w:t>100%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10</w:t>
            </w: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eastAsia="方正仿宋_GBK"/>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r>
      <w:tr w:rsidR="003006E8">
        <w:trPr>
          <w:trHeight w:val="523"/>
          <w:jc w:val="center"/>
        </w:trPr>
        <w:tc>
          <w:tcPr>
            <w:tcW w:w="853" w:type="dxa"/>
            <w:vMerge/>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资金使用合规性</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p>
        </w:tc>
        <w:tc>
          <w:tcPr>
            <w:tcW w:w="99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hint="eastAsia"/>
                <w:color w:val="000000"/>
                <w:kern w:val="0"/>
                <w:sz w:val="18"/>
                <w:szCs w:val="18"/>
              </w:rPr>
              <w:t>100%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10</w:t>
            </w: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10</w:t>
            </w: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r>
      <w:tr w:rsidR="003006E8">
        <w:trPr>
          <w:trHeight w:val="523"/>
          <w:jc w:val="center"/>
        </w:trPr>
        <w:tc>
          <w:tcPr>
            <w:tcW w:w="853" w:type="dxa"/>
            <w:vMerge/>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目标完成率</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p>
        </w:tc>
        <w:tc>
          <w:tcPr>
            <w:tcW w:w="99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100%</w:t>
            </w: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10</w:t>
            </w: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10</w:t>
            </w: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r>
      <w:tr w:rsidR="003006E8">
        <w:trPr>
          <w:trHeight w:val="523"/>
          <w:jc w:val="center"/>
        </w:trPr>
        <w:tc>
          <w:tcPr>
            <w:tcW w:w="853" w:type="dxa"/>
            <w:vMerge/>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养老金资格核查率</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80%</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81%</w:t>
            </w:r>
          </w:p>
        </w:tc>
        <w:tc>
          <w:tcPr>
            <w:tcW w:w="99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100%</w:t>
            </w: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10</w:t>
            </w: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eastAsia="方正仿宋_GBK"/>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r>
      <w:tr w:rsidR="003006E8">
        <w:trPr>
          <w:trHeight w:val="523"/>
          <w:jc w:val="center"/>
        </w:trPr>
        <w:tc>
          <w:tcPr>
            <w:tcW w:w="853" w:type="dxa"/>
            <w:vMerge/>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i/>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服务对象满意度</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sz w:val="20"/>
                <w:szCs w:val="20"/>
              </w:rPr>
            </w:pPr>
            <w:r>
              <w:rPr>
                <w:rFonts w:hint="eastAsia"/>
                <w:sz w:val="20"/>
                <w:szCs w:val="20"/>
              </w:rPr>
              <w:t>≥</w:t>
            </w:r>
            <w:r>
              <w:rPr>
                <w:rFonts w:hint="eastAsia"/>
                <w:sz w:val="20"/>
                <w:szCs w:val="20"/>
              </w:rPr>
              <w:t>85%</w:t>
            </w: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sz w:val="20"/>
                <w:szCs w:val="20"/>
              </w:rPr>
            </w:pPr>
            <w:r>
              <w:rPr>
                <w:rFonts w:hint="eastAsia"/>
                <w:sz w:val="20"/>
                <w:szCs w:val="20"/>
              </w:rPr>
              <w:t>90%</w:t>
            </w:r>
          </w:p>
        </w:tc>
        <w:tc>
          <w:tcPr>
            <w:tcW w:w="99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hint="eastAsia"/>
                <w:color w:val="000000"/>
                <w:kern w:val="0"/>
                <w:sz w:val="18"/>
                <w:szCs w:val="18"/>
              </w:rPr>
              <w:t>100%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hint="eastAsia"/>
                <w:color w:val="000000"/>
                <w:kern w:val="0"/>
                <w:sz w:val="18"/>
                <w:szCs w:val="18"/>
              </w:rPr>
              <w:t>10</w:t>
            </w:r>
            <w:r>
              <w:rPr>
                <w:rFonts w:ascii="Times New Roman" w:eastAsia="方正仿宋_GBK" w:hAnsi="Times New Roman" w:cs="Times New Roman"/>
                <w:color w:val="000000"/>
                <w:kern w:val="0"/>
                <w:sz w:val="18"/>
                <w:szCs w:val="18"/>
              </w:rPr>
              <w:t xml:space="preserve">　</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eastAsia="方正仿宋_GBK"/>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 xml:space="preserve">　</w:t>
            </w:r>
          </w:p>
        </w:tc>
      </w:tr>
      <w:tr w:rsidR="003006E8">
        <w:trPr>
          <w:trHeight w:val="523"/>
          <w:jc w:val="center"/>
        </w:trPr>
        <w:tc>
          <w:tcPr>
            <w:tcW w:w="853" w:type="dxa"/>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i/>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rPr>
                <w:rFonts w:ascii="宋体" w:eastAsia="宋体" w:hAnsi="宋体" w:cs="宋体"/>
                <w:sz w:val="20"/>
                <w:szCs w:val="20"/>
              </w:rPr>
            </w:pPr>
            <w:r>
              <w:rPr>
                <w:rFonts w:hint="eastAsia"/>
                <w:sz w:val="20"/>
                <w:szCs w:val="20"/>
              </w:rPr>
              <w:t>健全居民养老保险体系持续性</w:t>
            </w: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sz w:val="20"/>
                <w:szCs w:val="20"/>
              </w:rPr>
            </w:pPr>
            <w:r>
              <w:rPr>
                <w:rFonts w:hint="eastAsia"/>
                <w:sz w:val="20"/>
                <w:szCs w:val="20"/>
              </w:rPr>
              <w:t>持续</w:t>
            </w: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sz w:val="20"/>
                <w:szCs w:val="20"/>
              </w:rPr>
            </w:pPr>
            <w:r>
              <w:rPr>
                <w:rFonts w:hint="eastAsia"/>
                <w:sz w:val="20"/>
                <w:szCs w:val="20"/>
              </w:rPr>
              <w:t>持续</w:t>
            </w:r>
          </w:p>
        </w:tc>
        <w:tc>
          <w:tcPr>
            <w:tcW w:w="99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r>
      <w:tr w:rsidR="003006E8">
        <w:trPr>
          <w:trHeight w:val="523"/>
          <w:jc w:val="center"/>
        </w:trPr>
        <w:tc>
          <w:tcPr>
            <w:tcW w:w="853" w:type="dxa"/>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i/>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服务对象政策知晓率</w:t>
            </w: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sz w:val="20"/>
                <w:szCs w:val="20"/>
              </w:rPr>
            </w:pPr>
            <w:r>
              <w:rPr>
                <w:rFonts w:hint="eastAsia"/>
                <w:sz w:val="20"/>
                <w:szCs w:val="20"/>
              </w:rPr>
              <w:t>≥</w:t>
            </w:r>
            <w:r>
              <w:rPr>
                <w:rFonts w:hint="eastAsia"/>
                <w:sz w:val="20"/>
                <w:szCs w:val="20"/>
              </w:rPr>
              <w:t>80%</w:t>
            </w: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sz w:val="20"/>
                <w:szCs w:val="20"/>
              </w:rPr>
            </w:pPr>
            <w:r>
              <w:rPr>
                <w:rFonts w:hint="eastAsia"/>
                <w:sz w:val="20"/>
                <w:szCs w:val="20"/>
              </w:rPr>
              <w:t>80%</w:t>
            </w:r>
          </w:p>
        </w:tc>
        <w:tc>
          <w:tcPr>
            <w:tcW w:w="99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r>
      <w:tr w:rsidR="003006E8">
        <w:trPr>
          <w:trHeight w:val="523"/>
          <w:jc w:val="center"/>
        </w:trPr>
        <w:tc>
          <w:tcPr>
            <w:tcW w:w="853" w:type="dxa"/>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i/>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政策执行率</w:t>
            </w: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p>
        </w:tc>
        <w:tc>
          <w:tcPr>
            <w:tcW w:w="99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r>
      <w:tr w:rsidR="003006E8">
        <w:trPr>
          <w:trHeight w:val="523"/>
          <w:jc w:val="center"/>
        </w:trPr>
        <w:tc>
          <w:tcPr>
            <w:tcW w:w="853" w:type="dxa"/>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i/>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年满</w:t>
            </w:r>
            <w:r>
              <w:rPr>
                <w:rFonts w:hint="eastAsia"/>
                <w:color w:val="000000"/>
                <w:sz w:val="20"/>
                <w:szCs w:val="20"/>
              </w:rPr>
              <w:t>60</w:t>
            </w:r>
            <w:r>
              <w:rPr>
                <w:rFonts w:hint="eastAsia"/>
                <w:color w:val="000000"/>
                <w:sz w:val="20"/>
                <w:szCs w:val="20"/>
              </w:rPr>
              <w:t>周岁并符合待遇领取人员终生保障率</w:t>
            </w: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p>
        </w:tc>
        <w:tc>
          <w:tcPr>
            <w:tcW w:w="99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r>
      <w:tr w:rsidR="003006E8">
        <w:trPr>
          <w:trHeight w:val="523"/>
          <w:jc w:val="center"/>
        </w:trPr>
        <w:tc>
          <w:tcPr>
            <w:tcW w:w="853" w:type="dxa"/>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left"/>
              <w:rPr>
                <w:color w:val="000000"/>
                <w:kern w:val="0"/>
                <w:sz w:val="18"/>
                <w:szCs w:val="18"/>
              </w:rPr>
            </w:pPr>
          </w:p>
        </w:tc>
        <w:tc>
          <w:tcPr>
            <w:tcW w:w="853" w:type="dxa"/>
            <w:tcBorders>
              <w:top w:val="nil"/>
              <w:left w:val="nil"/>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养老保险待遇按月发放及时率</w:t>
            </w: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587"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p>
        </w:tc>
        <w:tc>
          <w:tcPr>
            <w:tcW w:w="587" w:type="dxa"/>
            <w:tcBorders>
              <w:top w:val="nil"/>
              <w:left w:val="single" w:sz="4" w:space="0" w:color="auto"/>
              <w:bottom w:val="single" w:sz="4" w:space="0" w:color="auto"/>
              <w:right w:val="nil"/>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rPr>
                <w:rFonts w:ascii="宋体" w:eastAsia="宋体" w:hAnsi="宋体" w:cs="宋体"/>
                <w:color w:val="000000"/>
                <w:sz w:val="20"/>
                <w:szCs w:val="20"/>
              </w:rPr>
            </w:pPr>
            <w:r>
              <w:rPr>
                <w:rFonts w:hint="eastAsia"/>
                <w:color w:val="000000"/>
                <w:sz w:val="20"/>
                <w:szCs w:val="20"/>
              </w:rPr>
              <w:t>100%</w:t>
            </w:r>
          </w:p>
        </w:tc>
        <w:tc>
          <w:tcPr>
            <w:tcW w:w="997"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nil"/>
            </w:tcBorders>
            <w:shd w:val="clear" w:color="auto" w:fill="auto"/>
            <w:vAlign w:val="center"/>
          </w:tcPr>
          <w:p w:rsidR="003006E8" w:rsidRDefault="00A43AF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w:t>
            </w:r>
          </w:p>
        </w:tc>
        <w:tc>
          <w:tcPr>
            <w:tcW w:w="1120" w:type="dxa"/>
            <w:tcBorders>
              <w:top w:val="nil"/>
              <w:left w:val="single" w:sz="4" w:space="0" w:color="auto"/>
              <w:bottom w:val="single" w:sz="4" w:space="0" w:color="auto"/>
              <w:right w:val="single" w:sz="4" w:space="0" w:color="auto"/>
            </w:tcBorders>
            <w:shd w:val="clear" w:color="auto" w:fill="auto"/>
            <w:vAlign w:val="center"/>
          </w:tcPr>
          <w:p w:rsidR="003006E8" w:rsidRDefault="003006E8">
            <w:pPr>
              <w:widowControl/>
              <w:jc w:val="center"/>
              <w:rPr>
                <w:rFonts w:ascii="Times New Roman" w:eastAsia="方正仿宋_GBK" w:hAnsi="Times New Roman" w:cs="Times New Roman"/>
                <w:color w:val="000000"/>
                <w:kern w:val="0"/>
                <w:sz w:val="18"/>
                <w:szCs w:val="18"/>
              </w:rPr>
            </w:pPr>
          </w:p>
        </w:tc>
      </w:tr>
      <w:tr w:rsidR="003006E8">
        <w:trPr>
          <w:trHeight w:val="755"/>
          <w:jc w:val="center"/>
        </w:trPr>
        <w:tc>
          <w:tcPr>
            <w:tcW w:w="853" w:type="dxa"/>
            <w:tcBorders>
              <w:top w:val="nil"/>
              <w:left w:val="single" w:sz="4" w:space="0" w:color="auto"/>
              <w:bottom w:val="single" w:sz="4" w:space="0" w:color="auto"/>
              <w:right w:val="single" w:sz="4" w:space="0" w:color="auto"/>
            </w:tcBorders>
            <w:shd w:val="clear" w:color="auto" w:fill="auto"/>
            <w:vAlign w:val="center"/>
          </w:tcPr>
          <w:p w:rsidR="003006E8" w:rsidRDefault="00A43AFE">
            <w:pPr>
              <w:widowControl/>
              <w:jc w:val="center"/>
              <w:rPr>
                <w:color w:val="000000"/>
                <w:kern w:val="0"/>
                <w:sz w:val="18"/>
                <w:szCs w:val="18"/>
              </w:rPr>
            </w:pPr>
            <w:r>
              <w:rPr>
                <w:rFonts w:ascii="Times New Roman" w:eastAsia="方正仿宋_GBK" w:hAnsi="Times New Roman" w:cs="Times New Roman"/>
                <w:color w:val="000000"/>
                <w:kern w:val="0"/>
                <w:sz w:val="18"/>
                <w:szCs w:val="18"/>
              </w:rPr>
              <w:t>说明</w:t>
            </w:r>
          </w:p>
        </w:tc>
        <w:tc>
          <w:tcPr>
            <w:tcW w:w="8678" w:type="dxa"/>
            <w:gridSpan w:val="10"/>
            <w:tcBorders>
              <w:top w:val="single" w:sz="4" w:space="0" w:color="auto"/>
              <w:left w:val="nil"/>
              <w:bottom w:val="single" w:sz="4" w:space="0" w:color="auto"/>
              <w:right w:val="single" w:sz="4" w:space="0" w:color="auto"/>
            </w:tcBorders>
            <w:shd w:val="clear" w:color="auto" w:fill="auto"/>
            <w:vAlign w:val="center"/>
          </w:tcPr>
          <w:p w:rsidR="003006E8" w:rsidRDefault="00A43AFE">
            <w:pPr>
              <w:widowControl/>
              <w:jc w:val="left"/>
              <w:rPr>
                <w:color w:val="000000"/>
                <w:kern w:val="0"/>
                <w:sz w:val="18"/>
                <w:szCs w:val="18"/>
              </w:rPr>
            </w:pPr>
            <w:r>
              <w:rPr>
                <w:rFonts w:ascii="Times New Roman" w:eastAsia="方正仿宋_GBK" w:hAnsi="Times New Roman" w:cs="Times New Roman"/>
                <w:color w:val="000000"/>
                <w:kern w:val="0"/>
                <w:sz w:val="18"/>
                <w:szCs w:val="18"/>
              </w:rPr>
              <w:t xml:space="preserve">　</w:t>
            </w:r>
          </w:p>
        </w:tc>
      </w:tr>
    </w:tbl>
    <w:p w:rsidR="003006E8" w:rsidRDefault="00A43AFE">
      <w:pPr>
        <w:ind w:firstLineChars="200" w:firstLine="640"/>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城乡居民养老保险专项经费项目绩效目标自评综述：根据年初设定的绩效目标，项目总体完成情况较好，全年预算数</w:t>
      </w:r>
      <w:r>
        <w:rPr>
          <w:rFonts w:ascii="方正仿宋_GBK" w:eastAsia="方正仿宋_GBK" w:hAnsi="方正仿宋_GBK" w:cs="宋体" w:hint="eastAsia"/>
          <w:color w:val="333333"/>
          <w:kern w:val="0"/>
          <w:sz w:val="32"/>
          <w:szCs w:val="32"/>
        </w:rPr>
        <w:t>26</w:t>
      </w:r>
      <w:r>
        <w:rPr>
          <w:rFonts w:ascii="方正仿宋_GBK" w:eastAsia="方正仿宋_GBK" w:hAnsi="方正仿宋_GBK" w:cs="宋体" w:hint="eastAsia"/>
          <w:color w:val="333333"/>
          <w:kern w:val="0"/>
          <w:sz w:val="32"/>
          <w:szCs w:val="32"/>
        </w:rPr>
        <w:t>万元，执行数</w:t>
      </w:r>
      <w:r>
        <w:rPr>
          <w:rFonts w:ascii="方正仿宋_GBK" w:eastAsia="方正仿宋_GBK" w:hAnsi="方正仿宋_GBK" w:cs="宋体" w:hint="eastAsia"/>
          <w:color w:val="333333"/>
          <w:kern w:val="0"/>
          <w:sz w:val="32"/>
          <w:szCs w:val="32"/>
        </w:rPr>
        <w:t>26</w:t>
      </w:r>
      <w:r>
        <w:rPr>
          <w:rFonts w:ascii="方正仿宋_GBK" w:eastAsia="方正仿宋_GBK" w:hAnsi="方正仿宋_GBK" w:cs="宋体" w:hint="eastAsia"/>
          <w:color w:val="333333"/>
          <w:kern w:val="0"/>
          <w:sz w:val="32"/>
          <w:szCs w:val="32"/>
        </w:rPr>
        <w:t>万元，完成预算的</w:t>
      </w:r>
      <w:r>
        <w:rPr>
          <w:rFonts w:ascii="方正仿宋_GBK" w:eastAsia="方正仿宋_GBK" w:hAnsi="方正仿宋_GBK" w:cs="宋体" w:hint="eastAsia"/>
          <w:color w:val="333333"/>
          <w:kern w:val="0"/>
          <w:sz w:val="32"/>
          <w:szCs w:val="32"/>
        </w:rPr>
        <w:t>100%</w:t>
      </w:r>
      <w:r>
        <w:rPr>
          <w:rFonts w:ascii="方正仿宋_GBK" w:eastAsia="方正仿宋_GBK" w:hAnsi="方正仿宋_GBK" w:cs="宋体" w:hint="eastAsia"/>
          <w:color w:val="333333"/>
          <w:kern w:val="0"/>
          <w:sz w:val="32"/>
          <w:szCs w:val="32"/>
        </w:rPr>
        <w:t>。从评价情况</w:t>
      </w:r>
      <w:r>
        <w:rPr>
          <w:rFonts w:ascii="方正仿宋_GBK" w:eastAsia="方正仿宋_GBK" w:hAnsi="方正仿宋_GBK" w:cs="宋体" w:hint="eastAsia"/>
          <w:color w:val="333333"/>
          <w:kern w:val="0"/>
          <w:sz w:val="32"/>
          <w:szCs w:val="32"/>
        </w:rPr>
        <w:lastRenderedPageBreak/>
        <w:t>看，主要产出和效果：一是完成参保发放工作，</w:t>
      </w:r>
      <w:r>
        <w:rPr>
          <w:rFonts w:ascii="方正仿宋_GBK" w:eastAsia="方正仿宋_GBK" w:hAnsi="方正仿宋_GBK" w:cs="宋体" w:hint="eastAsia"/>
          <w:color w:val="333333"/>
          <w:kern w:val="0"/>
          <w:sz w:val="32"/>
          <w:szCs w:val="32"/>
        </w:rPr>
        <w:t>2020</w:t>
      </w:r>
      <w:r>
        <w:rPr>
          <w:rFonts w:ascii="方正仿宋_GBK" w:eastAsia="方正仿宋_GBK" w:hAnsi="方正仿宋_GBK" w:cs="宋体" w:hint="eastAsia"/>
          <w:color w:val="333333"/>
          <w:kern w:val="0"/>
          <w:sz w:val="32"/>
          <w:szCs w:val="32"/>
        </w:rPr>
        <w:t>年，</w:t>
      </w:r>
      <w:r>
        <w:rPr>
          <w:rFonts w:ascii="方正仿宋_GBK" w:eastAsia="方正仿宋_GBK" w:hAnsi="方正仿宋_GBK" w:cs="宋体" w:hint="eastAsia"/>
          <w:color w:val="333333"/>
          <w:kern w:val="0"/>
          <w:sz w:val="32"/>
          <w:szCs w:val="32"/>
        </w:rPr>
        <w:t>59.72</w:t>
      </w:r>
      <w:r>
        <w:rPr>
          <w:rFonts w:ascii="方正仿宋_GBK" w:eastAsia="方正仿宋_GBK" w:hAnsi="方正仿宋_GBK" w:cs="宋体" w:hint="eastAsia"/>
          <w:color w:val="333333"/>
          <w:kern w:val="0"/>
          <w:sz w:val="32"/>
          <w:szCs w:val="32"/>
        </w:rPr>
        <w:t>万人参加城乡居民养老保险，为</w:t>
      </w:r>
      <w:r>
        <w:rPr>
          <w:rFonts w:ascii="方正仿宋_GBK" w:eastAsia="方正仿宋_GBK" w:hAnsi="方正仿宋_GBK" w:cs="宋体" w:hint="eastAsia"/>
          <w:color w:val="333333"/>
          <w:kern w:val="0"/>
          <w:sz w:val="32"/>
          <w:szCs w:val="32"/>
        </w:rPr>
        <w:t>20.56</w:t>
      </w:r>
      <w:r>
        <w:rPr>
          <w:rFonts w:ascii="方正仿宋_GBK" w:eastAsia="方正仿宋_GBK" w:hAnsi="方正仿宋_GBK" w:cs="宋体" w:hint="eastAsia"/>
          <w:color w:val="333333"/>
          <w:kern w:val="0"/>
          <w:sz w:val="32"/>
          <w:szCs w:val="32"/>
        </w:rPr>
        <w:t>万名老年居民发放城乡居民养老金</w:t>
      </w:r>
      <w:r>
        <w:rPr>
          <w:rFonts w:ascii="方正仿宋_GBK" w:eastAsia="方正仿宋_GBK" w:hAnsi="方正仿宋_GBK" w:cs="宋体" w:hint="eastAsia"/>
          <w:color w:val="333333"/>
          <w:kern w:val="0"/>
          <w:sz w:val="32"/>
          <w:szCs w:val="32"/>
        </w:rPr>
        <w:t>3.38</w:t>
      </w:r>
      <w:r>
        <w:rPr>
          <w:rFonts w:ascii="方正仿宋_GBK" w:eastAsia="方正仿宋_GBK" w:hAnsi="方正仿宋_GBK" w:cs="宋体" w:hint="eastAsia"/>
          <w:color w:val="333333"/>
          <w:kern w:val="0"/>
          <w:sz w:val="32"/>
          <w:szCs w:val="32"/>
        </w:rPr>
        <w:t>亿元；二是达到了预定目标，群众认可度高。发现的问题及原因，一是预算绩</w:t>
      </w:r>
      <w:bookmarkStart w:id="0" w:name="_GoBack"/>
      <w:bookmarkEnd w:id="0"/>
      <w:r>
        <w:rPr>
          <w:rFonts w:ascii="方正仿宋_GBK" w:eastAsia="方正仿宋_GBK" w:hAnsi="方正仿宋_GBK" w:cs="宋体" w:hint="eastAsia"/>
          <w:color w:val="333333"/>
          <w:kern w:val="0"/>
          <w:sz w:val="32"/>
          <w:szCs w:val="32"/>
        </w:rPr>
        <w:t>效管理认识不到位、理解不充分；三是项目预算编报的合理性和可执行性有待进一步提高。下一步改进措施，加强财务人员业务素质的培训，充分认识预算绩效管理的</w:t>
      </w:r>
      <w:r>
        <w:rPr>
          <w:rFonts w:ascii="方正仿宋_GBK" w:eastAsia="方正仿宋_GBK" w:hAnsi="方正仿宋_GBK" w:cs="宋体" w:hint="eastAsia"/>
          <w:color w:val="333333"/>
          <w:kern w:val="0"/>
          <w:sz w:val="32"/>
          <w:szCs w:val="32"/>
        </w:rPr>
        <w:t>重要性，精细化编制年初预算，增强预算的可执行性。</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2.</w:t>
      </w:r>
      <w:r>
        <w:rPr>
          <w:rFonts w:ascii="Times New Roman" w:eastAsia="方正楷体_GBK" w:hAnsi="Times New Roman" w:cs="Times New Roman" w:hint="eastAsia"/>
          <w:sz w:val="32"/>
          <w:szCs w:val="32"/>
        </w:rPr>
        <w:t>绩效自评报告或案例</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本部门无委托第三方开展绩效自评的项目。</w:t>
      </w:r>
    </w:p>
    <w:p w:rsidR="003006E8" w:rsidRDefault="00A43AFE">
      <w:pPr>
        <w:widowControl/>
        <w:shd w:val="clear" w:color="auto" w:fill="FFFFFF"/>
        <w:spacing w:before="100" w:beforeAutospacing="1" w:after="100" w:afterAutospacing="1" w:line="670" w:lineRule="atLeast"/>
        <w:ind w:firstLine="720"/>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（三）重点绩效评价结果</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本部门无区财政局委托第三方对部门政策或项目开展重点绩效评价的项目。</w:t>
      </w:r>
    </w:p>
    <w:p w:rsidR="003006E8" w:rsidRDefault="00A43AFE">
      <w:pPr>
        <w:widowControl/>
        <w:shd w:val="clear" w:color="auto" w:fill="FFFFFF"/>
        <w:spacing w:before="100" w:beforeAutospacing="1" w:after="100" w:afterAutospacing="1" w:line="670" w:lineRule="atLeast"/>
        <w:ind w:firstLine="720"/>
        <w:jc w:val="left"/>
        <w:rPr>
          <w:rFonts w:ascii="方正黑体_GBK" w:eastAsia="方正黑体_GBK" w:hAnsi="方正黑体_GBK" w:cs="宋体"/>
          <w:color w:val="333333"/>
          <w:kern w:val="0"/>
          <w:sz w:val="32"/>
          <w:szCs w:val="32"/>
        </w:rPr>
      </w:pPr>
      <w:r>
        <w:rPr>
          <w:rFonts w:ascii="方正黑体_GBK" w:eastAsia="方正黑体_GBK" w:hAnsi="方正黑体_GBK" w:cs="宋体" w:hint="eastAsia"/>
          <w:color w:val="333333"/>
          <w:kern w:val="0"/>
          <w:sz w:val="32"/>
          <w:szCs w:val="32"/>
        </w:rPr>
        <w:t>六、专业名词解释</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（一）财政拨款收入：指本年度从本级财政部门取得的财政拨款，包括一般公共预算财政拨款和政府性基金预算财政拨款。</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lastRenderedPageBreak/>
        <w:t>（二）事业收入：指事业单位开展专业业务活动及其辅助活动取得的收入；事业单位收到的财政专户实际核拨的教育收费等资金在此反映。</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（三）经营收入：指事业单位在专业业务活动及其辅助活动之外开展非独立核算经营活动取得的收入。</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（五）用事业基金弥补收支差额：指事业单位在</w:t>
      </w:r>
      <w:r>
        <w:rPr>
          <w:rFonts w:ascii="方正仿宋_GBK" w:eastAsia="方正仿宋_GBK" w:hAnsi="方正仿宋_GBK" w:cs="宋体" w:hint="eastAsia"/>
          <w:color w:val="333333"/>
          <w:kern w:val="0"/>
          <w:sz w:val="32"/>
          <w:szCs w:val="32"/>
        </w:rPr>
        <w:t>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lastRenderedPageBreak/>
        <w:t>（六）年初结转和结余：指单位上年结转本年使用的基本支出结转、项目支出结转和结余、经营结余。不包括事业单位净资产项下的事业基金和专用基金。</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（七）结余分配：指单位当年结余的分配情况。根据《关于事业单位提取专用基金比例问题的通知》（财教〔</w:t>
      </w:r>
      <w:r>
        <w:rPr>
          <w:rFonts w:ascii="方正仿宋_GBK" w:eastAsia="方正仿宋_GBK" w:hAnsi="方正仿宋_GBK" w:cs="宋体" w:hint="eastAsia"/>
          <w:color w:val="333333"/>
          <w:kern w:val="0"/>
          <w:sz w:val="32"/>
          <w:szCs w:val="32"/>
        </w:rPr>
        <w:t>2012</w:t>
      </w:r>
      <w:r>
        <w:rPr>
          <w:rFonts w:ascii="方正仿宋_GBK" w:eastAsia="方正仿宋_GBK" w:hAnsi="方正仿宋_GBK" w:cs="宋体" w:hint="eastAsia"/>
          <w:color w:val="333333"/>
          <w:kern w:val="0"/>
          <w:sz w:val="32"/>
          <w:szCs w:val="32"/>
        </w:rPr>
        <w:t>〕</w:t>
      </w:r>
      <w:r>
        <w:rPr>
          <w:rFonts w:ascii="方正仿宋_GBK" w:eastAsia="方正仿宋_GBK" w:hAnsi="方正仿宋_GBK" w:cs="宋体" w:hint="eastAsia"/>
          <w:color w:val="333333"/>
          <w:kern w:val="0"/>
          <w:sz w:val="32"/>
          <w:szCs w:val="32"/>
        </w:rPr>
        <w:t>32</w:t>
      </w:r>
      <w:r>
        <w:rPr>
          <w:rFonts w:ascii="方正仿宋_GBK" w:eastAsia="方正仿宋_GBK" w:hAnsi="方正仿宋_GBK" w:cs="宋体" w:hint="eastAsia"/>
          <w:color w:val="333333"/>
          <w:kern w:val="0"/>
          <w:sz w:val="32"/>
          <w:szCs w:val="32"/>
        </w:rPr>
        <w:t>号）规定，事业单位职工福利基金的提取比例，在</w:t>
      </w:r>
      <w:r>
        <w:rPr>
          <w:rFonts w:ascii="方正仿宋_GBK" w:eastAsia="方正仿宋_GBK" w:hAnsi="方正仿宋_GBK" w:cs="宋体" w:hint="eastAsia"/>
          <w:color w:val="333333"/>
          <w:kern w:val="0"/>
          <w:sz w:val="32"/>
          <w:szCs w:val="32"/>
        </w:rPr>
        <w:t>单位年度非财政拨款结余的</w:t>
      </w:r>
      <w:r>
        <w:rPr>
          <w:rFonts w:ascii="方正仿宋_GBK" w:eastAsia="方正仿宋_GBK" w:hAnsi="方正仿宋_GBK" w:cs="宋体" w:hint="eastAsia"/>
          <w:color w:val="333333"/>
          <w:kern w:val="0"/>
          <w:sz w:val="32"/>
          <w:szCs w:val="32"/>
        </w:rPr>
        <w:t>40%</w:t>
      </w:r>
      <w:r>
        <w:rPr>
          <w:rFonts w:ascii="方正仿宋_GBK" w:eastAsia="方正仿宋_GBK" w:hAnsi="方正仿宋_GBK" w:cs="宋体" w:hint="eastAsia"/>
          <w:color w:val="333333"/>
          <w:kern w:val="0"/>
          <w:sz w:val="32"/>
          <w:szCs w:val="32"/>
        </w:rPr>
        <w:t>以内确定，国家另有规定的从其规定。</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（八）年末结转和结余：指单位结转下年的基本支出结转、项目支出结转和结余、经营结余。不包括事业单位净资产项下的事业基金和专用基金。</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（十）项目支出：指在基本支出之外为完成特定行政任务和事业发展目</w:t>
      </w:r>
      <w:r>
        <w:rPr>
          <w:rFonts w:ascii="方正仿宋_GBK" w:eastAsia="方正仿宋_GBK" w:hAnsi="方正仿宋_GBK" w:cs="宋体" w:hint="eastAsia"/>
          <w:color w:val="333333"/>
          <w:kern w:val="0"/>
          <w:sz w:val="32"/>
          <w:szCs w:val="32"/>
        </w:rPr>
        <w:t>标所发生的支出。</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lastRenderedPageBreak/>
        <w:t>（十一）经营支出：指事业单位在专业业务活动及其辅助活动之外开展非独立核算经营活动发生的支出。</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w:t>
      </w:r>
      <w:r>
        <w:rPr>
          <w:rFonts w:ascii="方正仿宋_GBK" w:eastAsia="方正仿宋_GBK" w:hAnsi="方正仿宋_GBK" w:cs="宋体" w:hint="eastAsia"/>
          <w:color w:val="333333"/>
          <w:kern w:val="0"/>
          <w:sz w:val="32"/>
          <w:szCs w:val="32"/>
        </w:rPr>
        <w:t>定开支的各类公务接待（含外宾接待）支出。</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lastRenderedPageBreak/>
        <w:t>（十四）工资福利支出（支出经济分类科目类级）：反映单位开支的在职职工和编制外长期聘用人员的各类劳动报酬，以及为上述人员缴纳的各项社会保险费等。</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（十五）商品和服务支出（支出经济分类科目类级</w:t>
      </w:r>
      <w:r>
        <w:rPr>
          <w:rFonts w:ascii="方正仿宋_GBK" w:eastAsia="方正仿宋_GBK" w:hAnsi="方正仿宋_GBK" w:cs="宋体" w:hint="eastAsia"/>
          <w:color w:val="333333"/>
          <w:kern w:val="0"/>
          <w:sz w:val="32"/>
          <w:szCs w:val="32"/>
        </w:rPr>
        <w:t>）：反映单位购买商品和服务的支出（不包括用于购置固定资产的支出、战略性和应急储备支出）。</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（十六）对个人和家庭的补助（支出经济分类科目类级）：反映用于对个人和家庭的补助支出。</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（十八）社会保障和就业支出：反映政府在社会保障与就业方面的支出，具体包括社会保障和就业管理事务、民政管理事务、财政对社会保险基金的补助、</w:t>
      </w:r>
      <w:r>
        <w:rPr>
          <w:rFonts w:ascii="方正仿宋_GBK" w:eastAsia="方正仿宋_GBK" w:hAnsi="方正仿宋_GBK" w:cs="宋体" w:hint="eastAsia"/>
          <w:color w:val="333333"/>
          <w:kern w:val="0"/>
          <w:sz w:val="32"/>
          <w:szCs w:val="32"/>
        </w:rPr>
        <w:t>补充全国社会保障基金、行政事业单位离退休、企业改革补助、就业补助、抚恤、社会福利、残疾人事业等支出。</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lastRenderedPageBreak/>
        <w:t>（十九）医疗卫生与计划生育支出：反映政府医疗卫生方面的支出，具体包括医疗卫生管理事务、公立医院、基层医疗卫生机构支出、公共卫生、医疗保障、中医药、食品和药品监督管理事务、计划生育等。</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二十）住房保障支出：反映政府用于住房保障等事务支出，包括保障性住房支出、住房改革支出和城乡社区住宅等方面支出。包括保障性安居工程支出、住房改革支出（住房公积金、提租补贴、购房补贴）、城乡社区住宅（如公有住房建设和维修改造支出</w:t>
      </w:r>
      <w:r>
        <w:rPr>
          <w:rFonts w:ascii="方正仿宋_GBK" w:eastAsia="方正仿宋_GBK" w:hAnsi="方正仿宋_GBK" w:cs="宋体" w:hint="eastAsia"/>
          <w:color w:val="333333"/>
          <w:kern w:val="0"/>
          <w:sz w:val="32"/>
          <w:szCs w:val="32"/>
        </w:rPr>
        <w:t>）等。</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七、决算公开联系方式</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本单位决算公开信息反馈和联系方式：</w:t>
      </w:r>
    </w:p>
    <w:p w:rsidR="003006E8" w:rsidRDefault="00A43AFE">
      <w:pPr>
        <w:widowControl/>
        <w:shd w:val="clear" w:color="auto" w:fill="FFFFFF"/>
        <w:spacing w:before="100" w:beforeAutospacing="1" w:after="100" w:afterAutospacing="1" w:line="670" w:lineRule="atLeast"/>
        <w:ind w:firstLine="720"/>
        <w:jc w:val="left"/>
        <w:rPr>
          <w:rFonts w:ascii="方正仿宋_GBK" w:eastAsia="方正仿宋_GBK" w:hAnsi="方正仿宋_GBK" w:cs="宋体"/>
          <w:color w:val="333333"/>
          <w:kern w:val="0"/>
          <w:sz w:val="32"/>
          <w:szCs w:val="32"/>
        </w:rPr>
      </w:pPr>
      <w:r>
        <w:rPr>
          <w:rFonts w:ascii="方正仿宋_GBK" w:eastAsia="方正仿宋_GBK" w:hAnsi="方正仿宋_GBK" w:cs="宋体" w:hint="eastAsia"/>
          <w:color w:val="333333"/>
          <w:kern w:val="0"/>
          <w:sz w:val="32"/>
          <w:szCs w:val="32"/>
        </w:rPr>
        <w:t>文茂林</w:t>
      </w:r>
      <w:r>
        <w:rPr>
          <w:rFonts w:ascii="方正仿宋_GBK" w:eastAsia="方正仿宋_GBK" w:hAnsi="方正仿宋_GBK" w:cs="宋体" w:hint="eastAsia"/>
          <w:color w:val="333333"/>
          <w:kern w:val="0"/>
          <w:sz w:val="32"/>
          <w:szCs w:val="32"/>
        </w:rPr>
        <w:t>023-58106796</w:t>
      </w:r>
    </w:p>
    <w:p w:rsidR="003006E8" w:rsidRDefault="003006E8"/>
    <w:p w:rsidR="003006E8" w:rsidRDefault="003006E8"/>
    <w:p w:rsidR="003006E8" w:rsidRDefault="003006E8"/>
    <w:p w:rsidR="003006E8" w:rsidRDefault="003006E8"/>
    <w:p w:rsidR="003006E8" w:rsidRDefault="003006E8"/>
    <w:p w:rsidR="003006E8" w:rsidRDefault="003006E8"/>
    <w:p w:rsidR="003006E8" w:rsidRDefault="003006E8"/>
    <w:p w:rsidR="003006E8" w:rsidRDefault="003006E8"/>
    <w:p w:rsidR="003006E8" w:rsidRDefault="003006E8"/>
    <w:p w:rsidR="003006E8" w:rsidRDefault="003006E8"/>
    <w:p w:rsidR="003006E8" w:rsidRDefault="003006E8"/>
    <w:p w:rsidR="003006E8" w:rsidRDefault="003006E8"/>
    <w:p w:rsidR="003006E8" w:rsidRDefault="003006E8"/>
    <w:p w:rsidR="003006E8" w:rsidRDefault="003006E8">
      <w:pPr>
        <w:pStyle w:val="a0"/>
        <w:rPr>
          <w:rFonts w:hint="default"/>
        </w:rPr>
      </w:pPr>
    </w:p>
    <w:p w:rsidR="003006E8" w:rsidRDefault="003006E8">
      <w:pPr>
        <w:pStyle w:val="a0"/>
        <w:rPr>
          <w:rFonts w:hint="default"/>
        </w:rPr>
      </w:pPr>
    </w:p>
    <w:p w:rsidR="003006E8" w:rsidRDefault="00A43AFE">
      <w:pPr>
        <w:pStyle w:val="a0"/>
        <w:rPr>
          <w:rFonts w:hint="default"/>
        </w:rPr>
        <w:sectPr w:rsidR="003006E8">
          <w:footerReference w:type="default" r:id="rId8"/>
          <w:pgSz w:w="11906" w:h="16838"/>
          <w:pgMar w:top="1440" w:right="1800" w:bottom="1440" w:left="1800" w:header="851" w:footer="992" w:gutter="0"/>
          <w:cols w:space="425"/>
          <w:docGrid w:type="lines" w:linePitch="312"/>
        </w:sectPr>
      </w:pPr>
      <w:r>
        <w:rPr>
          <w:noProof/>
        </w:rPr>
        <w:drawing>
          <wp:inline distT="0" distB="0" distL="0" distR="0">
            <wp:extent cx="5274310" cy="6261100"/>
            <wp:effectExtent l="0" t="0" r="254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9"/>
                    <a:srcRect/>
                    <a:stretch>
                      <a:fillRect/>
                    </a:stretch>
                  </pic:blipFill>
                  <pic:spPr>
                    <a:xfrm>
                      <a:off x="0" y="0"/>
                      <a:ext cx="5274310" cy="6261100"/>
                    </a:xfrm>
                    <a:prstGeom prst="rect">
                      <a:avLst/>
                    </a:prstGeom>
                    <a:noFill/>
                    <a:ln w="9525">
                      <a:noFill/>
                      <a:miter lim="800000"/>
                      <a:headEnd/>
                      <a:tailEnd/>
                    </a:ln>
                  </pic:spPr>
                </pic:pic>
              </a:graphicData>
            </a:graphic>
          </wp:inline>
        </w:drawing>
      </w:r>
    </w:p>
    <w:p w:rsidR="003006E8" w:rsidRDefault="00A43AFE">
      <w:pPr>
        <w:pStyle w:val="a0"/>
        <w:rPr>
          <w:rFonts w:hint="default"/>
        </w:rPr>
      </w:pPr>
      <w:r>
        <w:rPr>
          <w:noProof/>
        </w:rPr>
        <w:lastRenderedPageBreak/>
        <w:drawing>
          <wp:inline distT="0" distB="0" distL="0" distR="0">
            <wp:extent cx="8919794" cy="5237684"/>
            <wp:effectExtent l="1905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0"/>
                    <a:srcRect/>
                    <a:stretch>
                      <a:fillRect/>
                    </a:stretch>
                  </pic:blipFill>
                  <pic:spPr>
                    <a:xfrm>
                      <a:off x="0" y="0"/>
                      <a:ext cx="8922385" cy="5239205"/>
                    </a:xfrm>
                    <a:prstGeom prst="rect">
                      <a:avLst/>
                    </a:prstGeom>
                    <a:noFill/>
                    <a:ln w="9525">
                      <a:noFill/>
                      <a:miter lim="800000"/>
                      <a:headEnd/>
                      <a:tailEnd/>
                    </a:ln>
                  </pic:spPr>
                </pic:pic>
              </a:graphicData>
            </a:graphic>
          </wp:inline>
        </w:drawing>
      </w:r>
    </w:p>
    <w:p w:rsidR="003006E8" w:rsidRDefault="00A43AFE">
      <w:pPr>
        <w:pStyle w:val="a0"/>
        <w:rPr>
          <w:rFonts w:hint="default"/>
        </w:rPr>
      </w:pPr>
      <w:r>
        <w:rPr>
          <w:noProof/>
        </w:rPr>
        <w:lastRenderedPageBreak/>
        <w:drawing>
          <wp:inline distT="0" distB="0" distL="0" distR="0">
            <wp:extent cx="8905164" cy="5230368"/>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1"/>
                    <a:srcRect/>
                    <a:stretch>
                      <a:fillRect/>
                    </a:stretch>
                  </pic:blipFill>
                  <pic:spPr>
                    <a:xfrm>
                      <a:off x="0" y="0"/>
                      <a:ext cx="8903335" cy="5229294"/>
                    </a:xfrm>
                    <a:prstGeom prst="rect">
                      <a:avLst/>
                    </a:prstGeom>
                    <a:noFill/>
                    <a:ln w="9525">
                      <a:noFill/>
                      <a:miter lim="800000"/>
                      <a:headEnd/>
                      <a:tailEnd/>
                    </a:ln>
                  </pic:spPr>
                </pic:pic>
              </a:graphicData>
            </a:graphic>
          </wp:inline>
        </w:drawing>
      </w:r>
    </w:p>
    <w:p w:rsidR="003006E8" w:rsidRDefault="00A43AFE">
      <w:pPr>
        <w:pStyle w:val="a0"/>
        <w:rPr>
          <w:rFonts w:hint="default"/>
        </w:rPr>
      </w:pPr>
      <w:r>
        <w:rPr>
          <w:noProof/>
        </w:rPr>
        <w:lastRenderedPageBreak/>
        <w:drawing>
          <wp:inline distT="0" distB="0" distL="0" distR="0">
            <wp:extent cx="8868588" cy="5257723"/>
            <wp:effectExtent l="19050" t="0" r="8712"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2"/>
                    <a:srcRect/>
                    <a:stretch>
                      <a:fillRect/>
                    </a:stretch>
                  </pic:blipFill>
                  <pic:spPr>
                    <a:xfrm>
                      <a:off x="0" y="0"/>
                      <a:ext cx="8865235" cy="5255735"/>
                    </a:xfrm>
                    <a:prstGeom prst="rect">
                      <a:avLst/>
                    </a:prstGeom>
                    <a:noFill/>
                    <a:ln w="9525">
                      <a:noFill/>
                      <a:miter lim="800000"/>
                      <a:headEnd/>
                      <a:tailEnd/>
                    </a:ln>
                  </pic:spPr>
                </pic:pic>
              </a:graphicData>
            </a:graphic>
          </wp:inline>
        </w:drawing>
      </w:r>
    </w:p>
    <w:p w:rsidR="003006E8" w:rsidRDefault="00A43AFE">
      <w:pPr>
        <w:pStyle w:val="a0"/>
        <w:rPr>
          <w:rFonts w:hint="default"/>
        </w:rPr>
      </w:pPr>
      <w:r>
        <w:rPr>
          <w:noProof/>
        </w:rPr>
        <w:lastRenderedPageBreak/>
        <w:drawing>
          <wp:inline distT="0" distB="0" distL="0" distR="0">
            <wp:extent cx="8855075" cy="5274945"/>
            <wp:effectExtent l="0" t="0" r="3175" b="190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3"/>
                    <a:srcRect/>
                    <a:stretch>
                      <a:fillRect/>
                    </a:stretch>
                  </pic:blipFill>
                  <pic:spPr>
                    <a:xfrm>
                      <a:off x="0" y="0"/>
                      <a:ext cx="8855075" cy="5274945"/>
                    </a:xfrm>
                    <a:prstGeom prst="rect">
                      <a:avLst/>
                    </a:prstGeom>
                    <a:noFill/>
                    <a:ln w="9525">
                      <a:noFill/>
                      <a:miter lim="800000"/>
                      <a:headEnd/>
                      <a:tailEnd/>
                    </a:ln>
                  </pic:spPr>
                </pic:pic>
              </a:graphicData>
            </a:graphic>
          </wp:inline>
        </w:drawing>
      </w:r>
    </w:p>
    <w:p w:rsidR="003006E8" w:rsidRDefault="00A43AFE">
      <w:pPr>
        <w:pStyle w:val="a0"/>
        <w:rPr>
          <w:rFonts w:hint="default"/>
        </w:rPr>
      </w:pPr>
      <w:r>
        <w:rPr>
          <w:noProof/>
        </w:rPr>
        <w:lastRenderedPageBreak/>
        <w:drawing>
          <wp:inline distT="0" distB="0" distL="0" distR="0">
            <wp:extent cx="8861603" cy="5186477"/>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4"/>
                    <a:srcRect/>
                    <a:stretch>
                      <a:fillRect/>
                    </a:stretch>
                  </pic:blipFill>
                  <pic:spPr>
                    <a:xfrm>
                      <a:off x="0" y="0"/>
                      <a:ext cx="8865235" cy="5188603"/>
                    </a:xfrm>
                    <a:prstGeom prst="rect">
                      <a:avLst/>
                    </a:prstGeom>
                    <a:noFill/>
                    <a:ln w="9525">
                      <a:noFill/>
                      <a:miter lim="800000"/>
                      <a:headEnd/>
                      <a:tailEnd/>
                    </a:ln>
                  </pic:spPr>
                </pic:pic>
              </a:graphicData>
            </a:graphic>
          </wp:inline>
        </w:drawing>
      </w:r>
    </w:p>
    <w:p w:rsidR="003006E8" w:rsidRDefault="003006E8">
      <w:pPr>
        <w:pStyle w:val="a0"/>
        <w:rPr>
          <w:rFonts w:hint="default"/>
        </w:rPr>
      </w:pPr>
    </w:p>
    <w:p w:rsidR="003006E8" w:rsidRDefault="00A43AFE">
      <w:pPr>
        <w:pStyle w:val="a0"/>
        <w:rPr>
          <w:rFonts w:hint="default"/>
        </w:rPr>
      </w:pPr>
      <w:r>
        <w:rPr>
          <w:noProof/>
        </w:rPr>
        <w:drawing>
          <wp:inline distT="0" distB="0" distL="0" distR="0">
            <wp:extent cx="8912860" cy="2401570"/>
            <wp:effectExtent l="0" t="0" r="2540" b="1778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a:srcRect/>
                    <a:stretch>
                      <a:fillRect/>
                    </a:stretch>
                  </pic:blipFill>
                  <pic:spPr>
                    <a:xfrm>
                      <a:off x="0" y="0"/>
                      <a:ext cx="8912860" cy="2401570"/>
                    </a:xfrm>
                    <a:prstGeom prst="rect">
                      <a:avLst/>
                    </a:prstGeom>
                    <a:noFill/>
                    <a:ln w="9525">
                      <a:noFill/>
                      <a:miter lim="800000"/>
                      <a:headEnd/>
                      <a:tailEnd/>
                    </a:ln>
                  </pic:spPr>
                </pic:pic>
              </a:graphicData>
            </a:graphic>
          </wp:inline>
        </w:drawing>
      </w:r>
    </w:p>
    <w:p w:rsidR="003006E8" w:rsidRDefault="00A43AFE">
      <w:pPr>
        <w:pStyle w:val="a0"/>
        <w:rPr>
          <w:rFonts w:hint="default"/>
        </w:rPr>
      </w:pPr>
      <w:r>
        <w:rPr>
          <w:noProof/>
        </w:rPr>
        <w:lastRenderedPageBreak/>
        <w:drawing>
          <wp:inline distT="0" distB="0" distL="0" distR="0">
            <wp:extent cx="8882583" cy="5179161"/>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6"/>
                    <a:srcRect/>
                    <a:stretch>
                      <a:fillRect/>
                    </a:stretch>
                  </pic:blipFill>
                  <pic:spPr>
                    <a:xfrm>
                      <a:off x="0" y="0"/>
                      <a:ext cx="8883650" cy="5179783"/>
                    </a:xfrm>
                    <a:prstGeom prst="rect">
                      <a:avLst/>
                    </a:prstGeom>
                    <a:noFill/>
                    <a:ln w="9525">
                      <a:noFill/>
                      <a:miter lim="800000"/>
                      <a:headEnd/>
                      <a:tailEnd/>
                    </a:ln>
                  </pic:spPr>
                </pic:pic>
              </a:graphicData>
            </a:graphic>
          </wp:inline>
        </w:drawing>
      </w:r>
    </w:p>
    <w:p w:rsidR="003006E8" w:rsidRDefault="003006E8">
      <w:pPr>
        <w:pStyle w:val="a0"/>
        <w:rPr>
          <w:rFonts w:hint="default"/>
        </w:rPr>
      </w:pPr>
    </w:p>
    <w:p w:rsidR="003006E8" w:rsidRDefault="00A43AFE">
      <w:pPr>
        <w:pStyle w:val="a0"/>
        <w:rPr>
          <w:rFonts w:hint="default"/>
        </w:rPr>
      </w:pPr>
      <w:r>
        <w:rPr>
          <w:noProof/>
        </w:rPr>
        <w:drawing>
          <wp:inline distT="0" distB="0" distL="0" distR="0">
            <wp:extent cx="8903335" cy="4118610"/>
            <wp:effectExtent l="0" t="0" r="12065" b="1524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a:srcRect/>
                    <a:stretch>
                      <a:fillRect/>
                    </a:stretch>
                  </pic:blipFill>
                  <pic:spPr>
                    <a:xfrm>
                      <a:off x="0" y="0"/>
                      <a:ext cx="8903335" cy="4118610"/>
                    </a:xfrm>
                    <a:prstGeom prst="rect">
                      <a:avLst/>
                    </a:prstGeom>
                    <a:noFill/>
                    <a:ln w="9525">
                      <a:noFill/>
                      <a:miter lim="800000"/>
                      <a:headEnd/>
                      <a:tailEnd/>
                    </a:ln>
                  </pic:spPr>
                </pic:pic>
              </a:graphicData>
            </a:graphic>
          </wp:inline>
        </w:drawing>
      </w:r>
    </w:p>
    <w:sectPr w:rsidR="003006E8" w:rsidSect="003006E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AFE" w:rsidRDefault="00A43AFE" w:rsidP="003006E8">
      <w:r>
        <w:separator/>
      </w:r>
    </w:p>
  </w:endnote>
  <w:endnote w:type="continuationSeparator" w:id="1">
    <w:p w:rsidR="00A43AFE" w:rsidRDefault="00A43AFE" w:rsidP="003006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2000000000000000000"/>
    <w:charset w:val="86"/>
    <w:family w:val="auto"/>
    <w:pitch w:val="variable"/>
    <w:sig w:usb0="A00002BF" w:usb1="38CF7CFA" w:usb2="00082016" w:usb3="00000000" w:csb0="00040001" w:csb1="00000000"/>
  </w:font>
  <w:font w:name="方正黑体_GBK">
    <w:altName w:val="微软雅黑"/>
    <w:panose1 w:val="02000000000000000000"/>
    <w:charset w:val="86"/>
    <w:family w:val="auto"/>
    <w:pitch w:val="variable"/>
    <w:sig w:usb0="A00002BF" w:usb1="38CF7CFA" w:usb2="00082016" w:usb3="00000000" w:csb0="00040001" w:csb1="00000000"/>
  </w:font>
  <w:font w:name="微软雅黑">
    <w:panose1 w:val="020B0503020204020204"/>
    <w:charset w:val="86"/>
    <w:family w:val="swiss"/>
    <w:pitch w:val="variable"/>
    <w:sig w:usb0="80000287" w:usb1="280F3C52" w:usb2="00000016" w:usb3="00000000" w:csb0="0004001F" w:csb1="00000000"/>
  </w:font>
  <w:font w:name="方正楷体_GBK">
    <w:altName w:val="微软雅黑"/>
    <w:panose1 w:val="02000000000000000000"/>
    <w:charset w:val="86"/>
    <w:family w:val="auto"/>
    <w:pitch w:val="variable"/>
    <w:sig w:usb0="A00002BF" w:usb1="38CF7CFA" w:usb2="00082016" w:usb3="00000000" w:csb0="00040001" w:csb1="00000000"/>
  </w:font>
  <w:font w:name="方正仿宋_GBK">
    <w:altName w:val="微软雅黑"/>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1286"/>
    </w:sdtPr>
    <w:sdtContent>
      <w:sdt>
        <w:sdtPr>
          <w:id w:val="171357217"/>
        </w:sdtPr>
        <w:sdtContent>
          <w:p w:rsidR="003006E8" w:rsidRDefault="003006E8">
            <w:pPr>
              <w:pStyle w:val="a5"/>
              <w:jc w:val="center"/>
            </w:pPr>
            <w:r>
              <w:rPr>
                <w:b/>
                <w:sz w:val="24"/>
                <w:szCs w:val="24"/>
              </w:rPr>
              <w:fldChar w:fldCharType="begin"/>
            </w:r>
            <w:r w:rsidR="00A43AFE">
              <w:rPr>
                <w:b/>
              </w:rPr>
              <w:instrText>PAGE</w:instrText>
            </w:r>
            <w:r>
              <w:rPr>
                <w:b/>
                <w:sz w:val="24"/>
                <w:szCs w:val="24"/>
              </w:rPr>
              <w:fldChar w:fldCharType="separate"/>
            </w:r>
            <w:r w:rsidR="00B70CE4">
              <w:rPr>
                <w:b/>
                <w:noProof/>
              </w:rPr>
              <w:t>30</w:t>
            </w:r>
            <w:r>
              <w:rPr>
                <w:b/>
                <w:sz w:val="24"/>
                <w:szCs w:val="24"/>
              </w:rPr>
              <w:fldChar w:fldCharType="end"/>
            </w:r>
            <w:r w:rsidR="00A43AFE">
              <w:rPr>
                <w:lang w:val="zh-CN"/>
              </w:rPr>
              <w:t xml:space="preserve"> / </w:t>
            </w:r>
            <w:r>
              <w:rPr>
                <w:b/>
                <w:sz w:val="24"/>
                <w:szCs w:val="24"/>
              </w:rPr>
              <w:fldChar w:fldCharType="begin"/>
            </w:r>
            <w:r w:rsidR="00A43AFE">
              <w:rPr>
                <w:b/>
              </w:rPr>
              <w:instrText>NUMPAGES</w:instrText>
            </w:r>
            <w:r>
              <w:rPr>
                <w:b/>
                <w:sz w:val="24"/>
                <w:szCs w:val="24"/>
              </w:rPr>
              <w:fldChar w:fldCharType="separate"/>
            </w:r>
            <w:r w:rsidR="00B70CE4">
              <w:rPr>
                <w:b/>
                <w:noProof/>
              </w:rPr>
              <w:t>30</w:t>
            </w:r>
            <w:r>
              <w:rPr>
                <w:b/>
                <w:sz w:val="24"/>
                <w:szCs w:val="24"/>
              </w:rPr>
              <w:fldChar w:fldCharType="end"/>
            </w:r>
          </w:p>
        </w:sdtContent>
      </w:sdt>
    </w:sdtContent>
  </w:sdt>
  <w:p w:rsidR="003006E8" w:rsidRDefault="003006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AFE" w:rsidRDefault="00A43AFE" w:rsidP="003006E8">
      <w:r>
        <w:separator/>
      </w:r>
    </w:p>
  </w:footnote>
  <w:footnote w:type="continuationSeparator" w:id="1">
    <w:p w:rsidR="00A43AFE" w:rsidRDefault="00A43AFE" w:rsidP="003006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6B62F26"/>
    <w:rsid w:val="00020753"/>
    <w:rsid w:val="00021A36"/>
    <w:rsid w:val="0003581F"/>
    <w:rsid w:val="000440B9"/>
    <w:rsid w:val="00063F23"/>
    <w:rsid w:val="00082338"/>
    <w:rsid w:val="000C4D0C"/>
    <w:rsid w:val="000F61D2"/>
    <w:rsid w:val="000F6D19"/>
    <w:rsid w:val="00117187"/>
    <w:rsid w:val="00145680"/>
    <w:rsid w:val="0015519A"/>
    <w:rsid w:val="00166D16"/>
    <w:rsid w:val="001B4D0C"/>
    <w:rsid w:val="001B5C46"/>
    <w:rsid w:val="001F5B02"/>
    <w:rsid w:val="001F5B12"/>
    <w:rsid w:val="00201BDA"/>
    <w:rsid w:val="00247D8A"/>
    <w:rsid w:val="00257DB7"/>
    <w:rsid w:val="00263796"/>
    <w:rsid w:val="002874A2"/>
    <w:rsid w:val="00287DB5"/>
    <w:rsid w:val="002947CC"/>
    <w:rsid w:val="002F1F2B"/>
    <w:rsid w:val="003006E8"/>
    <w:rsid w:val="00305119"/>
    <w:rsid w:val="00307BA5"/>
    <w:rsid w:val="00315F98"/>
    <w:rsid w:val="003471BF"/>
    <w:rsid w:val="00364A8F"/>
    <w:rsid w:val="003726F1"/>
    <w:rsid w:val="00387BD0"/>
    <w:rsid w:val="003B0A35"/>
    <w:rsid w:val="003B1B26"/>
    <w:rsid w:val="003B49D0"/>
    <w:rsid w:val="003C15AB"/>
    <w:rsid w:val="003C61EF"/>
    <w:rsid w:val="003E5E84"/>
    <w:rsid w:val="003F55AB"/>
    <w:rsid w:val="004D4274"/>
    <w:rsid w:val="00516673"/>
    <w:rsid w:val="0054239D"/>
    <w:rsid w:val="00542EDC"/>
    <w:rsid w:val="00562805"/>
    <w:rsid w:val="00571E6E"/>
    <w:rsid w:val="00577C5E"/>
    <w:rsid w:val="0059305E"/>
    <w:rsid w:val="00603D6B"/>
    <w:rsid w:val="006153CB"/>
    <w:rsid w:val="00687979"/>
    <w:rsid w:val="006A6942"/>
    <w:rsid w:val="007241C1"/>
    <w:rsid w:val="00762A80"/>
    <w:rsid w:val="007A2B56"/>
    <w:rsid w:val="00856E2C"/>
    <w:rsid w:val="008A0DA7"/>
    <w:rsid w:val="008A7D6D"/>
    <w:rsid w:val="008B04FC"/>
    <w:rsid w:val="008E5D38"/>
    <w:rsid w:val="00937ABC"/>
    <w:rsid w:val="00941AE6"/>
    <w:rsid w:val="00975706"/>
    <w:rsid w:val="009C0BA8"/>
    <w:rsid w:val="00A01CC5"/>
    <w:rsid w:val="00A028B8"/>
    <w:rsid w:val="00A12B3F"/>
    <w:rsid w:val="00A43AFE"/>
    <w:rsid w:val="00A61B78"/>
    <w:rsid w:val="00A7609C"/>
    <w:rsid w:val="00AA0F90"/>
    <w:rsid w:val="00AC5CF0"/>
    <w:rsid w:val="00AD60D7"/>
    <w:rsid w:val="00AF0C2B"/>
    <w:rsid w:val="00AF2327"/>
    <w:rsid w:val="00B02144"/>
    <w:rsid w:val="00B1139B"/>
    <w:rsid w:val="00B17B57"/>
    <w:rsid w:val="00B25BD3"/>
    <w:rsid w:val="00B5624E"/>
    <w:rsid w:val="00B662C2"/>
    <w:rsid w:val="00B70CE4"/>
    <w:rsid w:val="00B87E4D"/>
    <w:rsid w:val="00B90FE3"/>
    <w:rsid w:val="00BD581F"/>
    <w:rsid w:val="00BF0EC5"/>
    <w:rsid w:val="00C315C6"/>
    <w:rsid w:val="00C76939"/>
    <w:rsid w:val="00CA66A1"/>
    <w:rsid w:val="00CB470A"/>
    <w:rsid w:val="00CB4FA5"/>
    <w:rsid w:val="00CC3EB8"/>
    <w:rsid w:val="00CE71C8"/>
    <w:rsid w:val="00D30995"/>
    <w:rsid w:val="00D3119E"/>
    <w:rsid w:val="00D4296E"/>
    <w:rsid w:val="00D82ACD"/>
    <w:rsid w:val="00D864C5"/>
    <w:rsid w:val="00DD1FF9"/>
    <w:rsid w:val="00DE34DF"/>
    <w:rsid w:val="00DE3608"/>
    <w:rsid w:val="00DE5236"/>
    <w:rsid w:val="00DF3FA6"/>
    <w:rsid w:val="00E1712E"/>
    <w:rsid w:val="00E17BE6"/>
    <w:rsid w:val="00E266D8"/>
    <w:rsid w:val="00E42D57"/>
    <w:rsid w:val="00E47A18"/>
    <w:rsid w:val="00ED661C"/>
    <w:rsid w:val="00EF3200"/>
    <w:rsid w:val="00F01C84"/>
    <w:rsid w:val="00F21E2C"/>
    <w:rsid w:val="00F3432A"/>
    <w:rsid w:val="00F40BA0"/>
    <w:rsid w:val="00F543AB"/>
    <w:rsid w:val="00F7031C"/>
    <w:rsid w:val="00F70AB5"/>
    <w:rsid w:val="00F802CD"/>
    <w:rsid w:val="00FE4F28"/>
    <w:rsid w:val="00FF5151"/>
    <w:rsid w:val="02531175"/>
    <w:rsid w:val="04C83BFB"/>
    <w:rsid w:val="06D27D23"/>
    <w:rsid w:val="086410A3"/>
    <w:rsid w:val="08A23E2A"/>
    <w:rsid w:val="0B5C7D3A"/>
    <w:rsid w:val="0C55225A"/>
    <w:rsid w:val="0D02631A"/>
    <w:rsid w:val="0F4A6973"/>
    <w:rsid w:val="0F7C5B9B"/>
    <w:rsid w:val="10A87295"/>
    <w:rsid w:val="13035E1E"/>
    <w:rsid w:val="130612D7"/>
    <w:rsid w:val="13940573"/>
    <w:rsid w:val="13D27EEE"/>
    <w:rsid w:val="148E6102"/>
    <w:rsid w:val="14B10F4F"/>
    <w:rsid w:val="17242EDD"/>
    <w:rsid w:val="184C1E9A"/>
    <w:rsid w:val="18645C7D"/>
    <w:rsid w:val="187C3ACB"/>
    <w:rsid w:val="19B171E9"/>
    <w:rsid w:val="1D04609D"/>
    <w:rsid w:val="1D176BA5"/>
    <w:rsid w:val="1DD07CEA"/>
    <w:rsid w:val="1DD72DFC"/>
    <w:rsid w:val="20A95109"/>
    <w:rsid w:val="21210D10"/>
    <w:rsid w:val="21454BAF"/>
    <w:rsid w:val="215B754A"/>
    <w:rsid w:val="228F65C8"/>
    <w:rsid w:val="231A250C"/>
    <w:rsid w:val="234A342D"/>
    <w:rsid w:val="23525BCB"/>
    <w:rsid w:val="244A6E45"/>
    <w:rsid w:val="248276DA"/>
    <w:rsid w:val="261D70CC"/>
    <w:rsid w:val="262236AE"/>
    <w:rsid w:val="26AD5A03"/>
    <w:rsid w:val="27E9299B"/>
    <w:rsid w:val="293711C1"/>
    <w:rsid w:val="2A45108A"/>
    <w:rsid w:val="2B527C53"/>
    <w:rsid w:val="2B714525"/>
    <w:rsid w:val="2B815229"/>
    <w:rsid w:val="2BA4067D"/>
    <w:rsid w:val="2BBE4B8E"/>
    <w:rsid w:val="2CAB4167"/>
    <w:rsid w:val="2D4278F6"/>
    <w:rsid w:val="2D4F35B2"/>
    <w:rsid w:val="2DE247FA"/>
    <w:rsid w:val="2EF8155E"/>
    <w:rsid w:val="300076C6"/>
    <w:rsid w:val="31C404BC"/>
    <w:rsid w:val="320031AA"/>
    <w:rsid w:val="329B176A"/>
    <w:rsid w:val="333159F9"/>
    <w:rsid w:val="3377083B"/>
    <w:rsid w:val="345D1515"/>
    <w:rsid w:val="346A75EC"/>
    <w:rsid w:val="34806D1C"/>
    <w:rsid w:val="34B5478F"/>
    <w:rsid w:val="369E69C7"/>
    <w:rsid w:val="37BA78A3"/>
    <w:rsid w:val="391477FF"/>
    <w:rsid w:val="39C55506"/>
    <w:rsid w:val="39F355D2"/>
    <w:rsid w:val="3CD83871"/>
    <w:rsid w:val="3ED6038D"/>
    <w:rsid w:val="403B40B1"/>
    <w:rsid w:val="4088088C"/>
    <w:rsid w:val="435B4CD1"/>
    <w:rsid w:val="436506F8"/>
    <w:rsid w:val="44B2076C"/>
    <w:rsid w:val="461C2467"/>
    <w:rsid w:val="46B62F26"/>
    <w:rsid w:val="46C37F35"/>
    <w:rsid w:val="46CB1489"/>
    <w:rsid w:val="46F82249"/>
    <w:rsid w:val="470C0457"/>
    <w:rsid w:val="473E527B"/>
    <w:rsid w:val="47902072"/>
    <w:rsid w:val="482C4253"/>
    <w:rsid w:val="48C61904"/>
    <w:rsid w:val="4CBA6951"/>
    <w:rsid w:val="4D341B7B"/>
    <w:rsid w:val="4E4D5283"/>
    <w:rsid w:val="4F526EDB"/>
    <w:rsid w:val="50D85CC5"/>
    <w:rsid w:val="50F07F5D"/>
    <w:rsid w:val="515273E2"/>
    <w:rsid w:val="51E51AE2"/>
    <w:rsid w:val="520D3D7D"/>
    <w:rsid w:val="53777B10"/>
    <w:rsid w:val="56FE30F4"/>
    <w:rsid w:val="57394780"/>
    <w:rsid w:val="58B30B7A"/>
    <w:rsid w:val="595812BA"/>
    <w:rsid w:val="59A953B6"/>
    <w:rsid w:val="5A7938AA"/>
    <w:rsid w:val="5C573ABA"/>
    <w:rsid w:val="5CF01FCA"/>
    <w:rsid w:val="610149C4"/>
    <w:rsid w:val="632B2E42"/>
    <w:rsid w:val="64C248CB"/>
    <w:rsid w:val="6684486F"/>
    <w:rsid w:val="68245A90"/>
    <w:rsid w:val="691705A2"/>
    <w:rsid w:val="69722FB5"/>
    <w:rsid w:val="69BC7ADA"/>
    <w:rsid w:val="6A0E4D16"/>
    <w:rsid w:val="6AE26160"/>
    <w:rsid w:val="6B437CB1"/>
    <w:rsid w:val="6BBB5FAB"/>
    <w:rsid w:val="6C28283A"/>
    <w:rsid w:val="6DFB1DD8"/>
    <w:rsid w:val="6E597A4E"/>
    <w:rsid w:val="6FB333A9"/>
    <w:rsid w:val="6FC4141B"/>
    <w:rsid w:val="6FD062A2"/>
    <w:rsid w:val="70834517"/>
    <w:rsid w:val="70E2682C"/>
    <w:rsid w:val="74FC18AE"/>
    <w:rsid w:val="75751C92"/>
    <w:rsid w:val="75B36908"/>
    <w:rsid w:val="76487784"/>
    <w:rsid w:val="76CE7AFB"/>
    <w:rsid w:val="77051FF0"/>
    <w:rsid w:val="777761D8"/>
    <w:rsid w:val="786E34FA"/>
    <w:rsid w:val="798E112F"/>
    <w:rsid w:val="7A7D0C51"/>
    <w:rsid w:val="7A9138FB"/>
    <w:rsid w:val="7AD7106E"/>
    <w:rsid w:val="7B3669EA"/>
    <w:rsid w:val="7C480709"/>
    <w:rsid w:val="7C4C35D8"/>
    <w:rsid w:val="7D74030D"/>
    <w:rsid w:val="7D8E77FF"/>
    <w:rsid w:val="7ED67BC3"/>
    <w:rsid w:val="7F595C89"/>
    <w:rsid w:val="7FDE00DC"/>
    <w:rsid w:val="7FFC31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006E8"/>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3006E8"/>
    <w:pPr>
      <w:spacing w:after="120"/>
      <w:jc w:val="left"/>
    </w:pPr>
    <w:rPr>
      <w:rFonts w:ascii="宋体" w:eastAsia="宋体" w:hAnsi="宋体" w:cs="Times New Roman" w:hint="eastAsia"/>
      <w:kern w:val="0"/>
      <w:sz w:val="24"/>
      <w:szCs w:val="24"/>
    </w:rPr>
  </w:style>
  <w:style w:type="paragraph" w:styleId="a4">
    <w:name w:val="Balloon Text"/>
    <w:basedOn w:val="a"/>
    <w:link w:val="Char"/>
    <w:rsid w:val="003006E8"/>
    <w:rPr>
      <w:sz w:val="18"/>
      <w:szCs w:val="18"/>
    </w:rPr>
  </w:style>
  <w:style w:type="paragraph" w:styleId="a5">
    <w:name w:val="footer"/>
    <w:basedOn w:val="a"/>
    <w:link w:val="Char0"/>
    <w:uiPriority w:val="99"/>
    <w:qFormat/>
    <w:rsid w:val="003006E8"/>
    <w:pPr>
      <w:tabs>
        <w:tab w:val="center" w:pos="4153"/>
        <w:tab w:val="right" w:pos="8306"/>
      </w:tabs>
      <w:snapToGrid w:val="0"/>
      <w:jc w:val="left"/>
    </w:pPr>
    <w:rPr>
      <w:sz w:val="18"/>
      <w:szCs w:val="18"/>
    </w:rPr>
  </w:style>
  <w:style w:type="paragraph" w:styleId="a6">
    <w:name w:val="header"/>
    <w:basedOn w:val="a"/>
    <w:link w:val="Char1"/>
    <w:qFormat/>
    <w:rsid w:val="003006E8"/>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3006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1"/>
    <w:link w:val="a6"/>
    <w:qFormat/>
    <w:rsid w:val="003006E8"/>
    <w:rPr>
      <w:kern w:val="2"/>
      <w:sz w:val="18"/>
      <w:szCs w:val="18"/>
    </w:rPr>
  </w:style>
  <w:style w:type="character" w:customStyle="1" w:styleId="Char0">
    <w:name w:val="页脚 Char"/>
    <w:basedOn w:val="a1"/>
    <w:link w:val="a5"/>
    <w:uiPriority w:val="99"/>
    <w:qFormat/>
    <w:rsid w:val="003006E8"/>
    <w:rPr>
      <w:kern w:val="2"/>
      <w:sz w:val="18"/>
      <w:szCs w:val="18"/>
    </w:rPr>
  </w:style>
  <w:style w:type="character" w:customStyle="1" w:styleId="Char">
    <w:name w:val="批注框文本 Char"/>
    <w:basedOn w:val="a1"/>
    <w:link w:val="a4"/>
    <w:rsid w:val="003006E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270CE7A-14D8-4E13-BB33-6697AEA37D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1400</Words>
  <Characters>7984</Characters>
  <Application>Microsoft Office Word</Application>
  <DocSecurity>0</DocSecurity>
  <Lines>66</Lines>
  <Paragraphs>18</Paragraphs>
  <ScaleCrop>false</ScaleCrop>
  <Company>区人力社保局</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110</cp:revision>
  <dcterms:created xsi:type="dcterms:W3CDTF">2021-10-09T07:27:00Z</dcterms:created>
  <dcterms:modified xsi:type="dcterms:W3CDTF">2021-10-20T01:01:00Z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5E5EF1E83356463D81B01905F454F5AF</vt:lpwstr>
  </property>
</Properties>
</file>