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华文中宋" w:hAnsi="华文中宋" w:eastAsia="华文中宋" w:cs="华文中宋"/>
          <w:sz w:val="44"/>
          <w:szCs w:val="44"/>
        </w:rPr>
      </w:pPr>
    </w:p>
    <w:p>
      <w:pPr>
        <w:spacing w:line="600" w:lineRule="exact"/>
        <w:jc w:val="center"/>
        <w:rPr>
          <w:rFonts w:ascii="华文中宋" w:hAnsi="华文中宋" w:eastAsia="华文中宋" w:cs="华文中宋"/>
          <w:sz w:val="24"/>
          <w:szCs w:val="24"/>
        </w:rPr>
      </w:pPr>
      <w:r>
        <w:rPr>
          <w:rFonts w:hint="eastAsia" w:ascii="华文中宋" w:hAnsi="华文中宋" w:eastAsia="华文中宋" w:cs="华文中宋"/>
          <w:sz w:val="44"/>
          <w:szCs w:val="44"/>
        </w:rPr>
        <w:t>重庆市万州区人大常委会预算联网监督中心</w:t>
      </w:r>
      <w:r>
        <w:rPr>
          <w:rFonts w:hint="eastAsia" w:ascii="方正小标宋_GBK" w:hAnsi="方正小标宋_GBK" w:eastAsia="方正小标宋_GBK" w:cs="方正小标宋_GBK"/>
          <w:sz w:val="44"/>
          <w:szCs w:val="44"/>
        </w:rPr>
        <w:t>2022年单位预算情况说明</w:t>
      </w:r>
    </w:p>
    <w:p>
      <w:pPr>
        <w:spacing w:line="600" w:lineRule="exact"/>
        <w:ind w:firstLine="880" w:firstLineChars="200"/>
        <w:jc w:val="center"/>
        <w:rPr>
          <w:rFonts w:ascii="华文中宋" w:hAnsi="华文中宋" w:eastAsia="华文中宋" w:cs="华文中宋"/>
          <w:sz w:val="44"/>
          <w:szCs w:val="44"/>
        </w:rPr>
      </w:pP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单位基本情况</w:t>
      </w:r>
    </w:p>
    <w:p>
      <w:pPr>
        <w:spacing w:line="600" w:lineRule="exact"/>
        <w:ind w:left="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为区人大开展财政预算决算及预算执行联网监督等工作，区人大常委会及相关专委会和工作机构开支监督等工作提供财政预算信息服务，加强人大宣传工作，提高人大信息工作水平，增强人大信息服务功能。</w:t>
      </w:r>
    </w:p>
    <w:p>
      <w:pPr>
        <w:spacing w:line="600" w:lineRule="exact"/>
        <w:ind w:left="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pPr>
        <w:spacing w:line="600" w:lineRule="exact"/>
        <w:rPr>
          <w:rFonts w:ascii="仿宋_GB2312" w:hAnsi="仿宋_GB2312" w:eastAsia="仿宋_GB2312" w:cs="仿宋_GB2312"/>
          <w:sz w:val="32"/>
        </w:rPr>
      </w:pPr>
      <w:r>
        <w:rPr>
          <w:rFonts w:hint="eastAsia" w:ascii="方正仿宋_GBK" w:hAnsi="方正仿宋_GBK" w:eastAsia="方正仿宋_GBK" w:cs="方正仿宋_GBK"/>
          <w:sz w:val="32"/>
          <w:szCs w:val="32"/>
        </w:rPr>
        <w:t xml:space="preserve">    重庆市万州区人大常委会预算联网监督中心是重庆市万州区人民代表大会常务委员会办公室二级预算单位，财政全额拨款的正科级事业单位，机构类别为公益一类。</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lang w:val="en-US" w:eastAsia="zh-CN"/>
        </w:rPr>
        <w:t>单位</w:t>
      </w:r>
      <w:r>
        <w:rPr>
          <w:rFonts w:ascii="黑体" w:hAnsi="黑体" w:eastAsia="黑体" w:cs="仿宋_GB2312"/>
          <w:sz w:val="32"/>
        </w:rPr>
        <w:t>收支总体情况</w:t>
      </w:r>
    </w:p>
    <w:p>
      <w:pPr>
        <w:spacing w:line="600" w:lineRule="exact"/>
        <w:ind w:firstLine="640" w:firstLineChars="200"/>
        <w:rPr>
          <w:rFonts w:ascii="仿宋_GB2312" w:hAnsi="仿宋_GB2312" w:eastAsia="仿宋_GB2312" w:cs="仿宋_GB2312"/>
          <w:sz w:val="32"/>
        </w:rPr>
      </w:pPr>
      <w:r>
        <w:rPr>
          <w:rFonts w:hint="eastAsia" w:ascii="方正楷体_GBK" w:hAnsi="方正楷体_GBK" w:eastAsia="方正楷体_GBK" w:cs="方正楷体_GBK"/>
          <w:sz w:val="32"/>
          <w:szCs w:val="32"/>
        </w:rPr>
        <w:t>（一）收入预算：</w:t>
      </w:r>
      <w:r>
        <w:rPr>
          <w:rFonts w:hint="eastAsia" w:ascii="方正仿宋_GBK" w:hAnsi="方正仿宋_GBK" w:eastAsia="方正仿宋_GBK" w:cs="方正仿宋_GBK"/>
          <w:sz w:val="32"/>
          <w:szCs w:val="32"/>
        </w:rPr>
        <w:t xml:space="preserve"> 2022年年初预算数</w:t>
      </w:r>
      <w:r>
        <w:rPr>
          <w:rFonts w:ascii="方正仿宋_GBK" w:hAnsi="方正仿宋_GBK" w:eastAsia="方正仿宋_GBK" w:cs="方正仿宋_GBK"/>
          <w:sz w:val="32"/>
          <w:szCs w:val="32"/>
        </w:rPr>
        <w:t>49.65</w:t>
      </w:r>
      <w:r>
        <w:rPr>
          <w:rFonts w:hint="eastAsia" w:ascii="方正仿宋_GBK" w:hAnsi="方正仿宋_GBK" w:eastAsia="方正仿宋_GBK" w:cs="方正仿宋_GBK"/>
          <w:sz w:val="32"/>
          <w:szCs w:val="32"/>
        </w:rPr>
        <w:t>万元，其中：一般公共预算财政拨款</w:t>
      </w:r>
      <w:r>
        <w:rPr>
          <w:rFonts w:ascii="方正仿宋_GBK" w:hAnsi="方正仿宋_GBK" w:eastAsia="方正仿宋_GBK" w:cs="方正仿宋_GBK"/>
          <w:sz w:val="32"/>
          <w:szCs w:val="32"/>
        </w:rPr>
        <w:t>49.65</w:t>
      </w:r>
      <w:r>
        <w:rPr>
          <w:rFonts w:hint="eastAsia" w:ascii="方正仿宋_GBK" w:hAnsi="方正仿宋_GBK" w:eastAsia="方正仿宋_GBK" w:cs="方正仿宋_GBK"/>
          <w:sz w:val="32"/>
          <w:szCs w:val="32"/>
        </w:rPr>
        <w:t>万元，政府性基金预算拨款0万元，国有资本经营预算收入0万元，事业收入0万</w:t>
      </w:r>
      <w:r>
        <w:rPr>
          <w:rFonts w:ascii="方正仿宋_GBK" w:hAnsi="方正仿宋_GBK" w:eastAsia="方正仿宋_GBK" w:cs="方正仿宋_GBK"/>
          <w:sz w:val="32"/>
          <w:szCs w:val="32"/>
        </w:rPr>
        <w:t>元，</w:t>
      </w:r>
      <w:r>
        <w:rPr>
          <w:rFonts w:hint="eastAsia" w:ascii="方正仿宋_GBK" w:hAnsi="方正仿宋_GBK" w:eastAsia="方正仿宋_GBK" w:cs="方正仿宋_GBK"/>
          <w:sz w:val="32"/>
          <w:szCs w:val="32"/>
        </w:rPr>
        <w:t>事业单位经营收入0万元</w:t>
      </w:r>
      <w:r>
        <w:rPr>
          <w:rFonts w:ascii="方正仿宋_GBK" w:hAnsi="方正仿宋_GBK" w:eastAsia="方正仿宋_GBK" w:cs="方正仿宋_GBK"/>
          <w:sz w:val="32"/>
          <w:szCs w:val="32"/>
        </w:rPr>
        <w:t>，其他收入</w:t>
      </w:r>
      <w:r>
        <w:rPr>
          <w:rFonts w:hint="eastAsia" w:ascii="方正仿宋_GBK" w:hAnsi="方正仿宋_GBK" w:eastAsia="方正仿宋_GBK" w:cs="方正仿宋_GBK"/>
          <w:sz w:val="32"/>
          <w:szCs w:val="32"/>
        </w:rPr>
        <w:t>0万元。收入预算较去年增加（减少）0万元，主要是重庆市万州区人大常委会预算联网监督中心成立于2019年，于2021年人员编制批复下来，未纳入2021年年初预算中，2021年无收入预算。</w:t>
      </w:r>
    </w:p>
    <w:p>
      <w:pPr>
        <w:spacing w:line="600" w:lineRule="exact"/>
        <w:ind w:firstLine="640" w:firstLineChars="200"/>
        <w:rPr>
          <w:rFonts w:ascii="仿宋_GB2312" w:hAnsi="仿宋_GB2312" w:eastAsia="仿宋_GB2312" w:cs="仿宋_GB2312"/>
          <w:sz w:val="32"/>
        </w:rPr>
      </w:pPr>
      <w:r>
        <w:rPr>
          <w:rFonts w:hint="eastAsia" w:ascii="方正楷体_GBK" w:hAnsi="方正楷体_GBK" w:eastAsia="方正楷体_GBK" w:cs="方正楷体_GBK"/>
          <w:sz w:val="32"/>
          <w:szCs w:val="32"/>
        </w:rPr>
        <w:t>（二）支出预算：</w:t>
      </w:r>
      <w:r>
        <w:rPr>
          <w:rFonts w:hint="eastAsia" w:ascii="方正仿宋_GBK" w:hAnsi="方正仿宋_GBK" w:eastAsia="方正仿宋_GBK" w:cs="方正仿宋_GBK"/>
          <w:sz w:val="32"/>
          <w:szCs w:val="32"/>
        </w:rPr>
        <w:t xml:space="preserve"> 2022年年初预算数</w:t>
      </w:r>
      <w:r>
        <w:rPr>
          <w:rFonts w:ascii="方正仿宋_GBK" w:hAnsi="方正仿宋_GBK" w:eastAsia="方正仿宋_GBK" w:cs="方正仿宋_GBK"/>
          <w:sz w:val="32"/>
          <w:szCs w:val="32"/>
        </w:rPr>
        <w:t>49.65</w:t>
      </w:r>
      <w:r>
        <w:rPr>
          <w:rFonts w:hint="eastAsia" w:ascii="方正仿宋_GBK" w:hAnsi="方正仿宋_GBK" w:eastAsia="方正仿宋_GBK" w:cs="方正仿宋_GBK"/>
          <w:sz w:val="32"/>
          <w:szCs w:val="32"/>
        </w:rPr>
        <w:t>万元，其中：一般公共服务支出</w:t>
      </w:r>
      <w:r>
        <w:rPr>
          <w:rFonts w:ascii="方正仿宋_GBK" w:hAnsi="方正仿宋_GBK" w:eastAsia="方正仿宋_GBK" w:cs="方正仿宋_GBK"/>
          <w:sz w:val="32"/>
          <w:szCs w:val="32"/>
        </w:rPr>
        <w:t>38.05</w:t>
      </w:r>
      <w:r>
        <w:rPr>
          <w:rFonts w:hint="eastAsia" w:ascii="方正仿宋_GBK" w:hAnsi="方正仿宋_GBK" w:eastAsia="方正仿宋_GBK" w:cs="方正仿宋_GBK"/>
          <w:sz w:val="32"/>
          <w:szCs w:val="32"/>
        </w:rPr>
        <w:t>万元，教育支出0万元，社会保障和就业支出</w:t>
      </w:r>
      <w:r>
        <w:rPr>
          <w:rFonts w:ascii="方正仿宋_GBK" w:hAnsi="方正仿宋_GBK" w:eastAsia="方正仿宋_GBK" w:cs="方正仿宋_GBK"/>
          <w:sz w:val="32"/>
          <w:szCs w:val="32"/>
        </w:rPr>
        <w:t>5.75</w:t>
      </w:r>
      <w:r>
        <w:rPr>
          <w:rFonts w:hint="eastAsia" w:ascii="方正仿宋_GBK" w:hAnsi="方正仿宋_GBK" w:eastAsia="方正仿宋_GBK" w:cs="方正仿宋_GBK"/>
          <w:sz w:val="32"/>
          <w:szCs w:val="32"/>
        </w:rPr>
        <w:t>万元，卫生健康支出</w:t>
      </w:r>
      <w:r>
        <w:rPr>
          <w:rFonts w:ascii="方正仿宋_GBK" w:hAnsi="方正仿宋_GBK" w:eastAsia="方正仿宋_GBK" w:cs="方正仿宋_GBK"/>
          <w:sz w:val="32"/>
          <w:szCs w:val="32"/>
        </w:rPr>
        <w:t>3.01</w:t>
      </w:r>
      <w:r>
        <w:rPr>
          <w:rFonts w:hint="eastAsia" w:ascii="方正仿宋_GBK" w:hAnsi="方正仿宋_GBK" w:eastAsia="方正仿宋_GBK" w:cs="方正仿宋_GBK"/>
          <w:sz w:val="32"/>
          <w:szCs w:val="32"/>
        </w:rPr>
        <w:t>万元，住房保障支出</w:t>
      </w:r>
      <w:r>
        <w:rPr>
          <w:rFonts w:ascii="方正仿宋_GBK" w:hAnsi="方正仿宋_GBK" w:eastAsia="方正仿宋_GBK" w:cs="方正仿宋_GBK"/>
          <w:sz w:val="32"/>
          <w:szCs w:val="32"/>
        </w:rPr>
        <w:t>2.84</w:t>
      </w:r>
      <w:r>
        <w:rPr>
          <w:rFonts w:hint="eastAsia" w:ascii="方正仿宋_GBK" w:hAnsi="方正仿宋_GBK" w:eastAsia="方正仿宋_GBK" w:cs="方正仿宋_GBK"/>
          <w:sz w:val="32"/>
          <w:szCs w:val="32"/>
        </w:rPr>
        <w:t>万元。支出预算较去年增加（减少）0万元，主要是重庆市万州区人大常委会预算联网监督中心成立于2019年，于2021年人员编制批复下来，未纳入2021年年初预算中，2021年无支出预算。</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lang w:val="en-US" w:eastAsia="zh-CN"/>
        </w:rPr>
        <w:t>单位</w:t>
      </w:r>
      <w:r>
        <w:rPr>
          <w:rFonts w:hint="eastAsia" w:ascii="黑体" w:hAnsi="黑体" w:eastAsia="黑体" w:cs="仿宋_GB2312"/>
          <w:sz w:val="32"/>
        </w:rPr>
        <w:t>预算情况说明</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2022年一般公共预算财政拨款收入</w:t>
      </w:r>
      <w:r>
        <w:rPr>
          <w:rFonts w:ascii="方正仿宋_GBK" w:hAnsi="方正仿宋_GBK" w:eastAsia="方正仿宋_GBK" w:cs="方正仿宋_GBK"/>
          <w:sz w:val="32"/>
          <w:szCs w:val="32"/>
        </w:rPr>
        <w:t>49.65</w:t>
      </w:r>
      <w:r>
        <w:rPr>
          <w:rFonts w:hint="eastAsia" w:ascii="方正仿宋_GBK" w:hAnsi="方正仿宋_GBK" w:eastAsia="方正仿宋_GBK" w:cs="方正仿宋_GBK"/>
          <w:sz w:val="32"/>
          <w:szCs w:val="32"/>
        </w:rPr>
        <w:t>万元，一般公共预算财政拨款支出</w:t>
      </w:r>
      <w:r>
        <w:rPr>
          <w:rFonts w:ascii="方正仿宋_GBK" w:hAnsi="方正仿宋_GBK" w:eastAsia="方正仿宋_GBK" w:cs="方正仿宋_GBK"/>
          <w:sz w:val="32"/>
          <w:szCs w:val="32"/>
        </w:rPr>
        <w:t>49.65</w:t>
      </w:r>
      <w:r>
        <w:rPr>
          <w:rFonts w:hint="eastAsia" w:ascii="方正仿宋_GBK" w:hAnsi="方正仿宋_GBK" w:eastAsia="方正仿宋_GBK" w:cs="方正仿宋_GBK"/>
          <w:sz w:val="32"/>
          <w:szCs w:val="32"/>
        </w:rPr>
        <w:t>万元，比2021年增加（减少）0万元，其中：基本支出</w:t>
      </w:r>
      <w:r>
        <w:rPr>
          <w:rFonts w:ascii="方正仿宋_GBK" w:hAnsi="方正仿宋_GBK" w:eastAsia="方正仿宋_GBK" w:cs="方正仿宋_GBK"/>
          <w:sz w:val="32"/>
          <w:szCs w:val="32"/>
        </w:rPr>
        <w:t>49.65</w:t>
      </w:r>
      <w:r>
        <w:rPr>
          <w:rFonts w:hint="eastAsia" w:ascii="方正仿宋_GBK" w:hAnsi="方正仿宋_GBK" w:eastAsia="方正仿宋_GBK" w:cs="方正仿宋_GBK"/>
          <w:sz w:val="32"/>
          <w:szCs w:val="32"/>
        </w:rPr>
        <w:t>万元，比2021年（减少）0万元，主要原因是重庆市万州区人大常委会预算联网监督中心成立于2019年，于2021年人员编制批复下来，未纳入2021年年初预算中，2021年无基本支出预算，主要用于支付事业人员工资、社保等支出及办公运行支出；项目支出0万元，比2021年增加</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减少）0万元，主要原因是重庆市万州区人大常委会预算联网监督中心成立于2019年，于2021年人员编制批复下来，未纳入2021年年初预算中， 2021年无项目支出预算，因属于非独立核算单位2022年无项目支出预算。</w:t>
      </w:r>
    </w:p>
    <w:p>
      <w:pPr>
        <w:spacing w:line="60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2022年</w:t>
      </w:r>
      <w:r>
        <w:rPr>
          <w:rFonts w:hint="eastAsia" w:ascii="方正仿宋_GBK" w:hAnsi="方正仿宋_GBK" w:eastAsia="方正仿宋_GBK" w:cs="方正仿宋_GBK"/>
          <w:sz w:val="32"/>
          <w:szCs w:val="32"/>
        </w:rPr>
        <w:t>无</w:t>
      </w:r>
      <w:r>
        <w:rPr>
          <w:rFonts w:ascii="方正仿宋_GBK" w:hAnsi="方正仿宋_GBK" w:eastAsia="方正仿宋_GBK" w:cs="方正仿宋_GBK"/>
          <w:sz w:val="32"/>
          <w:szCs w:val="32"/>
        </w:rPr>
        <w:t>使用政府性基金预算拨款安排的支出</w:t>
      </w:r>
      <w:r>
        <w:rPr>
          <w:rFonts w:hint="eastAsia" w:ascii="方正仿宋_GBK" w:hAnsi="方正仿宋_GBK" w:eastAsia="方正仿宋_GBK" w:cs="方正仿宋_GBK"/>
          <w:sz w:val="32"/>
          <w:szCs w:val="32"/>
        </w:rPr>
        <w:t>。</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“三公”经费情况说明</w:t>
      </w:r>
    </w:p>
    <w:p>
      <w:pPr>
        <w:spacing w:line="600" w:lineRule="exact"/>
        <w:ind w:firstLine="600"/>
        <w:rPr>
          <w:rFonts w:ascii="仿宋_GB2312" w:hAnsi="仿宋_GB2312" w:eastAsia="仿宋_GB2312" w:cs="仿宋_GB2312"/>
          <w:sz w:val="32"/>
        </w:rPr>
      </w:pPr>
      <w:r>
        <w:rPr>
          <w:rFonts w:hint="eastAsia" w:ascii="方正仿宋_GBK" w:hAnsi="方正仿宋_GBK" w:eastAsia="方正仿宋_GBK" w:cs="方正仿宋_GBK"/>
          <w:sz w:val="32"/>
          <w:szCs w:val="32"/>
        </w:rPr>
        <w:t>2022年“三公”经费预算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万元，与上年持平，其中：因公出国（境）费用0万元，与上年持平，主要原因是无因公出国（境）计划；公务接待费</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万元，与上年持平，主要原因是无公务接待计划；公务用车运行维护费</w:t>
      </w:r>
      <w:r>
        <w:rPr>
          <w:rFonts w:hint="eastAsia" w:ascii="方正仿宋_GBK" w:hAnsi="方正仿宋_GBK" w:eastAsia="方正仿宋_GBK" w:cs="方正仿宋_GBK"/>
          <w:sz w:val="32"/>
          <w:szCs w:val="32"/>
          <w:lang w:val="en-US" w:eastAsia="zh-CN"/>
        </w:rPr>
        <w:t>0</w:t>
      </w:r>
      <w:bookmarkStart w:id="0" w:name="_GoBack"/>
      <w:bookmarkEnd w:id="0"/>
      <w:r>
        <w:rPr>
          <w:rFonts w:hint="eastAsia" w:ascii="方正仿宋_GBK" w:hAnsi="方正仿宋_GBK" w:eastAsia="方正仿宋_GBK" w:cs="方正仿宋_GBK"/>
          <w:sz w:val="32"/>
          <w:szCs w:val="32"/>
        </w:rPr>
        <w:t>万元，与上年持平，主要原因是</w:t>
      </w:r>
      <w:r>
        <w:rPr>
          <w:rFonts w:hint="eastAsia" w:ascii="方正仿宋_GBK" w:hAnsi="方正仿宋_GBK" w:eastAsia="方正仿宋_GBK" w:cs="方正仿宋_GBK"/>
          <w:sz w:val="32"/>
          <w:szCs w:val="32"/>
          <w:lang w:eastAsia="zh-CN"/>
        </w:rPr>
        <w:t>无</w:t>
      </w:r>
      <w:r>
        <w:rPr>
          <w:rFonts w:hint="eastAsia" w:ascii="方正仿宋_GBK" w:hAnsi="方正仿宋_GBK" w:eastAsia="方正仿宋_GBK" w:cs="方正仿宋_GBK"/>
          <w:sz w:val="32"/>
          <w:szCs w:val="32"/>
        </w:rPr>
        <w:t>公务用车运行维护支出</w:t>
      </w:r>
      <w:r>
        <w:rPr>
          <w:rFonts w:hint="eastAsia" w:ascii="方正仿宋_GBK" w:hAnsi="方正仿宋_GBK" w:eastAsia="方正仿宋_GBK" w:cs="方正仿宋_GBK"/>
          <w:sz w:val="32"/>
          <w:szCs w:val="32"/>
          <w:lang w:eastAsia="zh-CN"/>
        </w:rPr>
        <w:t>计划</w:t>
      </w:r>
      <w:r>
        <w:rPr>
          <w:rFonts w:hint="eastAsia" w:ascii="方正仿宋_GBK" w:hAnsi="方正仿宋_GBK" w:eastAsia="方正仿宋_GBK" w:cs="方正仿宋_GBK"/>
          <w:sz w:val="32"/>
          <w:szCs w:val="32"/>
        </w:rPr>
        <w:t>；公务用车购置0万元，与上年持平，主要原因是无公务用车购置计划。</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其他重要</w:t>
      </w:r>
      <w:r>
        <w:rPr>
          <w:rFonts w:ascii="黑体" w:hAnsi="黑体" w:eastAsia="黑体" w:cs="仿宋_GB2312"/>
          <w:sz w:val="32"/>
        </w:rPr>
        <w:t>事项的情况说明</w:t>
      </w:r>
    </w:p>
    <w:p>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（一）机关运行经费。</w:t>
      </w:r>
    </w:p>
    <w:p>
      <w:pPr>
        <w:ind w:firstLine="640" w:firstLineChars="200"/>
        <w:rPr>
          <w:rFonts w:ascii="仿宋_GB2312" w:hAnsi="仿宋_GB2312" w:eastAsia="仿宋_GB2312" w:cs="仿宋_GB2312"/>
          <w:sz w:val="32"/>
        </w:rPr>
      </w:pPr>
      <w:r>
        <w:rPr>
          <w:rFonts w:hint="eastAsia" w:ascii="方正仿宋_GBK" w:hAnsi="方正仿宋_GBK" w:eastAsia="方正仿宋_GBK" w:cs="方正仿宋_GBK"/>
          <w:sz w:val="32"/>
          <w:szCs w:val="32"/>
        </w:rPr>
        <w:t>重庆市万州区人大常委会预算联网监督中心为事业单位，不在机关运行统计范围中。</w:t>
      </w:r>
    </w:p>
    <w:p>
      <w:pPr>
        <w:ind w:firstLine="640" w:firstLineChars="200"/>
        <w:rPr>
          <w:rFonts w:ascii="仿宋_GB2312" w:hAnsi="仿宋_GB2312" w:eastAsia="仿宋_GB2312" w:cs="仿宋_GB2312"/>
          <w:sz w:val="32"/>
        </w:rPr>
      </w:pPr>
      <w:r>
        <w:rPr>
          <w:rFonts w:hint="eastAsia" w:ascii="方正楷体_GBK" w:hAnsi="方正楷体_GBK" w:eastAsia="方正楷体_GBK" w:cs="方正楷体_GBK"/>
          <w:sz w:val="32"/>
          <w:szCs w:val="32"/>
        </w:rPr>
        <w:t>（二）政府采购情况。</w:t>
      </w:r>
      <w:r>
        <w:rPr>
          <w:rFonts w:hint="eastAsia" w:ascii="方正仿宋_GBK" w:hAnsi="方正仿宋_GBK" w:eastAsia="方正仿宋_GBK" w:cs="方正仿宋_GBK"/>
          <w:sz w:val="32"/>
          <w:szCs w:val="32"/>
        </w:rPr>
        <w:t>本单位无此类情况。</w:t>
      </w:r>
    </w:p>
    <w:p>
      <w:pPr>
        <w:ind w:firstLine="640" w:firstLineChars="200"/>
        <w:rPr>
          <w:rFonts w:ascii="仿宋_GB2312" w:hAnsi="仿宋_GB2312" w:eastAsia="仿宋_GB2312" w:cs="仿宋_GB2312"/>
          <w:color w:val="000000"/>
          <w:sz w:val="32"/>
        </w:rPr>
      </w:pPr>
      <w:r>
        <w:rPr>
          <w:rFonts w:hint="eastAsia" w:ascii="方正楷体_GBK" w:hAnsi="方正楷体_GBK" w:eastAsia="方正楷体_GBK" w:cs="方正楷体_GBK"/>
          <w:sz w:val="32"/>
          <w:szCs w:val="32"/>
        </w:rPr>
        <w:t>（三）绩效目标设置情况。</w:t>
      </w:r>
      <w:r>
        <w:rPr>
          <w:rFonts w:hint="eastAsia" w:ascii="方正仿宋_GBK" w:hAnsi="方正仿宋_GBK" w:eastAsia="方正仿宋_GBK" w:cs="方正仿宋_GBK"/>
          <w:sz w:val="32"/>
          <w:szCs w:val="32"/>
        </w:rPr>
        <w:t>本单位无此类情况。</w:t>
      </w:r>
    </w:p>
    <w:p>
      <w:pPr>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（四）国有资产占有使用情况。</w:t>
      </w:r>
      <w:r>
        <w:rPr>
          <w:rFonts w:hint="eastAsia" w:ascii="方正仿宋_GBK" w:hAnsi="方正仿宋_GBK" w:eastAsia="方正仿宋_GBK" w:cs="方正仿宋_GBK"/>
          <w:sz w:val="32"/>
          <w:szCs w:val="32"/>
        </w:rPr>
        <w:t>本单位无此类情况。</w:t>
      </w:r>
    </w:p>
    <w:p>
      <w:pPr>
        <w:spacing w:line="59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六</w:t>
      </w:r>
      <w:r>
        <w:rPr>
          <w:rFonts w:ascii="方正黑体_GBK" w:hAnsi="黑体" w:eastAsia="方正黑体_GBK" w:cs="仿宋_GB2312"/>
          <w:sz w:val="32"/>
        </w:rPr>
        <w:t>、</w:t>
      </w:r>
      <w:r>
        <w:rPr>
          <w:rFonts w:hint="eastAsia" w:ascii="方正黑体_GBK" w:hAnsi="黑体" w:eastAsia="方正黑体_GBK" w:cs="仿宋_GB2312"/>
          <w:sz w:val="32"/>
        </w:rPr>
        <w:t>专业性名词解释</w:t>
      </w:r>
    </w:p>
    <w:p>
      <w:pPr>
        <w:pStyle w:val="12"/>
        <w:tabs>
          <w:tab w:val="center" w:pos="4153"/>
          <w:tab w:val="left" w:pos="7275"/>
        </w:tabs>
        <w:spacing w:line="590" w:lineRule="exact"/>
        <w:ind w:firstLine="640"/>
        <w:rPr>
          <w:rFonts w:ascii="方正仿宋_GBK" w:eastAsia="方正仿宋_GBK"/>
          <w:sz w:val="32"/>
          <w:szCs w:val="32"/>
        </w:rPr>
      </w:pPr>
      <w:r>
        <w:rPr>
          <w:rFonts w:hint="eastAsia" w:ascii="方正楷体_GBK" w:hAnsi="方正楷体_GBK" w:eastAsia="方正楷体_GBK" w:cs="方正楷体_GBK"/>
          <w:kern w:val="2"/>
          <w:sz w:val="32"/>
          <w:szCs w:val="32"/>
          <w:lang w:val="en-US" w:eastAsia="zh-CN" w:bidi="ar-SA"/>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12"/>
        <w:tabs>
          <w:tab w:val="center" w:pos="4153"/>
          <w:tab w:val="left" w:pos="7275"/>
        </w:tabs>
        <w:spacing w:line="590" w:lineRule="exact"/>
        <w:ind w:firstLine="640"/>
        <w:rPr>
          <w:rFonts w:ascii="方正仿宋_GBK" w:eastAsia="方正仿宋_GBK"/>
          <w:sz w:val="32"/>
          <w:szCs w:val="32"/>
        </w:rPr>
      </w:pPr>
      <w:r>
        <w:rPr>
          <w:rFonts w:hint="eastAsia" w:ascii="方正楷体_GBK" w:hAnsi="方正楷体_GBK" w:eastAsia="方正楷体_GBK" w:cs="方正楷体_GBK"/>
          <w:kern w:val="2"/>
          <w:sz w:val="32"/>
          <w:szCs w:val="32"/>
          <w:lang w:val="en-US" w:eastAsia="zh-CN" w:bidi="ar-SA"/>
        </w:rPr>
        <w:t>（二）其他收入：</w:t>
      </w:r>
      <w:r>
        <w:rPr>
          <w:rFonts w:hint="eastAsia" w:ascii="方正仿宋_GBK" w:eastAsia="方正仿宋_GBK"/>
          <w:sz w:val="32"/>
          <w:szCs w:val="32"/>
        </w:rPr>
        <w:t>指单位取得的除“财政拨款收入”、“事业收入”、“经营收入”等以外的收入。</w:t>
      </w:r>
    </w:p>
    <w:p>
      <w:pPr>
        <w:pStyle w:val="12"/>
        <w:tabs>
          <w:tab w:val="center" w:pos="4153"/>
          <w:tab w:val="left" w:pos="7275"/>
        </w:tabs>
        <w:spacing w:line="590" w:lineRule="exact"/>
        <w:ind w:firstLine="640"/>
        <w:rPr>
          <w:rFonts w:ascii="方正仿宋_GBK" w:eastAsia="方正仿宋_GBK"/>
          <w:sz w:val="32"/>
          <w:szCs w:val="32"/>
        </w:rPr>
      </w:pPr>
      <w:r>
        <w:rPr>
          <w:rFonts w:hint="eastAsia" w:ascii="方正楷体_GBK" w:hAnsi="方正楷体_GBK" w:eastAsia="方正楷体_GBK" w:cs="方正楷体_GBK"/>
          <w:kern w:val="2"/>
          <w:sz w:val="32"/>
          <w:szCs w:val="32"/>
          <w:lang w:val="en-US" w:eastAsia="zh-CN" w:bidi="ar-SA"/>
        </w:rPr>
        <w:t>（三）基本支出：</w:t>
      </w:r>
      <w:r>
        <w:rPr>
          <w:rFonts w:hint="eastAsia" w:ascii="方正仿宋_GBK" w:eastAsia="方正仿宋_GBK"/>
          <w:sz w:val="32"/>
          <w:szCs w:val="32"/>
        </w:rPr>
        <w:t>指为保障机构正常运转、完成日常工作任务而发生的人员经费和公用经费。</w:t>
      </w:r>
    </w:p>
    <w:p>
      <w:pPr>
        <w:pStyle w:val="12"/>
        <w:tabs>
          <w:tab w:val="center" w:pos="4153"/>
          <w:tab w:val="left" w:pos="7275"/>
        </w:tabs>
        <w:spacing w:line="590" w:lineRule="exact"/>
        <w:ind w:firstLine="640"/>
        <w:rPr>
          <w:rFonts w:ascii="方正仿宋_GBK" w:eastAsia="方正仿宋_GBK"/>
          <w:sz w:val="32"/>
          <w:szCs w:val="32"/>
        </w:rPr>
      </w:pPr>
      <w:r>
        <w:rPr>
          <w:rFonts w:hint="eastAsia" w:ascii="方正楷体_GBK" w:hAnsi="方正楷体_GBK" w:eastAsia="方正楷体_GBK" w:cs="方正楷体_GBK"/>
          <w:kern w:val="2"/>
          <w:sz w:val="32"/>
          <w:szCs w:val="32"/>
          <w:lang w:val="en-US" w:eastAsia="zh-CN" w:bidi="ar-SA"/>
        </w:rPr>
        <w:t>（四）项目支出：</w:t>
      </w:r>
      <w:r>
        <w:rPr>
          <w:rFonts w:hint="eastAsia" w:ascii="方正仿宋_GBK" w:eastAsia="方正仿宋_GBK"/>
          <w:sz w:val="32"/>
          <w:szCs w:val="32"/>
        </w:rPr>
        <w:t>指在基本支出之外为完成特定行政任务和事业发展目标所发生的支出。</w:t>
      </w:r>
    </w:p>
    <w:p>
      <w:pPr>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rPr>
        <w:t>（五）“三公”经费：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ascii="仿宋_GB2312" w:hAnsi="仿宋_GB2312" w:eastAsia="仿宋_GB2312" w:cs="仿宋_GB2312"/>
          <w:color w:val="000000"/>
          <w:sz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部门预算公开联系人：计延华 联系方式：18996658806</w:t>
      </w:r>
    </w:p>
    <w:p>
      <w:pPr>
        <w:spacing w:line="600" w:lineRule="exact"/>
        <w:ind w:firstLine="640" w:firstLineChars="200"/>
        <w:rPr>
          <w:rFonts w:ascii="Times New Roman" w:hAnsi="Times New Roman" w:eastAsia="方正仿宋_GBK"/>
          <w:sz w:val="32"/>
        </w:rPr>
      </w:pPr>
    </w:p>
    <w:p>
      <w:pPr>
        <w:ind w:firstLine="643" w:firstLineChars="200"/>
        <w:rPr>
          <w:rFonts w:ascii="仿宋_GB2312" w:hAnsi="仿宋_GB2312" w:eastAsia="仿宋_GB2312" w:cs="仿宋_GB2312"/>
          <w:b/>
          <w:sz w:val="32"/>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7F1BC"/>
    <w:multiLevelType w:val="singleLevel"/>
    <w:tmpl w:val="5847F1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7D1D"/>
    <w:rsid w:val="00006FB1"/>
    <w:rsid w:val="0001271B"/>
    <w:rsid w:val="00023A4C"/>
    <w:rsid w:val="00026FDD"/>
    <w:rsid w:val="00042219"/>
    <w:rsid w:val="00047C7A"/>
    <w:rsid w:val="00053834"/>
    <w:rsid w:val="000551A4"/>
    <w:rsid w:val="000624D8"/>
    <w:rsid w:val="0007330D"/>
    <w:rsid w:val="00075914"/>
    <w:rsid w:val="0008570C"/>
    <w:rsid w:val="0009062C"/>
    <w:rsid w:val="00091B93"/>
    <w:rsid w:val="00093301"/>
    <w:rsid w:val="00096685"/>
    <w:rsid w:val="000A60FC"/>
    <w:rsid w:val="000B651E"/>
    <w:rsid w:val="000C40E5"/>
    <w:rsid w:val="000C594E"/>
    <w:rsid w:val="000D2E8F"/>
    <w:rsid w:val="000D6197"/>
    <w:rsid w:val="000D6437"/>
    <w:rsid w:val="000F1499"/>
    <w:rsid w:val="000F5707"/>
    <w:rsid w:val="0010264D"/>
    <w:rsid w:val="001042A2"/>
    <w:rsid w:val="00106A76"/>
    <w:rsid w:val="00125C07"/>
    <w:rsid w:val="00142194"/>
    <w:rsid w:val="0014404E"/>
    <w:rsid w:val="001525DD"/>
    <w:rsid w:val="00161474"/>
    <w:rsid w:val="00165A74"/>
    <w:rsid w:val="00172CBB"/>
    <w:rsid w:val="001777A7"/>
    <w:rsid w:val="001957F9"/>
    <w:rsid w:val="001C0A7C"/>
    <w:rsid w:val="001C2D94"/>
    <w:rsid w:val="001D0CAA"/>
    <w:rsid w:val="001D4937"/>
    <w:rsid w:val="001E1AED"/>
    <w:rsid w:val="001E31D9"/>
    <w:rsid w:val="001E7A01"/>
    <w:rsid w:val="00202E0A"/>
    <w:rsid w:val="002132E9"/>
    <w:rsid w:val="00213635"/>
    <w:rsid w:val="00226F1D"/>
    <w:rsid w:val="00242727"/>
    <w:rsid w:val="00246006"/>
    <w:rsid w:val="00246AA4"/>
    <w:rsid w:val="002500A0"/>
    <w:rsid w:val="00252849"/>
    <w:rsid w:val="002605A5"/>
    <w:rsid w:val="0026529F"/>
    <w:rsid w:val="0027005A"/>
    <w:rsid w:val="0027088C"/>
    <w:rsid w:val="00272171"/>
    <w:rsid w:val="00273C3D"/>
    <w:rsid w:val="002773F0"/>
    <w:rsid w:val="00280A93"/>
    <w:rsid w:val="00286440"/>
    <w:rsid w:val="002959B6"/>
    <w:rsid w:val="002B41F1"/>
    <w:rsid w:val="002B6DD6"/>
    <w:rsid w:val="002C4122"/>
    <w:rsid w:val="002D2A88"/>
    <w:rsid w:val="002E46A9"/>
    <w:rsid w:val="0030024E"/>
    <w:rsid w:val="003019D9"/>
    <w:rsid w:val="003156F6"/>
    <w:rsid w:val="003244F7"/>
    <w:rsid w:val="0032711B"/>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3F7950"/>
    <w:rsid w:val="00430B72"/>
    <w:rsid w:val="00437D88"/>
    <w:rsid w:val="004417DC"/>
    <w:rsid w:val="00445520"/>
    <w:rsid w:val="004505DE"/>
    <w:rsid w:val="00462595"/>
    <w:rsid w:val="00462BCA"/>
    <w:rsid w:val="00487B34"/>
    <w:rsid w:val="0049017F"/>
    <w:rsid w:val="00492FB3"/>
    <w:rsid w:val="00496073"/>
    <w:rsid w:val="004A0970"/>
    <w:rsid w:val="004B1650"/>
    <w:rsid w:val="004B6750"/>
    <w:rsid w:val="004B73DD"/>
    <w:rsid w:val="004C42ED"/>
    <w:rsid w:val="004C60BD"/>
    <w:rsid w:val="004D1E02"/>
    <w:rsid w:val="004E592A"/>
    <w:rsid w:val="004E6E1A"/>
    <w:rsid w:val="004F1853"/>
    <w:rsid w:val="004F7D1D"/>
    <w:rsid w:val="00500B1D"/>
    <w:rsid w:val="00506DF4"/>
    <w:rsid w:val="00507823"/>
    <w:rsid w:val="00520DFB"/>
    <w:rsid w:val="005228CA"/>
    <w:rsid w:val="00536713"/>
    <w:rsid w:val="00540120"/>
    <w:rsid w:val="00543257"/>
    <w:rsid w:val="0055139A"/>
    <w:rsid w:val="00572736"/>
    <w:rsid w:val="0058350C"/>
    <w:rsid w:val="005A1227"/>
    <w:rsid w:val="005A4606"/>
    <w:rsid w:val="005A4AD7"/>
    <w:rsid w:val="005B0F11"/>
    <w:rsid w:val="005D34A4"/>
    <w:rsid w:val="005E18A6"/>
    <w:rsid w:val="005F1960"/>
    <w:rsid w:val="0061151D"/>
    <w:rsid w:val="006115F1"/>
    <w:rsid w:val="00613456"/>
    <w:rsid w:val="00620BCE"/>
    <w:rsid w:val="006275C9"/>
    <w:rsid w:val="006342F3"/>
    <w:rsid w:val="0066585E"/>
    <w:rsid w:val="006809FA"/>
    <w:rsid w:val="00680C97"/>
    <w:rsid w:val="0069789E"/>
    <w:rsid w:val="006C01C3"/>
    <w:rsid w:val="006C76E6"/>
    <w:rsid w:val="006D0C33"/>
    <w:rsid w:val="006D1609"/>
    <w:rsid w:val="006E0BEC"/>
    <w:rsid w:val="006E455F"/>
    <w:rsid w:val="006F7539"/>
    <w:rsid w:val="00714828"/>
    <w:rsid w:val="007158F8"/>
    <w:rsid w:val="0071734A"/>
    <w:rsid w:val="007252E3"/>
    <w:rsid w:val="007254C7"/>
    <w:rsid w:val="00742C4D"/>
    <w:rsid w:val="007620B8"/>
    <w:rsid w:val="00762CF8"/>
    <w:rsid w:val="00765DF5"/>
    <w:rsid w:val="007713EB"/>
    <w:rsid w:val="007835A3"/>
    <w:rsid w:val="00791CE4"/>
    <w:rsid w:val="007B10D4"/>
    <w:rsid w:val="007B22D6"/>
    <w:rsid w:val="007B5ACF"/>
    <w:rsid w:val="007B6182"/>
    <w:rsid w:val="007C4C9B"/>
    <w:rsid w:val="007D2AEA"/>
    <w:rsid w:val="007D7F11"/>
    <w:rsid w:val="007E0B4D"/>
    <w:rsid w:val="007E6A39"/>
    <w:rsid w:val="007F68E5"/>
    <w:rsid w:val="00801BFF"/>
    <w:rsid w:val="00803270"/>
    <w:rsid w:val="00805D05"/>
    <w:rsid w:val="00813B4F"/>
    <w:rsid w:val="00830BF3"/>
    <w:rsid w:val="00833B65"/>
    <w:rsid w:val="008437F9"/>
    <w:rsid w:val="008560C6"/>
    <w:rsid w:val="00876439"/>
    <w:rsid w:val="00880920"/>
    <w:rsid w:val="00893BF5"/>
    <w:rsid w:val="008A13B7"/>
    <w:rsid w:val="008A622D"/>
    <w:rsid w:val="008C6DF8"/>
    <w:rsid w:val="008D2570"/>
    <w:rsid w:val="008E3C27"/>
    <w:rsid w:val="008E5A19"/>
    <w:rsid w:val="008E7590"/>
    <w:rsid w:val="008F1CA6"/>
    <w:rsid w:val="008F731A"/>
    <w:rsid w:val="00905727"/>
    <w:rsid w:val="00914195"/>
    <w:rsid w:val="00926FE2"/>
    <w:rsid w:val="00933A24"/>
    <w:rsid w:val="00936EDC"/>
    <w:rsid w:val="00940465"/>
    <w:rsid w:val="0094655E"/>
    <w:rsid w:val="009561D9"/>
    <w:rsid w:val="009653AE"/>
    <w:rsid w:val="00972AB0"/>
    <w:rsid w:val="00983001"/>
    <w:rsid w:val="00983746"/>
    <w:rsid w:val="0098712E"/>
    <w:rsid w:val="009962AB"/>
    <w:rsid w:val="009B77D4"/>
    <w:rsid w:val="009B7A2D"/>
    <w:rsid w:val="009E6734"/>
    <w:rsid w:val="009F01A9"/>
    <w:rsid w:val="00A03AFF"/>
    <w:rsid w:val="00A05F72"/>
    <w:rsid w:val="00A07288"/>
    <w:rsid w:val="00A106F6"/>
    <w:rsid w:val="00A174AB"/>
    <w:rsid w:val="00A21DCD"/>
    <w:rsid w:val="00A33F5E"/>
    <w:rsid w:val="00A34D90"/>
    <w:rsid w:val="00A35F07"/>
    <w:rsid w:val="00A4236E"/>
    <w:rsid w:val="00A45A23"/>
    <w:rsid w:val="00A52D34"/>
    <w:rsid w:val="00A712EA"/>
    <w:rsid w:val="00A8020D"/>
    <w:rsid w:val="00A802E9"/>
    <w:rsid w:val="00A8067A"/>
    <w:rsid w:val="00A80B6C"/>
    <w:rsid w:val="00AA324B"/>
    <w:rsid w:val="00AB25DF"/>
    <w:rsid w:val="00AC6F85"/>
    <w:rsid w:val="00AE0A20"/>
    <w:rsid w:val="00AE4156"/>
    <w:rsid w:val="00AE7E24"/>
    <w:rsid w:val="00B125CC"/>
    <w:rsid w:val="00B1352B"/>
    <w:rsid w:val="00B24FA7"/>
    <w:rsid w:val="00B257E3"/>
    <w:rsid w:val="00B43B4D"/>
    <w:rsid w:val="00B54CE7"/>
    <w:rsid w:val="00B558CC"/>
    <w:rsid w:val="00B55CE3"/>
    <w:rsid w:val="00B646B9"/>
    <w:rsid w:val="00B64E93"/>
    <w:rsid w:val="00B65450"/>
    <w:rsid w:val="00B72347"/>
    <w:rsid w:val="00B77ED1"/>
    <w:rsid w:val="00B86388"/>
    <w:rsid w:val="00BA1AA9"/>
    <w:rsid w:val="00BB3B39"/>
    <w:rsid w:val="00BC2C3D"/>
    <w:rsid w:val="00BD5FA5"/>
    <w:rsid w:val="00BE55DB"/>
    <w:rsid w:val="00BE573E"/>
    <w:rsid w:val="00BF67E7"/>
    <w:rsid w:val="00C02E7C"/>
    <w:rsid w:val="00C22B7C"/>
    <w:rsid w:val="00C23D2C"/>
    <w:rsid w:val="00C2696C"/>
    <w:rsid w:val="00C26CFA"/>
    <w:rsid w:val="00C427D3"/>
    <w:rsid w:val="00C443B6"/>
    <w:rsid w:val="00C47446"/>
    <w:rsid w:val="00C51A80"/>
    <w:rsid w:val="00C5758E"/>
    <w:rsid w:val="00C601F9"/>
    <w:rsid w:val="00C7602D"/>
    <w:rsid w:val="00C823DC"/>
    <w:rsid w:val="00C827DC"/>
    <w:rsid w:val="00C92A46"/>
    <w:rsid w:val="00C95346"/>
    <w:rsid w:val="00CA4340"/>
    <w:rsid w:val="00CB0296"/>
    <w:rsid w:val="00CC4A96"/>
    <w:rsid w:val="00CD1C4A"/>
    <w:rsid w:val="00CE1014"/>
    <w:rsid w:val="00CF42ED"/>
    <w:rsid w:val="00CF5C2E"/>
    <w:rsid w:val="00D0143D"/>
    <w:rsid w:val="00D10AB7"/>
    <w:rsid w:val="00D160DD"/>
    <w:rsid w:val="00D20466"/>
    <w:rsid w:val="00D21CDE"/>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C3AC0"/>
    <w:rsid w:val="00DC50B9"/>
    <w:rsid w:val="00DD379B"/>
    <w:rsid w:val="00DD4DEA"/>
    <w:rsid w:val="00DD5BC3"/>
    <w:rsid w:val="00DE3685"/>
    <w:rsid w:val="00DE5805"/>
    <w:rsid w:val="00E00D68"/>
    <w:rsid w:val="00E01CEB"/>
    <w:rsid w:val="00E11FB2"/>
    <w:rsid w:val="00E275D0"/>
    <w:rsid w:val="00E40ED1"/>
    <w:rsid w:val="00E4156E"/>
    <w:rsid w:val="00E4747D"/>
    <w:rsid w:val="00E712B9"/>
    <w:rsid w:val="00E92CDB"/>
    <w:rsid w:val="00E96899"/>
    <w:rsid w:val="00EC09E7"/>
    <w:rsid w:val="00EC409D"/>
    <w:rsid w:val="00EE21B6"/>
    <w:rsid w:val="00EF1B14"/>
    <w:rsid w:val="00EF782E"/>
    <w:rsid w:val="00EF7D6B"/>
    <w:rsid w:val="00F11842"/>
    <w:rsid w:val="00F11A07"/>
    <w:rsid w:val="00F11BD3"/>
    <w:rsid w:val="00F258CE"/>
    <w:rsid w:val="00F3400B"/>
    <w:rsid w:val="00F36F36"/>
    <w:rsid w:val="00F605C0"/>
    <w:rsid w:val="00F66710"/>
    <w:rsid w:val="00F84112"/>
    <w:rsid w:val="00F86A3C"/>
    <w:rsid w:val="00F90464"/>
    <w:rsid w:val="00F9492F"/>
    <w:rsid w:val="00FC053F"/>
    <w:rsid w:val="00FC2169"/>
    <w:rsid w:val="00FC2267"/>
    <w:rsid w:val="00FD48BC"/>
    <w:rsid w:val="00FE12C3"/>
    <w:rsid w:val="00FE28C5"/>
    <w:rsid w:val="00FF19DD"/>
    <w:rsid w:val="00FF2DFD"/>
    <w:rsid w:val="18CC21E2"/>
    <w:rsid w:val="19D75DEA"/>
    <w:rsid w:val="2C033765"/>
    <w:rsid w:val="353124CF"/>
    <w:rsid w:val="363475D8"/>
    <w:rsid w:val="3BC5739B"/>
    <w:rsid w:val="48310C7F"/>
    <w:rsid w:val="615C0620"/>
    <w:rsid w:val="7B014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uiPriority w:val="0"/>
    <w:rPr>
      <w:kern w:val="2"/>
      <w:sz w:val="18"/>
      <w:szCs w:val="18"/>
    </w:rPr>
  </w:style>
  <w:style w:type="character" w:customStyle="1" w:styleId="9">
    <w:name w:val="页眉 Char"/>
    <w:link w:val="4"/>
    <w:uiPriority w:val="0"/>
    <w:rPr>
      <w:kern w:val="2"/>
      <w:sz w:val="18"/>
      <w:szCs w:val="18"/>
    </w:rPr>
  </w:style>
  <w:style w:type="character" w:customStyle="1" w:styleId="10">
    <w:name w:val="页脚 Char"/>
    <w:link w:val="3"/>
    <w:uiPriority w:val="0"/>
    <w:rPr>
      <w:kern w:val="2"/>
      <w:sz w:val="18"/>
      <w:szCs w:val="18"/>
    </w:rPr>
  </w:style>
  <w:style w:type="paragraph" w:styleId="11">
    <w:name w:val="List Paragraph"/>
    <w:basedOn w:val="1"/>
    <w:qFormat/>
    <w:uiPriority w:val="34"/>
    <w:pPr>
      <w:ind w:firstLine="420" w:firstLineChars="200"/>
    </w:pPr>
  </w:style>
  <w:style w:type="paragraph" w:customStyle="1" w:styleId="12">
    <w:name w:val="列出段落1"/>
    <w:basedOn w:val="1"/>
    <w:uiPriority w:val="0"/>
    <w:pPr>
      <w:ind w:firstLine="420" w:firstLineChars="200"/>
    </w:pPr>
  </w:style>
  <w:style w:type="paragraph" w:customStyle="1" w:styleId="13">
    <w:name w:val="Char1 Char Char Char"/>
    <w:basedOn w:val="1"/>
    <w:uiPriority w:val="0"/>
    <w:pPr>
      <w:widowControl/>
      <w:spacing w:after="160" w:line="240" w:lineRule="exact"/>
      <w:jc w:val="left"/>
    </w:pPr>
    <w:rPr>
      <w:rFonts w:ascii="Verdana" w:hAnsi="Verdana" w:eastAsia="仿宋_GB2312"/>
      <w:kern w:val="0"/>
      <w:sz w:val="30"/>
      <w:szCs w:val="3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237</Words>
  <Characters>1356</Characters>
  <Lines>11</Lines>
  <Paragraphs>3</Paragraphs>
  <TotalTime>2</TotalTime>
  <ScaleCrop>false</ScaleCrop>
  <LinksUpToDate>false</LinksUpToDate>
  <CharactersWithSpaces>1590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2022-02-09T09:26:00Z</dcterms:created>
  <dc:creator>Administrator</dc:creator>
  <cp:lastModifiedBy>111</cp:lastModifiedBy>
  <cp:lastPrinted>2021-12-30T07:01:00Z</cp:lastPrinted>
  <dcterms:modified xsi:type="dcterms:W3CDTF">2022-02-10T06:36:16Z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A311D67E4C5E4C2AACB99850254239A8</vt:lpwstr>
  </property>
</Properties>
</file>