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华文中宋" w:hAnsi="华文中宋" w:eastAsia="华文中宋" w:cs="华文中宋"/>
          <w:sz w:val="44"/>
          <w:szCs w:val="44"/>
        </w:rPr>
      </w:pPr>
    </w:p>
    <w:p>
      <w:pPr>
        <w:spacing w:line="600" w:lineRule="exact"/>
        <w:jc w:val="center"/>
        <w:rPr>
          <w:rFonts w:ascii="华文中宋" w:hAnsi="华文中宋" w:eastAsia="华文中宋" w:cs="华文中宋"/>
          <w:sz w:val="24"/>
          <w:szCs w:val="24"/>
        </w:rPr>
      </w:pPr>
      <w:r>
        <w:rPr>
          <w:rFonts w:hint="eastAsia" w:ascii="华文中宋" w:hAnsi="华文中宋" w:eastAsia="华文中宋" w:cs="华文中宋"/>
          <w:sz w:val="44"/>
          <w:szCs w:val="44"/>
        </w:rPr>
        <w:t>重庆市万州区人民代表大会常务委员会办公室</w:t>
      </w:r>
      <w:r>
        <w:rPr>
          <w:rFonts w:hint="eastAsia" w:ascii="方正小标宋_GBK" w:hAnsi="方正小标宋_GBK" w:eastAsia="方正小标宋_GBK" w:cs="方正小标宋_GBK"/>
          <w:sz w:val="44"/>
          <w:szCs w:val="44"/>
        </w:rPr>
        <w:t>2022年部门预算情况说明</w:t>
      </w:r>
    </w:p>
    <w:p>
      <w:pPr>
        <w:spacing w:line="600" w:lineRule="exact"/>
        <w:ind w:firstLine="880" w:firstLineChars="200"/>
        <w:jc w:val="center"/>
        <w:rPr>
          <w:rFonts w:ascii="华文中宋" w:hAnsi="华文中宋" w:eastAsia="华文中宋" w:cs="华文中宋"/>
          <w:sz w:val="44"/>
          <w:szCs w:val="44"/>
        </w:rPr>
      </w:pP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单位基本情况</w:t>
      </w:r>
    </w:p>
    <w:p>
      <w:pPr>
        <w:spacing w:line="600" w:lineRule="exact"/>
        <w:ind w:left="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在本行政区域内，保证宪法、法律、行政法规和上级人民代表大会及其常务委员会决议的遵守和执行；领导或者主持本级人民代表大会代表的选举；召集本级人民代表大会会议；讨论、决定本行政区域内的政治、经济、教育、科学、文化、卫生、环境和资源保护、民政、民族等工作的重大事项；根据本级人民政府的建议，决定对本行政区域内的国民经济和社会发展计划、预算的部分变更；监督本级人民政府、人民法院和人民检察院的工作，联系本级人民代表大会代表，受理人民群众对上述机关和国家工作人员的申诉和意见。</w:t>
      </w:r>
    </w:p>
    <w:p>
      <w:pPr>
        <w:spacing w:line="600" w:lineRule="exact"/>
        <w:ind w:left="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（二）单位构成。</w:t>
      </w:r>
    </w:p>
    <w:p>
      <w:pPr>
        <w:spacing w:line="600" w:lineRule="exact"/>
        <w:rPr>
          <w:rFonts w:ascii="仿宋_GB2312" w:hAnsi="仿宋_GB2312" w:eastAsia="仿宋_GB2312" w:cs="仿宋_GB2312"/>
          <w:sz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一级预算单位</w:t>
      </w:r>
      <w:r>
        <w:rPr>
          <w:rFonts w:hint="eastAsia" w:ascii="方正仿宋_GBK" w:hAnsi="方正仿宋_GBK" w:eastAsia="方正仿宋_GBK" w:cs="方正仿宋_GBK"/>
          <w:sz w:val="32"/>
          <w:szCs w:val="32"/>
        </w:rPr>
        <w:t>重庆市万州区人民代表大会常务委员会办公室、</w:t>
      </w:r>
      <w:r>
        <w:rPr>
          <w:rFonts w:hint="eastAsia" w:ascii="方正仿宋_GBK" w:hAnsi="方正仿宋_GBK" w:eastAsia="方正仿宋_GBK" w:cs="方正仿宋_GBK"/>
          <w:sz w:val="32"/>
          <w:szCs w:val="32"/>
          <w:lang w:val="en-US" w:eastAsia="zh-CN"/>
        </w:rPr>
        <w:t>二级预算单位</w:t>
      </w:r>
      <w:r>
        <w:rPr>
          <w:rFonts w:hint="eastAsia" w:ascii="方正仿宋_GBK" w:hAnsi="方正仿宋_GBK" w:eastAsia="方正仿宋_GBK" w:cs="方正仿宋_GBK"/>
          <w:sz w:val="32"/>
          <w:szCs w:val="32"/>
        </w:rPr>
        <w:t>重庆市万州区人大常委会预算联网监督中心</w:t>
      </w:r>
      <w:bookmarkStart w:id="0" w:name="_GoBack"/>
      <w:bookmarkEnd w:id="0"/>
      <w:r>
        <w:rPr>
          <w:rFonts w:hint="eastAsia" w:ascii="方正仿宋_GBK" w:hAnsi="方正仿宋_GBK" w:eastAsia="方正仿宋_GBK" w:cs="方正仿宋_GBK"/>
          <w:sz w:val="32"/>
          <w:szCs w:val="32"/>
        </w:rPr>
        <w:t>。</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部门</w:t>
      </w:r>
      <w:r>
        <w:rPr>
          <w:rFonts w:ascii="黑体" w:hAnsi="黑体" w:eastAsia="黑体" w:cs="仿宋_GB2312"/>
          <w:sz w:val="32"/>
        </w:rPr>
        <w:t>收支总体情况</w:t>
      </w:r>
    </w:p>
    <w:p>
      <w:pPr>
        <w:spacing w:line="600" w:lineRule="exact"/>
        <w:ind w:firstLine="640" w:firstLineChars="200"/>
        <w:rPr>
          <w:rFonts w:ascii="仿宋_GB2312" w:hAnsi="仿宋_GB2312" w:eastAsia="仿宋_GB2312" w:cs="仿宋_GB2312"/>
          <w:sz w:val="32"/>
        </w:rPr>
      </w:pPr>
      <w:r>
        <w:rPr>
          <w:rFonts w:hint="eastAsia" w:ascii="方正楷体_GBK" w:hAnsi="方正楷体_GBK" w:eastAsia="方正楷体_GBK" w:cs="方正楷体_GBK"/>
          <w:sz w:val="32"/>
          <w:szCs w:val="32"/>
        </w:rPr>
        <w:t>（一）收入预算：</w:t>
      </w:r>
      <w:r>
        <w:rPr>
          <w:rFonts w:hint="eastAsia" w:ascii="方正仿宋_GBK" w:hAnsi="方正仿宋_GBK" w:eastAsia="方正仿宋_GBK" w:cs="方正仿宋_GBK"/>
          <w:sz w:val="32"/>
          <w:szCs w:val="32"/>
        </w:rPr>
        <w:t xml:space="preserve"> 2022年年初预算数</w:t>
      </w:r>
      <w:r>
        <w:rPr>
          <w:rFonts w:ascii="方正仿宋_GBK" w:hAnsi="方正仿宋_GBK" w:eastAsia="方正仿宋_GBK" w:cs="方正仿宋_GBK"/>
          <w:sz w:val="32"/>
          <w:szCs w:val="32"/>
        </w:rPr>
        <w:t>1802.59</w:t>
      </w:r>
      <w:r>
        <w:rPr>
          <w:rFonts w:hint="eastAsia" w:ascii="方正仿宋_GBK" w:hAnsi="方正仿宋_GBK" w:eastAsia="方正仿宋_GBK" w:cs="方正仿宋_GBK"/>
          <w:sz w:val="32"/>
          <w:szCs w:val="32"/>
        </w:rPr>
        <w:t>万元，其中：一般公共预算财政拨款</w:t>
      </w:r>
      <w:r>
        <w:rPr>
          <w:rFonts w:ascii="方正仿宋_GBK" w:hAnsi="方正仿宋_GBK" w:eastAsia="方正仿宋_GBK" w:cs="方正仿宋_GBK"/>
          <w:sz w:val="32"/>
          <w:szCs w:val="32"/>
        </w:rPr>
        <w:t>1802.59</w:t>
      </w:r>
      <w:r>
        <w:rPr>
          <w:rFonts w:hint="eastAsia" w:ascii="方正仿宋_GBK" w:hAnsi="方正仿宋_GBK" w:eastAsia="方正仿宋_GBK" w:cs="方正仿宋_GBK"/>
          <w:sz w:val="32"/>
          <w:szCs w:val="32"/>
        </w:rPr>
        <w:t>万元，政府性基金预算拨款0万元，国有资本经营预算收入0万元，事业收入0万</w:t>
      </w:r>
      <w:r>
        <w:rPr>
          <w:rFonts w:ascii="方正仿宋_GBK" w:hAnsi="方正仿宋_GBK" w:eastAsia="方正仿宋_GBK" w:cs="方正仿宋_GBK"/>
          <w:sz w:val="32"/>
          <w:szCs w:val="32"/>
        </w:rPr>
        <w:t>元，</w:t>
      </w:r>
      <w:r>
        <w:rPr>
          <w:rFonts w:hint="eastAsia" w:ascii="方正仿宋_GBK" w:hAnsi="方正仿宋_GBK" w:eastAsia="方正仿宋_GBK" w:cs="方正仿宋_GBK"/>
          <w:sz w:val="32"/>
          <w:szCs w:val="32"/>
        </w:rPr>
        <w:t>事业单位经营收入0万元</w:t>
      </w:r>
      <w:r>
        <w:rPr>
          <w:rFonts w:ascii="方正仿宋_GBK" w:hAnsi="方正仿宋_GBK" w:eastAsia="方正仿宋_GBK" w:cs="方正仿宋_GBK"/>
          <w:sz w:val="32"/>
          <w:szCs w:val="32"/>
        </w:rPr>
        <w:t>，其他收入</w:t>
      </w:r>
      <w:r>
        <w:rPr>
          <w:rFonts w:hint="eastAsia" w:ascii="方正仿宋_GBK" w:hAnsi="方正仿宋_GBK" w:eastAsia="方正仿宋_GBK" w:cs="方正仿宋_GBK"/>
          <w:sz w:val="32"/>
          <w:szCs w:val="32"/>
        </w:rPr>
        <w:t>0万元。收入预算较去年增加38.29万元，主要是一般公共预算财政拨款较去年增加38.29万元。</w:t>
      </w:r>
    </w:p>
    <w:p>
      <w:pPr>
        <w:spacing w:line="600" w:lineRule="exact"/>
        <w:ind w:firstLine="640" w:firstLineChars="200"/>
        <w:rPr>
          <w:rFonts w:ascii="仿宋_GB2312" w:hAnsi="仿宋_GB2312" w:eastAsia="仿宋_GB2312" w:cs="仿宋_GB2312"/>
          <w:sz w:val="32"/>
        </w:rPr>
      </w:pPr>
      <w:r>
        <w:rPr>
          <w:rFonts w:hint="eastAsia" w:ascii="方正楷体_GBK" w:hAnsi="方正楷体_GBK" w:eastAsia="方正楷体_GBK" w:cs="方正楷体_GBK"/>
          <w:sz w:val="32"/>
          <w:szCs w:val="32"/>
        </w:rPr>
        <w:t>（二）支出预算：</w:t>
      </w:r>
      <w:r>
        <w:rPr>
          <w:rFonts w:hint="eastAsia" w:ascii="方正仿宋_GBK" w:hAnsi="方正仿宋_GBK" w:eastAsia="方正仿宋_GBK" w:cs="方正仿宋_GBK"/>
          <w:sz w:val="32"/>
          <w:szCs w:val="32"/>
        </w:rPr>
        <w:t xml:space="preserve"> 2022年年初预算数</w:t>
      </w:r>
      <w:r>
        <w:rPr>
          <w:rFonts w:ascii="方正仿宋_GBK" w:hAnsi="方正仿宋_GBK" w:eastAsia="方正仿宋_GBK" w:cs="方正仿宋_GBK"/>
          <w:sz w:val="32"/>
          <w:szCs w:val="32"/>
        </w:rPr>
        <w:t>1802.59</w:t>
      </w:r>
      <w:r>
        <w:rPr>
          <w:rFonts w:hint="eastAsia" w:ascii="方正仿宋_GBK" w:hAnsi="方正仿宋_GBK" w:eastAsia="方正仿宋_GBK" w:cs="方正仿宋_GBK"/>
          <w:sz w:val="32"/>
          <w:szCs w:val="32"/>
        </w:rPr>
        <w:t>万元，其中：一般公共服务支出</w:t>
      </w:r>
      <w:r>
        <w:rPr>
          <w:rFonts w:ascii="方正仿宋_GBK" w:hAnsi="方正仿宋_GBK" w:eastAsia="方正仿宋_GBK" w:cs="方正仿宋_GBK"/>
          <w:sz w:val="32"/>
          <w:szCs w:val="32"/>
        </w:rPr>
        <w:t>1461.33</w:t>
      </w:r>
      <w:r>
        <w:rPr>
          <w:rFonts w:hint="eastAsia" w:ascii="方正仿宋_GBK" w:hAnsi="方正仿宋_GBK" w:eastAsia="方正仿宋_GBK" w:cs="方正仿宋_GBK"/>
          <w:sz w:val="32"/>
          <w:szCs w:val="32"/>
        </w:rPr>
        <w:t>万元，教育支出0万元，社会保障和就业支出</w:t>
      </w:r>
      <w:r>
        <w:rPr>
          <w:rFonts w:ascii="方正仿宋_GBK" w:hAnsi="方正仿宋_GBK" w:eastAsia="方正仿宋_GBK" w:cs="方正仿宋_GBK"/>
          <w:sz w:val="32"/>
          <w:szCs w:val="32"/>
        </w:rPr>
        <w:t>168.67</w:t>
      </w:r>
      <w:r>
        <w:rPr>
          <w:rFonts w:hint="eastAsia" w:ascii="方正仿宋_GBK" w:hAnsi="方正仿宋_GBK" w:eastAsia="方正仿宋_GBK" w:cs="方正仿宋_GBK"/>
          <w:sz w:val="32"/>
          <w:szCs w:val="32"/>
        </w:rPr>
        <w:t>万元，卫生健康支出</w:t>
      </w:r>
      <w:r>
        <w:rPr>
          <w:rFonts w:ascii="方正仿宋_GBK" w:hAnsi="方正仿宋_GBK" w:eastAsia="方正仿宋_GBK" w:cs="方正仿宋_GBK"/>
          <w:sz w:val="32"/>
          <w:szCs w:val="32"/>
        </w:rPr>
        <w:t>96.01</w:t>
      </w:r>
      <w:r>
        <w:rPr>
          <w:rFonts w:hint="eastAsia" w:ascii="方正仿宋_GBK" w:hAnsi="方正仿宋_GBK" w:eastAsia="方正仿宋_GBK" w:cs="方正仿宋_GBK"/>
          <w:sz w:val="32"/>
          <w:szCs w:val="32"/>
        </w:rPr>
        <w:t>万元，住房保障支出</w:t>
      </w:r>
      <w:r>
        <w:rPr>
          <w:rFonts w:ascii="方正仿宋_GBK" w:hAnsi="方正仿宋_GBK" w:eastAsia="方正仿宋_GBK" w:cs="方正仿宋_GBK"/>
          <w:sz w:val="32"/>
          <w:szCs w:val="32"/>
        </w:rPr>
        <w:t>76.57</w:t>
      </w:r>
      <w:r>
        <w:rPr>
          <w:rFonts w:hint="eastAsia" w:ascii="方正仿宋_GBK" w:hAnsi="方正仿宋_GBK" w:eastAsia="方正仿宋_GBK" w:cs="方正仿宋_GBK"/>
          <w:sz w:val="32"/>
          <w:szCs w:val="32"/>
        </w:rPr>
        <w:t>万元。支出预算较去年增加38.29万元，主要是基本支出预算增加38.29万元，项目支出预算增加</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减少）0万元。</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部门预算情况说明</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2022年一般公共预算财政拨款收入</w:t>
      </w:r>
      <w:r>
        <w:rPr>
          <w:rFonts w:ascii="方正仿宋_GBK" w:hAnsi="方正仿宋_GBK" w:eastAsia="方正仿宋_GBK" w:cs="方正仿宋_GBK"/>
          <w:sz w:val="32"/>
          <w:szCs w:val="32"/>
        </w:rPr>
        <w:t>1802.59</w:t>
      </w:r>
      <w:r>
        <w:rPr>
          <w:rFonts w:hint="eastAsia" w:ascii="方正仿宋_GBK" w:hAnsi="方正仿宋_GBK" w:eastAsia="方正仿宋_GBK" w:cs="方正仿宋_GBK"/>
          <w:sz w:val="32"/>
          <w:szCs w:val="32"/>
        </w:rPr>
        <w:t>万元，一般公共预算财政拨款支出</w:t>
      </w:r>
      <w:r>
        <w:rPr>
          <w:rFonts w:ascii="方正仿宋_GBK" w:hAnsi="方正仿宋_GBK" w:eastAsia="方正仿宋_GBK" w:cs="方正仿宋_GBK"/>
          <w:sz w:val="32"/>
          <w:szCs w:val="32"/>
        </w:rPr>
        <w:t>1802.59</w:t>
      </w:r>
      <w:r>
        <w:rPr>
          <w:rFonts w:hint="eastAsia" w:ascii="方正仿宋_GBK" w:hAnsi="方正仿宋_GBK" w:eastAsia="方正仿宋_GBK" w:cs="方正仿宋_GBK"/>
          <w:sz w:val="32"/>
          <w:szCs w:val="32"/>
        </w:rPr>
        <w:t>万元，比2021年增加38.29万元，其中：基本支出</w:t>
      </w:r>
      <w:r>
        <w:rPr>
          <w:rFonts w:ascii="方正仿宋_GBK" w:hAnsi="方正仿宋_GBK" w:eastAsia="方正仿宋_GBK" w:cs="方正仿宋_GBK"/>
          <w:sz w:val="32"/>
          <w:szCs w:val="32"/>
        </w:rPr>
        <w:t>1372.31</w:t>
      </w:r>
      <w:r>
        <w:rPr>
          <w:rFonts w:hint="eastAsia" w:ascii="方正仿宋_GBK" w:hAnsi="方正仿宋_GBK" w:eastAsia="方正仿宋_GBK" w:cs="方正仿宋_GBK"/>
          <w:sz w:val="32"/>
          <w:szCs w:val="32"/>
        </w:rPr>
        <w:t>万元，比2021年增加38.29元，主要原因是增加一个下属单位，事业运行支出增加，主要用于支付机关及事业人员工资、津补贴等支出及办公运行支出；项目支出</w:t>
      </w:r>
      <w:r>
        <w:rPr>
          <w:rFonts w:ascii="方正仿宋_GBK" w:hAnsi="方正仿宋_GBK" w:eastAsia="方正仿宋_GBK" w:cs="方正仿宋_GBK"/>
          <w:sz w:val="32"/>
          <w:szCs w:val="32"/>
        </w:rPr>
        <w:t>430.28</w:t>
      </w:r>
      <w:r>
        <w:rPr>
          <w:rFonts w:hint="eastAsia" w:ascii="方正仿宋_GBK" w:hAnsi="方正仿宋_GBK" w:eastAsia="方正仿宋_GBK" w:cs="方正仿宋_GBK"/>
          <w:sz w:val="32"/>
          <w:szCs w:val="32"/>
        </w:rPr>
        <w:t>万元，比2021年增加</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减少）0万元，主要原因是没有项目增减变化，主要用于区人代会、常委会、人大代表培训、人大代表活动等重点工作。</w:t>
      </w:r>
    </w:p>
    <w:p>
      <w:pPr>
        <w:spacing w:line="60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2022年</w:t>
      </w:r>
      <w:r>
        <w:rPr>
          <w:rFonts w:hint="eastAsia" w:ascii="方正仿宋_GBK" w:hAnsi="方正仿宋_GBK" w:eastAsia="方正仿宋_GBK" w:cs="方正仿宋_GBK"/>
          <w:sz w:val="32"/>
          <w:szCs w:val="32"/>
        </w:rPr>
        <w:t>无</w:t>
      </w:r>
      <w:r>
        <w:rPr>
          <w:rFonts w:ascii="方正仿宋_GBK" w:hAnsi="方正仿宋_GBK" w:eastAsia="方正仿宋_GBK" w:cs="方正仿宋_GBK"/>
          <w:sz w:val="32"/>
          <w:szCs w:val="32"/>
        </w:rPr>
        <w:t>使用政府性基金预算拨款安排的支出</w:t>
      </w:r>
      <w:r>
        <w:rPr>
          <w:rFonts w:hint="eastAsia" w:ascii="方正仿宋_GBK" w:hAnsi="方正仿宋_GBK" w:eastAsia="方正仿宋_GBK" w:cs="方正仿宋_GBK"/>
          <w:sz w:val="32"/>
          <w:szCs w:val="32"/>
        </w:rPr>
        <w:t>。</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“三公”经费情况说明</w:t>
      </w:r>
    </w:p>
    <w:p>
      <w:pPr>
        <w:spacing w:line="600" w:lineRule="exact"/>
        <w:ind w:firstLine="600"/>
        <w:rPr>
          <w:rFonts w:ascii="仿宋_GB2312" w:hAnsi="仿宋_GB2312" w:eastAsia="仿宋_GB2312" w:cs="仿宋_GB2312"/>
          <w:sz w:val="32"/>
        </w:rPr>
      </w:pPr>
      <w:r>
        <w:rPr>
          <w:rFonts w:hint="eastAsia" w:ascii="方正仿宋_GBK" w:hAnsi="方正仿宋_GBK" w:eastAsia="方正仿宋_GBK" w:cs="方正仿宋_GBK"/>
          <w:sz w:val="32"/>
          <w:szCs w:val="32"/>
        </w:rPr>
        <w:t>2022年“三公”经费预算62.40万元，与上年持平，其中：因公出国（境）费用0万元，与上年持平，主要原因是无因公出国（境）计划；公务接待费12.40万元，与上年持平，主要原因是严格控制接待费用支出；公务用车运行维护费50万元，与上年持平，主要原因是严格控制公务用车运行维护费支出；公务用车购置0万元，与上年持平，主要原因是无公务用车购置计划。</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其他重要</w:t>
      </w:r>
      <w:r>
        <w:rPr>
          <w:rFonts w:ascii="黑体" w:hAnsi="黑体" w:eastAsia="黑体" w:cs="仿宋_GB2312"/>
          <w:sz w:val="32"/>
        </w:rPr>
        <w:t>事项的情况说明</w:t>
      </w:r>
    </w:p>
    <w:p>
      <w:pPr>
        <w:ind w:firstLine="640" w:firstLineChars="200"/>
        <w:rPr>
          <w:rFonts w:ascii="仿宋_GB2312" w:hAnsi="仿宋_GB2312" w:eastAsia="仿宋_GB2312" w:cs="仿宋_GB2312"/>
          <w:sz w:val="32"/>
        </w:rPr>
      </w:pPr>
      <w:r>
        <w:rPr>
          <w:rFonts w:hint="eastAsia" w:ascii="方正楷体_GBK" w:hAnsi="方正楷体_GBK" w:eastAsia="方正楷体_GBK" w:cs="方正楷体_GBK"/>
          <w:sz w:val="32"/>
          <w:szCs w:val="32"/>
        </w:rPr>
        <w:t>（一）机关运行经费。</w:t>
      </w:r>
      <w:r>
        <w:rPr>
          <w:rFonts w:hint="eastAsia" w:ascii="方正仿宋_GBK" w:hAnsi="方正仿宋_GBK" w:eastAsia="方正仿宋_GBK" w:cs="方正仿宋_GBK"/>
          <w:sz w:val="32"/>
          <w:szCs w:val="32"/>
        </w:rPr>
        <w:t>2022年一般公共预算财政拨款运行经费267.75万元，比上年减少84.05万元，主要原因为预算编制口径变化，差旅费减少。主要用于办公费、印刷费、邮电费、物管费、差旅费、会议费、培训费及其他商品和服务支出等。本部门下属单位重庆市万州区人大常委会预算联网监督中心为事业单位，不在机关运行统计范围中。</w:t>
      </w:r>
    </w:p>
    <w:p>
      <w:pPr>
        <w:ind w:firstLine="640" w:firstLineChars="200"/>
        <w:rPr>
          <w:rFonts w:ascii="仿宋_GB2312" w:hAnsi="仿宋_GB2312" w:eastAsia="仿宋_GB2312" w:cs="仿宋_GB2312"/>
          <w:sz w:val="32"/>
        </w:rPr>
      </w:pPr>
      <w:r>
        <w:rPr>
          <w:rFonts w:hint="eastAsia" w:ascii="方正楷体_GBK" w:hAnsi="方正楷体_GBK" w:eastAsia="方正楷体_GBK" w:cs="方正楷体_GBK"/>
          <w:sz w:val="32"/>
          <w:szCs w:val="32"/>
        </w:rPr>
        <w:t>（二）政府采购情况。</w:t>
      </w:r>
      <w:r>
        <w:rPr>
          <w:rFonts w:hint="eastAsia" w:ascii="方正仿宋_GBK" w:hAnsi="方正仿宋_GBK" w:eastAsia="方正仿宋_GBK" w:cs="方正仿宋_GBK"/>
          <w:sz w:val="32"/>
          <w:szCs w:val="32"/>
        </w:rPr>
        <w:t>所属各预算单位政府采购预算总额5万元，</w:t>
      </w:r>
      <w:r>
        <w:rPr>
          <w:rFonts w:ascii="方正仿宋_GBK" w:hAnsi="方正仿宋_GBK" w:eastAsia="方正仿宋_GBK" w:cs="方正仿宋_GBK"/>
          <w:sz w:val="32"/>
          <w:szCs w:val="32"/>
        </w:rPr>
        <w:t>其中</w:t>
      </w:r>
      <w:r>
        <w:rPr>
          <w:rFonts w:hint="eastAsia" w:ascii="方正仿宋_GBK" w:hAnsi="方正仿宋_GBK" w:eastAsia="方正仿宋_GBK" w:cs="方正仿宋_GBK"/>
          <w:sz w:val="32"/>
          <w:szCs w:val="32"/>
        </w:rPr>
        <w:t>：政府采购货物预算5万元，政府采购工程预算0万元，政府采购服务预算0万元。一般公共预算拨款政府采购5万元，</w:t>
      </w:r>
      <w:r>
        <w:rPr>
          <w:rFonts w:ascii="方正仿宋_GBK" w:hAnsi="方正仿宋_GBK" w:eastAsia="方正仿宋_GBK" w:cs="方正仿宋_GBK"/>
          <w:sz w:val="32"/>
          <w:szCs w:val="32"/>
        </w:rPr>
        <w:t>其中：</w:t>
      </w:r>
      <w:r>
        <w:rPr>
          <w:rFonts w:hint="eastAsia" w:ascii="方正仿宋_GBK" w:hAnsi="方正仿宋_GBK" w:eastAsia="方正仿宋_GBK" w:cs="方正仿宋_GBK"/>
          <w:sz w:val="32"/>
          <w:szCs w:val="32"/>
        </w:rPr>
        <w:t>政府采购货物预算5万元，政府采购工程预算0万元，政府采购服务预算0万元。</w:t>
      </w:r>
    </w:p>
    <w:p>
      <w:pPr>
        <w:ind w:firstLine="640" w:firstLineChars="200"/>
        <w:rPr>
          <w:rFonts w:ascii="仿宋_GB2312" w:hAnsi="仿宋_GB2312" w:eastAsia="仿宋_GB2312" w:cs="仿宋_GB2312"/>
          <w:color w:val="000000"/>
          <w:sz w:val="32"/>
        </w:rPr>
      </w:pPr>
      <w:r>
        <w:rPr>
          <w:rFonts w:hint="eastAsia" w:ascii="方正楷体_GBK" w:hAnsi="方正楷体_GBK" w:eastAsia="方正楷体_GBK" w:cs="方正楷体_GBK"/>
          <w:sz w:val="32"/>
          <w:szCs w:val="32"/>
        </w:rPr>
        <w:t>（三）绩效目标设置情况。</w:t>
      </w:r>
      <w:r>
        <w:rPr>
          <w:rFonts w:hint="eastAsia" w:ascii="方正仿宋_GBK" w:hAnsi="方正仿宋_GBK" w:eastAsia="方正仿宋_GBK" w:cs="方正仿宋_GBK"/>
          <w:sz w:val="32"/>
          <w:szCs w:val="32"/>
        </w:rPr>
        <w:t>2022年项目支出均实行了绩效目标管理，涉及一般公共预算当年财政拨款430.28万元。</w:t>
      </w:r>
    </w:p>
    <w:p>
      <w:pPr>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（四）国有资产占有使用情况。</w:t>
      </w:r>
      <w:r>
        <w:rPr>
          <w:rFonts w:hint="eastAsia" w:ascii="方正仿宋_GBK" w:hAnsi="方正仿宋_GBK" w:eastAsia="方正仿宋_GBK" w:cs="方正仿宋_GBK"/>
          <w:sz w:val="32"/>
          <w:szCs w:val="32"/>
        </w:rPr>
        <w:t>截止2021年12月，所属各预算单位共有车辆5辆，其中一般公务用车5辆，2022年一般公共预算安排购置车辆0辆，其中一般公务用车0辆，执法执勤用车0辆。</w:t>
      </w:r>
    </w:p>
    <w:p>
      <w:pPr>
        <w:spacing w:line="59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六</w:t>
      </w:r>
      <w:r>
        <w:rPr>
          <w:rFonts w:ascii="方正黑体_GBK" w:hAnsi="黑体" w:eastAsia="方正黑体_GBK" w:cs="仿宋_GB2312"/>
          <w:sz w:val="32"/>
        </w:rPr>
        <w:t>、</w:t>
      </w:r>
      <w:r>
        <w:rPr>
          <w:rFonts w:hint="eastAsia" w:ascii="方正黑体_GBK" w:hAnsi="黑体" w:eastAsia="方正黑体_GBK" w:cs="仿宋_GB2312"/>
          <w:sz w:val="32"/>
        </w:rPr>
        <w:t>专业性名词解释</w:t>
      </w:r>
    </w:p>
    <w:p>
      <w:pPr>
        <w:pStyle w:val="12"/>
        <w:tabs>
          <w:tab w:val="center" w:pos="4153"/>
          <w:tab w:val="left" w:pos="7275"/>
        </w:tabs>
        <w:spacing w:line="590" w:lineRule="exact"/>
        <w:ind w:firstLine="640"/>
        <w:rPr>
          <w:rFonts w:ascii="方正仿宋_GBK" w:eastAsia="方正仿宋_GBK"/>
          <w:sz w:val="32"/>
          <w:szCs w:val="32"/>
        </w:rPr>
      </w:pPr>
      <w:r>
        <w:rPr>
          <w:rFonts w:hint="eastAsia" w:ascii="方正楷体_GBK" w:hAnsi="方正楷体_GBK" w:eastAsia="方正楷体_GBK" w:cs="方正楷体_GBK"/>
          <w:kern w:val="2"/>
          <w:sz w:val="32"/>
          <w:szCs w:val="32"/>
          <w:lang w:val="en-US" w:eastAsia="zh-CN" w:bidi="ar-SA"/>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pStyle w:val="12"/>
        <w:tabs>
          <w:tab w:val="center" w:pos="4153"/>
          <w:tab w:val="left" w:pos="7275"/>
        </w:tabs>
        <w:spacing w:line="590" w:lineRule="exact"/>
        <w:ind w:firstLine="640"/>
        <w:rPr>
          <w:rFonts w:ascii="方正仿宋_GBK" w:eastAsia="方正仿宋_GBK"/>
          <w:sz w:val="32"/>
          <w:szCs w:val="32"/>
        </w:rPr>
      </w:pPr>
      <w:r>
        <w:rPr>
          <w:rFonts w:hint="eastAsia" w:ascii="方正楷体_GBK" w:hAnsi="方正楷体_GBK" w:eastAsia="方正楷体_GBK" w:cs="方正楷体_GBK"/>
          <w:kern w:val="2"/>
          <w:sz w:val="32"/>
          <w:szCs w:val="32"/>
          <w:lang w:val="en-US" w:eastAsia="zh-CN" w:bidi="ar-SA"/>
        </w:rPr>
        <w:t>（二）其他收入：</w:t>
      </w:r>
      <w:r>
        <w:rPr>
          <w:rFonts w:hint="eastAsia" w:ascii="方正仿宋_GBK" w:eastAsia="方正仿宋_GBK"/>
          <w:sz w:val="32"/>
          <w:szCs w:val="32"/>
        </w:rPr>
        <w:t>指单位取得的除“财政拨款收入”、“事业收入”、“经营收入”等以外的收入。</w:t>
      </w:r>
    </w:p>
    <w:p>
      <w:pPr>
        <w:pStyle w:val="12"/>
        <w:tabs>
          <w:tab w:val="center" w:pos="4153"/>
          <w:tab w:val="left" w:pos="7275"/>
        </w:tabs>
        <w:spacing w:line="590" w:lineRule="exact"/>
        <w:ind w:firstLine="640"/>
        <w:rPr>
          <w:rFonts w:ascii="方正仿宋_GBK" w:eastAsia="方正仿宋_GBK"/>
          <w:sz w:val="32"/>
          <w:szCs w:val="32"/>
        </w:rPr>
      </w:pPr>
      <w:r>
        <w:rPr>
          <w:rFonts w:hint="eastAsia" w:ascii="方正楷体_GBK" w:hAnsi="方正楷体_GBK" w:eastAsia="方正楷体_GBK" w:cs="方正楷体_GBK"/>
          <w:kern w:val="2"/>
          <w:sz w:val="32"/>
          <w:szCs w:val="32"/>
          <w:lang w:val="en-US" w:eastAsia="zh-CN" w:bidi="ar-SA"/>
        </w:rPr>
        <w:t>（三）基本支出：</w:t>
      </w:r>
      <w:r>
        <w:rPr>
          <w:rFonts w:hint="eastAsia" w:ascii="方正仿宋_GBK" w:eastAsia="方正仿宋_GBK"/>
          <w:sz w:val="32"/>
          <w:szCs w:val="32"/>
        </w:rPr>
        <w:t>指为保障机构正常运转、完成日常工作任务而发生的人员经费和公用经费。</w:t>
      </w:r>
    </w:p>
    <w:p>
      <w:pPr>
        <w:pStyle w:val="12"/>
        <w:tabs>
          <w:tab w:val="center" w:pos="4153"/>
          <w:tab w:val="left" w:pos="7275"/>
        </w:tabs>
        <w:spacing w:line="590" w:lineRule="exact"/>
        <w:ind w:firstLine="640"/>
        <w:rPr>
          <w:rFonts w:ascii="方正仿宋_GBK" w:eastAsia="方正仿宋_GBK"/>
          <w:sz w:val="32"/>
          <w:szCs w:val="32"/>
        </w:rPr>
      </w:pPr>
      <w:r>
        <w:rPr>
          <w:rFonts w:hint="eastAsia" w:ascii="方正楷体_GBK" w:hAnsi="方正楷体_GBK" w:eastAsia="方正楷体_GBK" w:cs="方正楷体_GBK"/>
          <w:kern w:val="2"/>
          <w:sz w:val="32"/>
          <w:szCs w:val="32"/>
          <w:lang w:val="en-US" w:eastAsia="zh-CN" w:bidi="ar-SA"/>
        </w:rPr>
        <w:t>（四）项目支出：</w:t>
      </w:r>
      <w:r>
        <w:rPr>
          <w:rFonts w:hint="eastAsia" w:ascii="方正仿宋_GBK" w:eastAsia="方正仿宋_GBK"/>
          <w:sz w:val="32"/>
          <w:szCs w:val="32"/>
        </w:rPr>
        <w:t>指在基本支出之外为完成特定行政任务和事业发展目标所发生的支出。</w:t>
      </w:r>
    </w:p>
    <w:p>
      <w:pPr>
        <w:ind w:firstLine="640" w:firstLineChars="200"/>
        <w:rPr>
          <w:rFonts w:ascii="方正仿宋_GBK" w:eastAsia="方正仿宋_GBK"/>
          <w:sz w:val="32"/>
          <w:szCs w:val="32"/>
        </w:rPr>
      </w:pPr>
      <w:r>
        <w:rPr>
          <w:rFonts w:hint="eastAsia" w:ascii="方正楷体_GBK" w:hAnsi="方正楷体_GBK" w:eastAsia="方正楷体_GBK" w:cs="方正楷体_GBK"/>
          <w:sz w:val="32"/>
          <w:szCs w:val="32"/>
        </w:rPr>
        <w:t>（五）“三公”经费：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ascii="仿宋_GB2312" w:hAnsi="仿宋_GB2312" w:eastAsia="仿宋_GB2312" w:cs="仿宋_GB2312"/>
          <w:color w:val="000000"/>
          <w:sz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部门预算公开联系人：计延华 联系方式：18996658806</w:t>
      </w:r>
    </w:p>
    <w:p>
      <w:pPr>
        <w:spacing w:line="600" w:lineRule="exact"/>
        <w:ind w:firstLine="640" w:firstLineChars="200"/>
        <w:rPr>
          <w:rFonts w:ascii="Times New Roman" w:hAnsi="Times New Roman" w:eastAsia="方正仿宋_GBK"/>
          <w:sz w:val="32"/>
        </w:rPr>
      </w:pPr>
    </w:p>
    <w:p>
      <w:pPr>
        <w:ind w:firstLine="643" w:firstLineChars="200"/>
        <w:rPr>
          <w:rFonts w:ascii="仿宋_GB2312" w:hAnsi="仿宋_GB2312" w:eastAsia="仿宋_GB2312" w:cs="仿宋_GB2312"/>
          <w:b/>
          <w:sz w:val="32"/>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7F1BC"/>
    <w:multiLevelType w:val="singleLevel"/>
    <w:tmpl w:val="5847F1B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7D1D"/>
    <w:rsid w:val="00006FB1"/>
    <w:rsid w:val="0001271B"/>
    <w:rsid w:val="00023A4C"/>
    <w:rsid w:val="00026FDD"/>
    <w:rsid w:val="00042219"/>
    <w:rsid w:val="00047C7A"/>
    <w:rsid w:val="00053834"/>
    <w:rsid w:val="000551A4"/>
    <w:rsid w:val="000624D8"/>
    <w:rsid w:val="0007330D"/>
    <w:rsid w:val="00075914"/>
    <w:rsid w:val="0008570C"/>
    <w:rsid w:val="00091B93"/>
    <w:rsid w:val="00093301"/>
    <w:rsid w:val="00096685"/>
    <w:rsid w:val="000A60FC"/>
    <w:rsid w:val="000B651E"/>
    <w:rsid w:val="000C594E"/>
    <w:rsid w:val="000D2E8F"/>
    <w:rsid w:val="000D6437"/>
    <w:rsid w:val="000F1499"/>
    <w:rsid w:val="000F5707"/>
    <w:rsid w:val="0010264D"/>
    <w:rsid w:val="001042A2"/>
    <w:rsid w:val="00106A76"/>
    <w:rsid w:val="00125C07"/>
    <w:rsid w:val="0014404E"/>
    <w:rsid w:val="001525DD"/>
    <w:rsid w:val="00161474"/>
    <w:rsid w:val="00165A74"/>
    <w:rsid w:val="001777A7"/>
    <w:rsid w:val="001957F9"/>
    <w:rsid w:val="001C0A7C"/>
    <w:rsid w:val="001C2D94"/>
    <w:rsid w:val="001D0CAA"/>
    <w:rsid w:val="001D4937"/>
    <w:rsid w:val="001E1AED"/>
    <w:rsid w:val="001E31D9"/>
    <w:rsid w:val="00202E0A"/>
    <w:rsid w:val="002132E9"/>
    <w:rsid w:val="00213635"/>
    <w:rsid w:val="00226F1D"/>
    <w:rsid w:val="00242727"/>
    <w:rsid w:val="00246006"/>
    <w:rsid w:val="00246AA4"/>
    <w:rsid w:val="002500A0"/>
    <w:rsid w:val="00252849"/>
    <w:rsid w:val="002605A5"/>
    <w:rsid w:val="0026529F"/>
    <w:rsid w:val="0027005A"/>
    <w:rsid w:val="0027088C"/>
    <w:rsid w:val="00272171"/>
    <w:rsid w:val="00273C3D"/>
    <w:rsid w:val="002773F0"/>
    <w:rsid w:val="00280A93"/>
    <w:rsid w:val="00286440"/>
    <w:rsid w:val="002959B6"/>
    <w:rsid w:val="002B41F1"/>
    <w:rsid w:val="002C4122"/>
    <w:rsid w:val="002D2A88"/>
    <w:rsid w:val="002E46A9"/>
    <w:rsid w:val="0030024E"/>
    <w:rsid w:val="003019D9"/>
    <w:rsid w:val="003244F7"/>
    <w:rsid w:val="0032711B"/>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3F7950"/>
    <w:rsid w:val="00430B72"/>
    <w:rsid w:val="00437D88"/>
    <w:rsid w:val="004417DC"/>
    <w:rsid w:val="00445520"/>
    <w:rsid w:val="004505DE"/>
    <w:rsid w:val="00462595"/>
    <w:rsid w:val="00487B34"/>
    <w:rsid w:val="0049017F"/>
    <w:rsid w:val="00492FB3"/>
    <w:rsid w:val="004A0970"/>
    <w:rsid w:val="004B1650"/>
    <w:rsid w:val="004B6750"/>
    <w:rsid w:val="004B73DD"/>
    <w:rsid w:val="004C42ED"/>
    <w:rsid w:val="004C60BD"/>
    <w:rsid w:val="004D1E02"/>
    <w:rsid w:val="004E592A"/>
    <w:rsid w:val="004E6E1A"/>
    <w:rsid w:val="004F1853"/>
    <w:rsid w:val="004F7D1D"/>
    <w:rsid w:val="00500B1D"/>
    <w:rsid w:val="00506DF4"/>
    <w:rsid w:val="00507823"/>
    <w:rsid w:val="00520DFB"/>
    <w:rsid w:val="005228CA"/>
    <w:rsid w:val="00536713"/>
    <w:rsid w:val="00543257"/>
    <w:rsid w:val="0055139A"/>
    <w:rsid w:val="00572736"/>
    <w:rsid w:val="0058350C"/>
    <w:rsid w:val="005A1227"/>
    <w:rsid w:val="005A4606"/>
    <w:rsid w:val="005A4AD7"/>
    <w:rsid w:val="005B0F11"/>
    <w:rsid w:val="005D34A4"/>
    <w:rsid w:val="005E18A6"/>
    <w:rsid w:val="005F1960"/>
    <w:rsid w:val="006115F1"/>
    <w:rsid w:val="00620BCE"/>
    <w:rsid w:val="006275C9"/>
    <w:rsid w:val="006342F3"/>
    <w:rsid w:val="0066585E"/>
    <w:rsid w:val="006809FA"/>
    <w:rsid w:val="00680C97"/>
    <w:rsid w:val="006C01C3"/>
    <w:rsid w:val="006C76E6"/>
    <w:rsid w:val="006D0C33"/>
    <w:rsid w:val="006D1609"/>
    <w:rsid w:val="006E0BEC"/>
    <w:rsid w:val="006E455F"/>
    <w:rsid w:val="006F7539"/>
    <w:rsid w:val="00714828"/>
    <w:rsid w:val="007158F8"/>
    <w:rsid w:val="0071734A"/>
    <w:rsid w:val="007252E3"/>
    <w:rsid w:val="007254C7"/>
    <w:rsid w:val="00742C4D"/>
    <w:rsid w:val="007620B8"/>
    <w:rsid w:val="00762CF8"/>
    <w:rsid w:val="00765DF5"/>
    <w:rsid w:val="007713EB"/>
    <w:rsid w:val="00791CE4"/>
    <w:rsid w:val="007B10D4"/>
    <w:rsid w:val="007B22D6"/>
    <w:rsid w:val="007B5ACF"/>
    <w:rsid w:val="007B6182"/>
    <w:rsid w:val="007C4C9B"/>
    <w:rsid w:val="007D2AEA"/>
    <w:rsid w:val="007D7F11"/>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C6DF8"/>
    <w:rsid w:val="008D2570"/>
    <w:rsid w:val="008E3C27"/>
    <w:rsid w:val="008E5A19"/>
    <w:rsid w:val="008E7590"/>
    <w:rsid w:val="008F1CA6"/>
    <w:rsid w:val="008F731A"/>
    <w:rsid w:val="00905727"/>
    <w:rsid w:val="00914195"/>
    <w:rsid w:val="00926FE2"/>
    <w:rsid w:val="00933A24"/>
    <w:rsid w:val="00936EDC"/>
    <w:rsid w:val="00940465"/>
    <w:rsid w:val="0094655E"/>
    <w:rsid w:val="009561D9"/>
    <w:rsid w:val="009653AE"/>
    <w:rsid w:val="00972AB0"/>
    <w:rsid w:val="00983001"/>
    <w:rsid w:val="0098712E"/>
    <w:rsid w:val="009B77D4"/>
    <w:rsid w:val="009B7A2D"/>
    <w:rsid w:val="009E6734"/>
    <w:rsid w:val="009F01A9"/>
    <w:rsid w:val="00A03AFF"/>
    <w:rsid w:val="00A05F72"/>
    <w:rsid w:val="00A07288"/>
    <w:rsid w:val="00A106F6"/>
    <w:rsid w:val="00A174AB"/>
    <w:rsid w:val="00A21DCD"/>
    <w:rsid w:val="00A33F5E"/>
    <w:rsid w:val="00A34D90"/>
    <w:rsid w:val="00A35F07"/>
    <w:rsid w:val="00A4236E"/>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43B4D"/>
    <w:rsid w:val="00B54CE7"/>
    <w:rsid w:val="00B558CC"/>
    <w:rsid w:val="00B55CE3"/>
    <w:rsid w:val="00B646B9"/>
    <w:rsid w:val="00B65450"/>
    <w:rsid w:val="00B72347"/>
    <w:rsid w:val="00B86388"/>
    <w:rsid w:val="00BA1AA9"/>
    <w:rsid w:val="00BB3B39"/>
    <w:rsid w:val="00BC2C3D"/>
    <w:rsid w:val="00BD5FA5"/>
    <w:rsid w:val="00BE55DB"/>
    <w:rsid w:val="00BE573E"/>
    <w:rsid w:val="00BF67E7"/>
    <w:rsid w:val="00C22B7C"/>
    <w:rsid w:val="00C2696C"/>
    <w:rsid w:val="00C26CFA"/>
    <w:rsid w:val="00C427D3"/>
    <w:rsid w:val="00C443B6"/>
    <w:rsid w:val="00C47446"/>
    <w:rsid w:val="00C5758E"/>
    <w:rsid w:val="00C601F9"/>
    <w:rsid w:val="00C7602D"/>
    <w:rsid w:val="00C823DC"/>
    <w:rsid w:val="00C827DC"/>
    <w:rsid w:val="00C92A46"/>
    <w:rsid w:val="00C95346"/>
    <w:rsid w:val="00CA4340"/>
    <w:rsid w:val="00CB0296"/>
    <w:rsid w:val="00CC4A96"/>
    <w:rsid w:val="00CD1C4A"/>
    <w:rsid w:val="00CE1014"/>
    <w:rsid w:val="00CF42ED"/>
    <w:rsid w:val="00CF5C2E"/>
    <w:rsid w:val="00D0143D"/>
    <w:rsid w:val="00D10AB7"/>
    <w:rsid w:val="00D160DD"/>
    <w:rsid w:val="00D20466"/>
    <w:rsid w:val="00D21CDE"/>
    <w:rsid w:val="00D40ADE"/>
    <w:rsid w:val="00D411DD"/>
    <w:rsid w:val="00D46486"/>
    <w:rsid w:val="00D648D9"/>
    <w:rsid w:val="00D64C2C"/>
    <w:rsid w:val="00D66063"/>
    <w:rsid w:val="00D77D37"/>
    <w:rsid w:val="00D80BC2"/>
    <w:rsid w:val="00D8620E"/>
    <w:rsid w:val="00DA7788"/>
    <w:rsid w:val="00DA7FE6"/>
    <w:rsid w:val="00DB0EC5"/>
    <w:rsid w:val="00DB2D78"/>
    <w:rsid w:val="00DB4539"/>
    <w:rsid w:val="00DC50B9"/>
    <w:rsid w:val="00DD379B"/>
    <w:rsid w:val="00DD4DEA"/>
    <w:rsid w:val="00DD5BC3"/>
    <w:rsid w:val="00DE3685"/>
    <w:rsid w:val="00DE5805"/>
    <w:rsid w:val="00E00D68"/>
    <w:rsid w:val="00E01CEB"/>
    <w:rsid w:val="00E11FB2"/>
    <w:rsid w:val="00E275D0"/>
    <w:rsid w:val="00E40ED1"/>
    <w:rsid w:val="00E4747D"/>
    <w:rsid w:val="00E712B9"/>
    <w:rsid w:val="00E92CDB"/>
    <w:rsid w:val="00E96899"/>
    <w:rsid w:val="00EC09E7"/>
    <w:rsid w:val="00EC409D"/>
    <w:rsid w:val="00EE21B6"/>
    <w:rsid w:val="00EF1B14"/>
    <w:rsid w:val="00EF782E"/>
    <w:rsid w:val="00EF7D6B"/>
    <w:rsid w:val="00F11A07"/>
    <w:rsid w:val="00F258CE"/>
    <w:rsid w:val="00F3400B"/>
    <w:rsid w:val="00F36F36"/>
    <w:rsid w:val="00F605C0"/>
    <w:rsid w:val="00F66710"/>
    <w:rsid w:val="00F84112"/>
    <w:rsid w:val="00F86A3C"/>
    <w:rsid w:val="00F90464"/>
    <w:rsid w:val="00F9492F"/>
    <w:rsid w:val="00FC053F"/>
    <w:rsid w:val="00FC2169"/>
    <w:rsid w:val="00FC2267"/>
    <w:rsid w:val="00FE12C3"/>
    <w:rsid w:val="00FE28C5"/>
    <w:rsid w:val="09CB2E96"/>
    <w:rsid w:val="18CC21E2"/>
    <w:rsid w:val="19D75DEA"/>
    <w:rsid w:val="3BC5739B"/>
    <w:rsid w:val="42774507"/>
    <w:rsid w:val="48310C7F"/>
    <w:rsid w:val="4B105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uiPriority w:val="0"/>
    <w:rPr>
      <w:kern w:val="2"/>
      <w:sz w:val="18"/>
      <w:szCs w:val="18"/>
    </w:rPr>
  </w:style>
  <w:style w:type="character" w:customStyle="1" w:styleId="9">
    <w:name w:val="页眉 Char"/>
    <w:link w:val="4"/>
    <w:uiPriority w:val="0"/>
    <w:rPr>
      <w:kern w:val="2"/>
      <w:sz w:val="18"/>
      <w:szCs w:val="18"/>
    </w:rPr>
  </w:style>
  <w:style w:type="character" w:customStyle="1" w:styleId="10">
    <w:name w:val="页脚 Char"/>
    <w:link w:val="3"/>
    <w:uiPriority w:val="0"/>
    <w:rPr>
      <w:kern w:val="2"/>
      <w:sz w:val="18"/>
      <w:szCs w:val="18"/>
    </w:rPr>
  </w:style>
  <w:style w:type="paragraph" w:styleId="11">
    <w:name w:val="List Paragraph"/>
    <w:basedOn w:val="1"/>
    <w:qFormat/>
    <w:uiPriority w:val="34"/>
    <w:pPr>
      <w:ind w:firstLine="420" w:firstLineChars="200"/>
    </w:pPr>
  </w:style>
  <w:style w:type="paragraph" w:customStyle="1" w:styleId="12">
    <w:name w:val="列出段落1"/>
    <w:basedOn w:val="1"/>
    <w:uiPriority w:val="0"/>
    <w:pPr>
      <w:ind w:firstLine="420" w:firstLineChars="200"/>
    </w:pPr>
  </w:style>
  <w:style w:type="paragraph" w:customStyle="1" w:styleId="13">
    <w:name w:val="Char1 Char Char Char"/>
    <w:basedOn w:val="1"/>
    <w:uiPriority w:val="0"/>
    <w:pPr>
      <w:widowControl/>
      <w:spacing w:after="160" w:line="240" w:lineRule="exact"/>
      <w:jc w:val="left"/>
    </w:pPr>
    <w:rPr>
      <w:rFonts w:ascii="Verdana" w:hAnsi="Verdana" w:eastAsia="仿宋_GB2312"/>
      <w:kern w:val="0"/>
      <w:sz w:val="30"/>
      <w:szCs w:val="3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315</Words>
  <Characters>1802</Characters>
  <Lines>15</Lines>
  <Paragraphs>4</Paragraphs>
  <TotalTime>42</TotalTime>
  <ScaleCrop>false</ScaleCrop>
  <LinksUpToDate>false</LinksUpToDate>
  <CharactersWithSpaces>2113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2022-02-09T08:28:00Z</dcterms:created>
  <dc:creator>Administrator</dc:creator>
  <cp:lastModifiedBy>shmily陈</cp:lastModifiedBy>
  <cp:lastPrinted>2021-12-30T07:01:00Z</cp:lastPrinted>
  <dcterms:modified xsi:type="dcterms:W3CDTF">2022-02-14T01:27:58Z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3610D536A1A842FB93FE00B9B08CF72A</vt:lpwstr>
  </property>
</Properties>
</file>