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E8ED8">
      <w:pPr>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重庆市万州区工商业联合会</w:t>
      </w:r>
    </w:p>
    <w:p w14:paraId="637E3195">
      <w:pPr>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2020年部门整体绩效评估报告</w:t>
      </w:r>
    </w:p>
    <w:p w14:paraId="36619325">
      <w:pPr>
        <w:pStyle w:val="7"/>
        <w:shd w:val="clear" w:color="auto" w:fill="FFFFFF"/>
        <w:spacing w:before="0" w:beforeAutospacing="0" w:after="0" w:afterAutospacing="0" w:line="570" w:lineRule="exact"/>
        <w:ind w:firstLine="640" w:firstLineChars="200"/>
        <w:jc w:val="both"/>
        <w:rPr>
          <w:rFonts w:ascii="方正仿宋_GBK" w:eastAsia="方正仿宋_GBK"/>
          <w:sz w:val="32"/>
          <w:szCs w:val="32"/>
        </w:rPr>
      </w:pPr>
    </w:p>
    <w:p w14:paraId="789209B1">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为加强区工商业联合会</w:t>
      </w:r>
      <w:r>
        <w:rPr>
          <w:rFonts w:ascii="Times New Roman" w:hAnsi="Times New Roman" w:eastAsia="方正仿宋_GBK" w:cs="Times New Roman"/>
          <w:spacing w:val="-2"/>
          <w:sz w:val="32"/>
          <w:szCs w:val="32"/>
        </w:rPr>
        <w:t>(</w:t>
      </w:r>
      <w:r>
        <w:rPr>
          <w:rFonts w:hint="eastAsia" w:ascii="Times New Roman" w:hAnsi="Times New Roman" w:eastAsia="方正仿宋_GBK" w:cs="Times New Roman"/>
          <w:spacing w:val="-2"/>
          <w:sz w:val="32"/>
          <w:szCs w:val="32"/>
        </w:rPr>
        <w:t>以下简称“本部门”）财政资金管理，强化支出责任，提高财政资金的使用效益，建立科学、合理的财政支出绩效评价管理体系，提高本部门财政资金的使用效益，根据中共中央国务院《关于全面实施预算绩效管理的意见》（中发〔</w:t>
      </w:r>
      <w:r>
        <w:rPr>
          <w:rFonts w:ascii="Times New Roman" w:hAnsi="Times New Roman" w:eastAsia="方正仿宋_GBK" w:cs="Times New Roman"/>
          <w:spacing w:val="-2"/>
          <w:sz w:val="32"/>
          <w:szCs w:val="32"/>
        </w:rPr>
        <w:t>2018</w:t>
      </w:r>
      <w:r>
        <w:rPr>
          <w:rFonts w:hint="eastAsia" w:ascii="Times New Roman" w:hAnsi="Times New Roman" w:eastAsia="方正仿宋_GBK" w:cs="Times New Roman"/>
          <w:spacing w:val="-2"/>
          <w:sz w:val="32"/>
          <w:szCs w:val="32"/>
        </w:rPr>
        <w:t>〕</w:t>
      </w:r>
      <w:r>
        <w:rPr>
          <w:rFonts w:ascii="Times New Roman" w:hAnsi="Times New Roman" w:eastAsia="方正仿宋_GBK" w:cs="Times New Roman"/>
          <w:spacing w:val="-2"/>
          <w:sz w:val="32"/>
          <w:szCs w:val="32"/>
        </w:rPr>
        <w:t>34</w:t>
      </w:r>
      <w:r>
        <w:rPr>
          <w:rFonts w:hint="eastAsia" w:ascii="Times New Roman" w:hAnsi="Times New Roman" w:eastAsia="方正仿宋_GBK" w:cs="Times New Roman"/>
          <w:spacing w:val="-2"/>
          <w:sz w:val="32"/>
          <w:szCs w:val="32"/>
        </w:rPr>
        <w:t>号）、《重庆市委</w:t>
      </w:r>
      <w:r>
        <w:rPr>
          <w:rFonts w:ascii="Times New Roman" w:hAnsi="Times New Roman" w:eastAsia="方正仿宋_GBK" w:cs="Times New Roman"/>
          <w:spacing w:val="-2"/>
          <w:sz w:val="32"/>
          <w:szCs w:val="32"/>
        </w:rPr>
        <w:t xml:space="preserve"> </w:t>
      </w:r>
      <w:r>
        <w:rPr>
          <w:rFonts w:hint="eastAsia" w:ascii="Times New Roman" w:hAnsi="Times New Roman" w:eastAsia="方正仿宋_GBK" w:cs="Times New Roman"/>
          <w:spacing w:val="-2"/>
          <w:sz w:val="32"/>
          <w:szCs w:val="32"/>
        </w:rPr>
        <w:t>市政府关于全面实施预算绩效管理的意见》（渝委发〔</w:t>
      </w:r>
      <w:r>
        <w:rPr>
          <w:rFonts w:ascii="Times New Roman" w:hAnsi="Times New Roman" w:eastAsia="方正仿宋_GBK" w:cs="Times New Roman"/>
          <w:spacing w:val="-2"/>
          <w:sz w:val="32"/>
          <w:szCs w:val="32"/>
        </w:rPr>
        <w:t>2019</w:t>
      </w:r>
      <w:r>
        <w:rPr>
          <w:rFonts w:hint="eastAsia" w:ascii="Times New Roman" w:hAnsi="Times New Roman" w:eastAsia="方正仿宋_GBK" w:cs="Times New Roman"/>
          <w:spacing w:val="-2"/>
          <w:sz w:val="32"/>
          <w:szCs w:val="32"/>
        </w:rPr>
        <w:t>〕</w:t>
      </w:r>
      <w:r>
        <w:rPr>
          <w:rFonts w:ascii="Times New Roman" w:hAnsi="Times New Roman" w:eastAsia="方正仿宋_GBK" w:cs="Times New Roman"/>
          <w:spacing w:val="-2"/>
          <w:sz w:val="32"/>
          <w:szCs w:val="32"/>
        </w:rPr>
        <w:t>12</w:t>
      </w:r>
      <w:r>
        <w:rPr>
          <w:rFonts w:hint="eastAsia" w:ascii="Times New Roman" w:hAnsi="Times New Roman" w:eastAsia="方正仿宋_GBK" w:cs="Times New Roman"/>
          <w:spacing w:val="-2"/>
          <w:sz w:val="32"/>
          <w:szCs w:val="32"/>
        </w:rPr>
        <w:t>号）精神，从全方位、全过程、全覆盖三个层面推动预算绩效管理改革，增强预算资金主管部门和使用单位绩效意识和部门资金管理水平，根据《重庆市万州区人民政府办公室关于印发贯彻全面实施预算绩效管理任务分解方案的通知》（万州府办发〔</w:t>
      </w:r>
      <w:r>
        <w:rPr>
          <w:rFonts w:ascii="Times New Roman" w:hAnsi="Times New Roman" w:eastAsia="方正仿宋_GBK" w:cs="Times New Roman"/>
          <w:spacing w:val="-2"/>
          <w:sz w:val="32"/>
          <w:szCs w:val="32"/>
        </w:rPr>
        <w:t>2019</w:t>
      </w:r>
      <w:r>
        <w:rPr>
          <w:rFonts w:hint="eastAsia" w:ascii="Times New Roman" w:hAnsi="Times New Roman" w:eastAsia="方正仿宋_GBK" w:cs="Times New Roman"/>
          <w:spacing w:val="-2"/>
          <w:sz w:val="32"/>
          <w:szCs w:val="32"/>
        </w:rPr>
        <w:t>〕</w:t>
      </w:r>
      <w:r>
        <w:rPr>
          <w:rFonts w:ascii="Times New Roman" w:hAnsi="Times New Roman" w:eastAsia="方正仿宋_GBK" w:cs="Times New Roman"/>
          <w:spacing w:val="-2"/>
          <w:sz w:val="32"/>
          <w:szCs w:val="32"/>
        </w:rPr>
        <w:t>79</w:t>
      </w:r>
      <w:r>
        <w:rPr>
          <w:rFonts w:hint="eastAsia" w:ascii="Times New Roman" w:hAnsi="Times New Roman" w:eastAsia="方正仿宋_GBK" w:cs="Times New Roman"/>
          <w:spacing w:val="-2"/>
          <w:sz w:val="32"/>
          <w:szCs w:val="32"/>
        </w:rPr>
        <w:t>号）的要求，结合《万州区</w:t>
      </w:r>
      <w:r>
        <w:rPr>
          <w:rFonts w:ascii="Times New Roman" w:hAnsi="Times New Roman" w:eastAsia="方正仿宋_GBK" w:cs="Times New Roman"/>
          <w:spacing w:val="-2"/>
          <w:sz w:val="32"/>
          <w:szCs w:val="32"/>
        </w:rPr>
        <w:t>2020</w:t>
      </w:r>
      <w:r>
        <w:rPr>
          <w:rFonts w:hint="eastAsia" w:ascii="Times New Roman" w:hAnsi="Times New Roman" w:eastAsia="方正仿宋_GBK" w:cs="Times New Roman"/>
          <w:spacing w:val="-2"/>
          <w:sz w:val="32"/>
          <w:szCs w:val="32"/>
        </w:rPr>
        <w:t>年度经济社会发展实绩考核实施细则》和本部门实际情况，于</w:t>
      </w:r>
      <w:r>
        <w:rPr>
          <w:rFonts w:ascii="Times New Roman" w:hAnsi="Times New Roman" w:eastAsia="方正仿宋_GBK" w:cs="Times New Roman"/>
          <w:spacing w:val="-2"/>
          <w:sz w:val="32"/>
          <w:szCs w:val="32"/>
        </w:rPr>
        <w:t>2021</w:t>
      </w:r>
      <w:r>
        <w:rPr>
          <w:rFonts w:hint="eastAsia" w:ascii="Times New Roman" w:hAnsi="Times New Roman" w:eastAsia="方正仿宋_GBK" w:cs="Times New Roman"/>
          <w:spacing w:val="-2"/>
          <w:sz w:val="32"/>
          <w:szCs w:val="32"/>
        </w:rPr>
        <w:t>年</w:t>
      </w:r>
      <w:r>
        <w:rPr>
          <w:rFonts w:ascii="Times New Roman" w:hAnsi="Times New Roman" w:eastAsia="方正仿宋_GBK" w:cs="Times New Roman"/>
          <w:spacing w:val="-2"/>
          <w:sz w:val="32"/>
          <w:szCs w:val="32"/>
        </w:rPr>
        <w:t>3</w:t>
      </w:r>
      <w:r>
        <w:rPr>
          <w:rFonts w:hint="eastAsia" w:ascii="Times New Roman" w:hAnsi="Times New Roman" w:eastAsia="方正仿宋_GBK" w:cs="Times New Roman"/>
          <w:spacing w:val="-2"/>
          <w:sz w:val="32"/>
          <w:szCs w:val="32"/>
        </w:rPr>
        <w:t>月对</w:t>
      </w:r>
      <w:r>
        <w:rPr>
          <w:rFonts w:ascii="Times New Roman" w:hAnsi="Times New Roman" w:eastAsia="方正仿宋_GBK" w:cs="Times New Roman"/>
          <w:spacing w:val="-2"/>
          <w:sz w:val="32"/>
          <w:szCs w:val="32"/>
        </w:rPr>
        <w:t>2020</w:t>
      </w:r>
      <w:r>
        <w:rPr>
          <w:rFonts w:hint="eastAsia" w:ascii="Times New Roman" w:hAnsi="Times New Roman" w:eastAsia="方正仿宋_GBK" w:cs="Times New Roman"/>
          <w:spacing w:val="-2"/>
          <w:sz w:val="32"/>
          <w:szCs w:val="32"/>
        </w:rPr>
        <w:t>年本部门整体支出绩效进行了自评，本次评价遵循了“科学规范、公正公开、分类管理、绩效相关”的原则，运用了科学、合理的绩效评价指标、评价标准和评价方法，坚持客观、公正的评价。现将情况汇报如下：</w:t>
      </w:r>
    </w:p>
    <w:p w14:paraId="4FD01B3E">
      <w:pPr>
        <w:pStyle w:val="7"/>
        <w:spacing w:before="0" w:beforeAutospacing="0" w:after="0" w:afterAutospacing="0" w:line="570" w:lineRule="exact"/>
        <w:ind w:firstLine="640" w:firstLineChars="200"/>
        <w:jc w:val="both"/>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一、单位基本情况</w:t>
      </w:r>
    </w:p>
    <w:p w14:paraId="3512189D">
      <w:pPr>
        <w:pStyle w:val="7"/>
        <w:spacing w:before="0" w:beforeAutospacing="0" w:after="0" w:afterAutospacing="0" w:line="578" w:lineRule="exact"/>
        <w:ind w:firstLine="632" w:firstLineChars="200"/>
        <w:rPr>
          <w:rFonts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rPr>
        <w:t>（一）职能职责</w:t>
      </w:r>
    </w:p>
    <w:p w14:paraId="38DE92E1">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 引导非公有制经济人士践行社会主义核心价值体系，树立中国特色社会主义共同理想，树立义利兼顾、以义为先理念，学习、贯彻党和国家的方针政策，发扬自我教育的优良传统，自觉地把自身企业的发展与国家的发展结合起来，把个人富裕与全体人民的共同富裕结合起来，把遵循市场法则与发扬社会主义道德结合起来，爱国、敬业、诚信、守法、贡献，做合格的中国特色社会主义事业建设者。宣传表彰他们中的先进典型。</w:t>
      </w:r>
    </w:p>
    <w:p w14:paraId="744F82B8">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2. 引导非公有制经济人士弘扬中华传统美德，弘扬时代新风，致富思源、富而思进，积极承担社会责任，热心公益事业，投身光彩事业，加强企业文化建设，支持企业党建工作，为基层党组织开展活动、发挥作用提供必要条件。</w:t>
      </w:r>
    </w:p>
    <w:p w14:paraId="21425A1A">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3. 密切同非公有制经济人士的联系，深入了解他们的意愿和要求，向党和政府提出相关意见和建议。</w:t>
      </w:r>
    </w:p>
    <w:p w14:paraId="6525C2CE">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4. 围绕贯彻落实党的路线方针政策，参与国家有关政策、法律法规的制定和贯彻执行，促进非公有制经济市场环境、政策环境、法治环境、社会环境的改善。</w:t>
      </w:r>
    </w:p>
    <w:p w14:paraId="008E7C6E">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5. 帮助非公有制经济代表人士提高参政议政能力和水平，积极反映社情民意，有序参与政治生活和社会事务。</w:t>
      </w:r>
    </w:p>
    <w:p w14:paraId="1C67F0F8">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6. 做好非公有制经济代表人士的发现、培养、推荐和管理工作。</w:t>
      </w:r>
    </w:p>
    <w:p w14:paraId="49BD65AA">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7. 积极探索建立适应社会主义市场经济要求的服务载体和机制，为非公有制企业提供政策、信息、法律、融资、技术、人才等方面服务，引导非公有制企业按照科学发展观要求，加快经济发展方式转变和产业优化升级，推进结构调整和自主创新，不断增强市场竞争能力、抵御风险能力和可持续发展能力。</w:t>
      </w:r>
    </w:p>
    <w:p w14:paraId="1D28ACB5">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8. 增强与香港特别行政区、澳门特别行政区和台湾地区工商界的联系，促进经贸合作。积极开展民间外交，加强同国外工商界的交流合作，为非公有制企业开展国际合作提供服务。</w:t>
      </w:r>
    </w:p>
    <w:p w14:paraId="0A7F0AB0">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9. 承办政府和有关部门委托事项。组织非公有制企业参与实施国家区域发展战略，为地方经济建设服务，促进城乡、区域统筹协调发展。</w:t>
      </w:r>
    </w:p>
    <w:p w14:paraId="6F3ADA60">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10. 履行社会团体业务主管单位职责，指导和推动商会组织依照法律法规和本章程制定商会章程，完善法人治理结构，规范内部管理，发挥宣传政策、提供服务、反映诉求、维护权益、加强自律的作用，培育和发展中国特色商会组织。</w:t>
      </w:r>
    </w:p>
    <w:p w14:paraId="46709D4B">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11. 参与行业协会商会政策法律的制定。指导商会反映行业发展动态，促进行业健康发展。</w:t>
      </w:r>
    </w:p>
    <w:p w14:paraId="25AA6DBE">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12. 参与协调劳动关系三方会议，同政府部门、工会组织和其他有关企业方代表一道，共同推动劳动关系立法、健全劳动标准体系和劳动关系协调机制，共同研究解决劳动关系中的重大问题，参与劳动争议调解、仲裁。</w:t>
      </w:r>
    </w:p>
    <w:p w14:paraId="270C1B30">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13. 引导非公有制企业依法与工会就职工工资、生活福利、社会保险等涉及职工切身利益问题进行平等协商，签订集体合同。</w:t>
      </w:r>
    </w:p>
    <w:p w14:paraId="42A680A6">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14. 协调处理投资者利益和劳动者权益的关系，引导非公有制企业构建和谐劳动关系，积极创造就业岗位，严格遵守国家相关法律法规和政策措施，尊重和维护员工合法权益，协助指导非公有制企业党建工作，推动其建立工会等群团组织，积极开展活动。</w:t>
      </w:r>
    </w:p>
    <w:p w14:paraId="0A03B009">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15. 反映非公有制企业和非公有制经济人士利益诉求，维护其合法权益。参与经济纠纷的调解、仲裁。</w:t>
      </w:r>
    </w:p>
    <w:p w14:paraId="027F58CC">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16. 依法加强会产管理和保护。</w:t>
      </w:r>
    </w:p>
    <w:p w14:paraId="422075CF">
      <w:pPr>
        <w:pStyle w:val="7"/>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（二）单位构成</w:t>
      </w:r>
    </w:p>
    <w:p w14:paraId="012C0EC3">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万州区工商联是财政一级预算单位，9名行政人员，1名工勤人员，退休人员24人,共34人；内设机构3个，分别是办公室、经济部、会员部。下属 1个二级单位，2020年5月新设立重庆市万州区民营经济服务中心，为区工商联管理的公益一类、全额拨款、正科级事业单位，主要承担全区民营经济协调服务工作，工作人员4名。</w:t>
      </w:r>
    </w:p>
    <w:p w14:paraId="337245EA">
      <w:pPr>
        <w:pStyle w:val="7"/>
        <w:spacing w:before="0" w:beforeAutospacing="0" w:after="0" w:afterAutospacing="0" w:line="578" w:lineRule="exact"/>
        <w:ind w:firstLine="632" w:firstLineChars="200"/>
        <w:rPr>
          <w:rFonts w:ascii="方正楷体_GBK" w:hAnsi="方正楷体_GBK" w:eastAsia="方正楷体_GBK" w:cs="方正楷体_GBK"/>
          <w:spacing w:val="-2"/>
          <w:sz w:val="32"/>
          <w:szCs w:val="32"/>
        </w:rPr>
      </w:pPr>
      <w:r>
        <w:rPr>
          <w:rFonts w:hint="eastAsia" w:ascii="方正楷体_GBK" w:hAnsi="方正楷体_GBK" w:eastAsia="方正楷体_GBK" w:cs="方正楷体_GBK"/>
          <w:spacing w:val="-2"/>
          <w:sz w:val="32"/>
          <w:szCs w:val="32"/>
        </w:rPr>
        <w:t>（三）部门整体支出规模、使用方向和主要内容、涉及范围等</w:t>
      </w:r>
    </w:p>
    <w:p w14:paraId="3A568255">
      <w:pPr>
        <w:pStyle w:val="7"/>
        <w:spacing w:before="0" w:beforeAutospacing="0" w:after="0" w:afterAutospacing="0" w:line="578"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本部门2020年度部门整体支出359.11万元，主要用于财政供养人员公用经费、工资福利、遗属生活补助、绩效考核和健康休养费用及助推民营经济发展等项目支出。</w:t>
      </w:r>
    </w:p>
    <w:p w14:paraId="24CDE825">
      <w:pPr>
        <w:numPr>
          <w:ilvl w:val="0"/>
          <w:numId w:val="1"/>
        </w:numPr>
        <w:spacing w:line="570" w:lineRule="exact"/>
        <w:ind w:firstLine="640" w:firstLineChars="200"/>
        <w:rPr>
          <w:rFonts w:ascii="方正黑体_GBK" w:eastAsia="方正黑体_GBK"/>
          <w:sz w:val="32"/>
          <w:szCs w:val="32"/>
        </w:rPr>
      </w:pPr>
      <w:r>
        <w:rPr>
          <w:rFonts w:hint="eastAsia" w:ascii="方正黑体_GBK" w:eastAsia="方正黑体_GBK"/>
          <w:sz w:val="32"/>
          <w:szCs w:val="32"/>
        </w:rPr>
        <w:t>部门决算情况说明</w:t>
      </w:r>
    </w:p>
    <w:p w14:paraId="28B36456">
      <w:pPr>
        <w:pStyle w:val="2"/>
        <w:spacing w:line="570" w:lineRule="exact"/>
        <w:ind w:firstLine="640" w:firstLineChars="200"/>
      </w:pPr>
      <w:r>
        <w:rPr>
          <w:rFonts w:hint="eastAsia" w:ascii="楷体" w:hAnsi="楷体" w:eastAsia="楷体" w:cs="楷体"/>
        </w:rPr>
        <w:t>（一）收入支出决算总体情况说明</w:t>
      </w:r>
    </w:p>
    <w:p w14:paraId="25978347">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仿宋_GBK" w:hAnsi="方正仿宋_GBK" w:eastAsia="方正仿宋_GBK" w:cs="方正仿宋_GBK"/>
          <w:b/>
          <w:sz w:val="32"/>
          <w:szCs w:val="32"/>
        </w:rPr>
        <w:t>1.总体情况。</w:t>
      </w:r>
      <w:r>
        <w:rPr>
          <w:rFonts w:hint="eastAsia" w:ascii="Times New Roman" w:hAnsi="Times New Roman" w:eastAsia="方正仿宋_GBK" w:cs="Times New Roman"/>
          <w:spacing w:val="-2"/>
          <w:sz w:val="32"/>
          <w:szCs w:val="32"/>
        </w:rPr>
        <w:t>本部门2020年度收入总计359.11万元，支出总计359.11万元。收支较上年决算数增加1.14万元，增长3.18%，主要原因是2020年工资福利支出比2019年多6.94万元；商品服务支出比2019年少4.4万元；对个人和家庭的补助比2019年多8.1万元；项目支出比2019年减少 9.5万元。本部分的收入总计包括收入合计、用事业基金弥补收支差额、年初结转和结余，支出总计包括本年支出合计、结余分配、年末结转和结余。</w:t>
      </w:r>
    </w:p>
    <w:p w14:paraId="30E548BA">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仿宋_GBK" w:hAnsi="方正仿宋_GBK" w:eastAsia="方正仿宋_GBK" w:cs="方正仿宋_GBK"/>
          <w:b/>
          <w:sz w:val="32"/>
          <w:szCs w:val="32"/>
        </w:rPr>
        <w:t> 2.收入情况。</w:t>
      </w:r>
      <w:r>
        <w:rPr>
          <w:rFonts w:hint="eastAsia" w:ascii="Times New Roman" w:hAnsi="Times New Roman" w:eastAsia="方正仿宋_GBK" w:cs="Times New Roman"/>
          <w:spacing w:val="-2"/>
          <w:sz w:val="32"/>
          <w:szCs w:val="32"/>
        </w:rPr>
        <w:t>本部门2020年度收入合计359.11万元，较上年决算数增加1.14万元，增长3.18%，主要原因是2020年工资福利支出比2019年多6.94万元；商品服务支出比2019年少4.4万元；对个人和家庭的补助比2019年多8.1万元；项目支出比2019年减少 9.5万元。其中：财政拨款收入359.11万元，占100.00%。</w:t>
      </w:r>
    </w:p>
    <w:p w14:paraId="17C1D0E3">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仿宋_GBK" w:hAnsi="方正仿宋_GBK" w:eastAsia="方正仿宋_GBK" w:cs="方正仿宋_GBK"/>
          <w:b/>
          <w:sz w:val="32"/>
          <w:szCs w:val="32"/>
        </w:rPr>
        <w:t>3.支出情况。</w:t>
      </w:r>
      <w:r>
        <w:rPr>
          <w:rFonts w:hint="eastAsia" w:ascii="Times New Roman" w:hAnsi="Times New Roman" w:eastAsia="方正仿宋_GBK" w:cs="Times New Roman"/>
          <w:spacing w:val="-2"/>
          <w:sz w:val="32"/>
          <w:szCs w:val="32"/>
        </w:rPr>
        <w:t xml:space="preserve">本部门2020年度支出合计359.11万元，较上年决算数增加1.14万元，增长3.18%，主要原因是2020年工资福利支出比2019年多6.94万元；商品服务支出比2019年少4.4万元；对个人和家庭的补助比2019年多8.1万元；项目支出比2019年减少 9.5万元。其中：基本支出318.11万元，占88.58 %；项目支出41万元，占11.42%；此外，结余分配0万元。 </w:t>
      </w:r>
    </w:p>
    <w:p w14:paraId="34496F76">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仿宋_GBK" w:hAnsi="方正仿宋_GBK" w:eastAsia="方正仿宋_GBK" w:cs="方正仿宋_GBK"/>
          <w:b/>
          <w:sz w:val="32"/>
          <w:szCs w:val="32"/>
        </w:rPr>
        <w:t>4.结转结余情况。</w:t>
      </w:r>
      <w:r>
        <w:rPr>
          <w:rFonts w:hint="eastAsia" w:ascii="Times New Roman" w:hAnsi="Times New Roman" w:eastAsia="方正仿宋_GBK" w:cs="Times New Roman"/>
          <w:spacing w:val="-2"/>
          <w:sz w:val="32"/>
          <w:szCs w:val="32"/>
        </w:rPr>
        <w:t>本部门2020年度年末结转和结余0万元，较上年决算数增加0万元，无变化。</w:t>
      </w:r>
    </w:p>
    <w:p w14:paraId="631BF9F0">
      <w:pPr>
        <w:pStyle w:val="7"/>
        <w:spacing w:before="0" w:beforeAutospacing="0" w:after="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（二）财政拨款收入支出决算总体情况说明</w:t>
      </w:r>
    </w:p>
    <w:p w14:paraId="6D22C172">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仿宋_GBK" w:hAnsi="方正仿宋_GBK" w:eastAsia="方正仿宋_GBK" w:cs="方正仿宋_GBK"/>
          <w:b/>
          <w:sz w:val="32"/>
          <w:szCs w:val="32"/>
        </w:rPr>
        <w:t>1.收入情况。</w:t>
      </w:r>
      <w:r>
        <w:rPr>
          <w:rFonts w:hint="eastAsia" w:ascii="Times New Roman" w:hAnsi="Times New Roman" w:eastAsia="方正仿宋_GBK" w:cs="Times New Roman"/>
          <w:spacing w:val="-2"/>
          <w:sz w:val="32"/>
          <w:szCs w:val="32"/>
        </w:rPr>
        <w:t>本部门2020年度财政拨款收入359.11万元，较上年决算数增加1.14万元，增长3.18%，主要原因是2020年工资福利支出比2019年多6.94万元；商品服务支出比2019年少4.4万元；对个人和家庭的补助比2019年多8.1万元；项目支出比2019年减少 9.5万元。较年初预算数增加76.49万元，增长27.1%。主要原因是：追加和结算资金2019年目标考核奖（部分超额绩效）及离退休健康疗养费78.18万元；2019年应休未休带薪年休假资金11.1万元；增加行政、事业单位人员基本工资、社会保险费等27.08万元，退休人员一次性补助4.73万元；退休2名行政人员，减少工资及福利35.1万元；项目支出比2019年减少9.5万元。此外，年初财政拨款结转和结余0万元。</w:t>
      </w:r>
    </w:p>
    <w:p w14:paraId="65C90A2D">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仿宋_GBK" w:hAnsi="方正仿宋_GBK" w:eastAsia="方正仿宋_GBK" w:cs="方正仿宋_GBK"/>
          <w:b/>
          <w:sz w:val="32"/>
          <w:szCs w:val="32"/>
        </w:rPr>
        <w:t>2.支出情况。</w:t>
      </w:r>
      <w:r>
        <w:rPr>
          <w:rFonts w:hint="eastAsia" w:ascii="Times New Roman" w:hAnsi="Times New Roman" w:eastAsia="方正仿宋_GBK" w:cs="Times New Roman"/>
          <w:spacing w:val="-2"/>
          <w:sz w:val="32"/>
          <w:szCs w:val="32"/>
        </w:rPr>
        <w:t>本部门2020年度财政拨款支出359.11万元，较上年决算数增加1.14万元，增长3.18%，主要原因是2020年工资福利支出比2019年多6.94万元；商品服务支出比2019年少4.4万元；对个人和家庭的补助比2019年多8.1万元；项目支出比2019年减少 9.5万元。较年初预算数增加76.49万元，增长27.1%。主要原因是：追加和结算资金2019年目标考核奖（部分超额绩效）及离退休健康疗养费78.18万元；2019年应休未休带薪年休假资金11.1万元；增加行政、事业单位人员基本工资、社会保险费等27.08万元，退休人员一次性补助4.73万元；退休2名行政人员，减少工资及福利35.1万元；项目支出比2019年减少9.5万元。此外，年初财政拨款结转和结余0万元。</w:t>
      </w:r>
    </w:p>
    <w:p w14:paraId="760C465C">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仿宋_GBK" w:hAnsi="方正仿宋_GBK" w:eastAsia="方正仿宋_GBK" w:cs="方正仿宋_GBK"/>
          <w:b/>
          <w:sz w:val="32"/>
          <w:szCs w:val="32"/>
        </w:rPr>
        <w:t>3.结转结余情况。</w:t>
      </w:r>
      <w:r>
        <w:rPr>
          <w:rFonts w:hint="eastAsia" w:ascii="Times New Roman" w:hAnsi="Times New Roman" w:eastAsia="方正仿宋_GBK" w:cs="Times New Roman"/>
          <w:spacing w:val="-2"/>
          <w:sz w:val="32"/>
          <w:szCs w:val="32"/>
        </w:rPr>
        <w:t>本部门2020年度年末财政拨款结转和结余0万元，较上年决算数增加0万元，无变化。</w:t>
      </w:r>
    </w:p>
    <w:p w14:paraId="7A35D2FE">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仿宋_GBK" w:hAnsi="方正仿宋_GBK" w:eastAsia="方正仿宋_GBK" w:cs="方正仿宋_GBK"/>
          <w:b/>
          <w:sz w:val="32"/>
          <w:szCs w:val="32"/>
        </w:rPr>
        <w:t>4.比较情况。</w:t>
      </w:r>
      <w:r>
        <w:rPr>
          <w:rFonts w:hint="eastAsia" w:ascii="Times New Roman" w:hAnsi="Times New Roman" w:eastAsia="方正仿宋_GBK" w:cs="Times New Roman"/>
          <w:spacing w:val="-2"/>
          <w:sz w:val="32"/>
          <w:szCs w:val="32"/>
        </w:rPr>
        <w:t>本部门2020年度财政拨款支出主要用于以下几个方面：</w:t>
      </w:r>
    </w:p>
    <w:p w14:paraId="46CD875F">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（1）民主党派及工商联事务支出261.64万元，占72.86%，较年初预算数增加32.92万元，增长14.39%，主要原因：2020年追加了2019年目标考核奖（部分超额绩效）和2019年应休未休带薪年休假。</w:t>
      </w:r>
    </w:p>
    <w:p w14:paraId="7D83B981">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（2）社会保障与就业支出68.51万元，占19.08%，较年初预算数增加43.45万元，增长173.38%，主要原因是2020年新增1名行政人员，3名事业人员；2019年追加了离退休健康疗养费；2020年工资调整社保缴费基数上涨。</w:t>
      </w:r>
    </w:p>
    <w:p w14:paraId="76070B2A">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（3）卫生健康支出16.59万元，占4.62%，较年初预算数增加0.12万元，增长0.73%，主要原因是2020年新增1名行政人员、4名事业人员，退休2名行政人员。</w:t>
      </w:r>
    </w:p>
    <w:p w14:paraId="708DB37A">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（4）住房保障支出12.37万元，占3.44%，较年初预算数比较无增减。</w:t>
      </w:r>
    </w:p>
    <w:p w14:paraId="16B2E57D">
      <w:pPr>
        <w:pStyle w:val="7"/>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bCs/>
          <w:sz w:val="32"/>
          <w:szCs w:val="32"/>
        </w:rPr>
        <w:t>（三）一般公共预算财政拨款基本支出决算情况说明</w:t>
      </w:r>
    </w:p>
    <w:p w14:paraId="1A84D367">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本部门2020年度一般公共财政拨款基本支出359.11万元。其中：人员经费264.20万元，较上年决算数增加9.09万元，增长3.56%，主要原因是2020年新增1名行政人员、3名事业人员，退休2名行政人员；物价上涨等因素造成人员经费上涨。人员经费用途主要包括基本工资、津贴补贴、奖金、社会保障缴费、绩效工资、其他工资福利支出、遗属生活补助、医疗费、住房公积金。公用经费53.91万元，较上年决算数增加1.55万元，增长3%，主要原因是：2020年新增1名行政人员、4名事业人员，退休2名行政人员。公用经费用途主要包括办公费、印刷费、水费、电费、邮电费、咨询费、手续费、差旅费、维修费、会议费、培训费、公务接待费、劳务费、工会经费、福利费、公务车运行维护费、其他商品和服务支出。</w:t>
      </w:r>
    </w:p>
    <w:p w14:paraId="1DC75DBA">
      <w:pPr>
        <w:pStyle w:val="7"/>
        <w:spacing w:before="0" w:beforeAutospacing="0" w:after="0" w:afterAutospacing="0" w:line="570" w:lineRule="exact"/>
        <w:ind w:firstLine="480" w:firstLineChars="150"/>
        <w:jc w:val="both"/>
        <w:rPr>
          <w:rFonts w:ascii="方正仿宋_GBK" w:hAnsi="方正仿宋_GBK" w:eastAsia="方正仿宋_GBK" w:cs="方正仿宋_GBK"/>
          <w:sz w:val="32"/>
          <w:szCs w:val="32"/>
        </w:rPr>
      </w:pPr>
      <w:r>
        <w:rPr>
          <w:rFonts w:hint="eastAsia" w:ascii="方正黑体_GBK" w:hAnsi="方正黑体_GBK" w:eastAsia="方正黑体_GBK" w:cs="方正黑体_GBK"/>
          <w:bCs/>
          <w:sz w:val="32"/>
          <w:szCs w:val="32"/>
        </w:rPr>
        <w:t>（四）政府性基金预算收支决算情况说明</w:t>
      </w:r>
    </w:p>
    <w:p w14:paraId="3B87A542">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2020年度无政府性基金预算财政拨款收支。</w:t>
      </w:r>
    </w:p>
    <w:p w14:paraId="7673D065">
      <w:pPr>
        <w:spacing w:line="570" w:lineRule="exact"/>
        <w:ind w:firstLine="640" w:firstLineChars="200"/>
        <w:rPr>
          <w:sz w:val="32"/>
          <w:szCs w:val="32"/>
        </w:rPr>
      </w:pPr>
      <w:r>
        <w:rPr>
          <w:rFonts w:hint="eastAsia" w:ascii="方正黑体_GBK" w:eastAsia="方正黑体_GBK"/>
          <w:sz w:val="32"/>
          <w:szCs w:val="32"/>
        </w:rPr>
        <w:t>三、“三公”经费情况说明</w:t>
      </w:r>
      <w:r>
        <w:rPr>
          <w:rFonts w:ascii="方正黑体_GBK" w:eastAsia="方正黑体_GBK"/>
          <w:sz w:val="32"/>
          <w:szCs w:val="32"/>
        </w:rPr>
        <w:t xml:space="preserve"> </w:t>
      </w:r>
    </w:p>
    <w:p w14:paraId="3D06367C">
      <w:pPr>
        <w:pStyle w:val="7"/>
        <w:spacing w:before="0" w:beforeAutospacing="0" w:after="0" w:afterAutospacing="0" w:line="570"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（一）“三公”经费支出总体情况说明</w:t>
      </w:r>
    </w:p>
    <w:p w14:paraId="7B526517">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2020年度本部门“三公”经费支出共计2.20万元，与2019年持平。主要原因是认真贯彻落实中央八项规定精神和厉行节约要求，按照只减不增的要求从严控制三公经费。</w:t>
      </w:r>
    </w:p>
    <w:p w14:paraId="3D2C9846">
      <w:pPr>
        <w:pStyle w:val="7"/>
        <w:spacing w:before="0" w:beforeAutospacing="0" w:after="0" w:afterAutospacing="0" w:line="570" w:lineRule="exact"/>
        <w:ind w:firstLine="480" w:firstLineChars="15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（二）“三公”经费分项支出情况</w:t>
      </w:r>
    </w:p>
    <w:p w14:paraId="6C3EF520">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2020年度本部门因公出国（境）费用0万元，本单位2020年度未发生因公出国（境）费用。费用支出较年初预算增加0万元，增长0.00%，与上年持平。较上年支出数增加0万元，增长0.00%，与上年持平。</w:t>
      </w:r>
    </w:p>
    <w:p w14:paraId="52923708">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公务车购置费0万元，费用支出较年初预算数无增长，主要原因是本单位2020年无公务车购置费的预算。较上年支出数增加0万元，增长0.00%，与上年持平。</w:t>
      </w:r>
    </w:p>
    <w:p w14:paraId="6C2ECDE5">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公务用车运行维护费1.61万元，与2019年持平。主要用于机要文件交换、市内因公出行、财政业务检查等工作所需车辆的燃料费、维修费、过桥过路费、保险费等。主要原因是落实公车使用规定，严禁公车私用，较上年支出数增加0万元，增长0.00%，与上年持平。 </w:t>
      </w:r>
    </w:p>
    <w:p w14:paraId="655A0B8F">
      <w:pPr>
        <w:pStyle w:val="7"/>
        <w:spacing w:before="0" w:beforeAutospacing="0" w:after="0" w:afterAutospacing="0" w:line="570" w:lineRule="exact"/>
        <w:ind w:firstLine="632"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pacing w:val="-2"/>
          <w:sz w:val="32"/>
          <w:szCs w:val="32"/>
        </w:rPr>
        <w:t>公务接待费0.59万元，主要用于国内招商引资工作发生的接待支出。费用与2019年持平，主要原因是强化公务接待支出管理，严格遵守公务接待开支范围和开支标准，严格控制陪餐人数，对应由接待对象承担的费用一律由接待对象自行支付。</w:t>
      </w:r>
    </w:p>
    <w:p w14:paraId="059C519B">
      <w:pPr>
        <w:pStyle w:val="7"/>
        <w:spacing w:before="0" w:beforeAutospacing="0" w:after="0" w:afterAutospacing="0" w:line="570" w:lineRule="exact"/>
        <w:ind w:firstLine="480" w:firstLineChars="15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（三）“三公”经费实物量情况</w:t>
      </w:r>
    </w:p>
    <w:p w14:paraId="4FDD65B1">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2020年度本部门因公出国（境）共计0个团组，0人；公务用车购置0辆，公务车保有量为1辆；国内公务接待5批次40人，其中：国内外事接待0批次，0人；国（境）外公务接待0批次，0人。2020年本部门人均接待费147.7元，车均购置费0.00万元，车均维护费1.61万元。</w:t>
      </w:r>
    </w:p>
    <w:p w14:paraId="488E81AB">
      <w:pPr>
        <w:pStyle w:val="16"/>
        <w:tabs>
          <w:tab w:val="center" w:pos="4153"/>
          <w:tab w:val="left" w:pos="7275"/>
        </w:tabs>
        <w:spacing w:line="570" w:lineRule="exact"/>
        <w:ind w:firstLine="640"/>
        <w:rPr>
          <w:rFonts w:ascii="方正黑体_GBK" w:eastAsia="方正黑体_GBK"/>
          <w:sz w:val="32"/>
          <w:szCs w:val="32"/>
        </w:rPr>
      </w:pPr>
      <w:r>
        <w:rPr>
          <w:rFonts w:hint="eastAsia" w:ascii="方正黑体_GBK" w:eastAsia="方正黑体_GBK"/>
          <w:sz w:val="32"/>
          <w:szCs w:val="32"/>
        </w:rPr>
        <w:t>四、其他需要说明的事项</w:t>
      </w:r>
    </w:p>
    <w:p w14:paraId="5B4A29A6">
      <w:pPr>
        <w:pStyle w:val="7"/>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（一）机关运行经费情况说明。</w:t>
      </w:r>
      <w:r>
        <w:rPr>
          <w:rFonts w:hint="eastAsia" w:ascii="Times New Roman" w:hAnsi="Times New Roman" w:eastAsia="方正仿宋_GBK" w:cs="Times New Roman"/>
          <w:spacing w:val="-2"/>
          <w:sz w:val="32"/>
          <w:szCs w:val="32"/>
        </w:rPr>
        <w:t>2020年度本部门机关运行经费支出53.91万元，较上年决算数增加1.55万元，增长3%，主要原因是：2020年新增1名行政人员、4名事业人员，退休2名行政人员。</w:t>
      </w:r>
    </w:p>
    <w:p w14:paraId="6712510E">
      <w:pPr>
        <w:pStyle w:val="7"/>
        <w:spacing w:before="0" w:beforeAutospacing="0" w:after="0" w:afterAutospacing="0" w:line="570" w:lineRule="exact"/>
        <w:ind w:firstLine="640" w:firstLineChars="200"/>
        <w:jc w:val="both"/>
        <w:rPr>
          <w:rFonts w:ascii="Times New Roman" w:hAnsi="Times New Roman" w:eastAsia="方正仿宋_GBK" w:cs="Times New Roman"/>
          <w:spacing w:val="-2"/>
          <w:sz w:val="32"/>
          <w:szCs w:val="32"/>
        </w:rPr>
      </w:pPr>
      <w:r>
        <w:rPr>
          <w:rFonts w:hint="eastAsia" w:ascii="方正楷体_GBK" w:hAnsi="方正楷体_GBK" w:eastAsia="方正楷体_GBK" w:cs="方正楷体_GBK"/>
          <w:bCs/>
          <w:sz w:val="32"/>
          <w:szCs w:val="32"/>
        </w:rPr>
        <w:t>（二）国有资产占用情况说明。</w:t>
      </w:r>
      <w:r>
        <w:rPr>
          <w:rFonts w:hint="eastAsia" w:ascii="Times New Roman" w:hAnsi="Times New Roman" w:eastAsia="方正仿宋_GBK" w:cs="Times New Roman"/>
          <w:spacing w:val="-2"/>
          <w:sz w:val="32"/>
          <w:szCs w:val="32"/>
        </w:rPr>
        <w:t>截至2020年12月31日，本部门共有车辆1辆。其中：副部（省）级及以上领导用车0辆，主要领导干部用车0辆，机要通信用车1辆，应急保障用车0辆，执法执勤用车0辆，特种专业技术用车0辆，离退休干部用车0辆，其他用车0辆。单价50万元（含）以上通用设备0台（套），单价100万元（含）以上专用设备0台（套）。</w:t>
      </w:r>
    </w:p>
    <w:p w14:paraId="621B309B">
      <w:pPr>
        <w:spacing w:line="570" w:lineRule="exact"/>
        <w:ind w:firstLine="640" w:firstLineChars="200"/>
        <w:rPr>
          <w:rFonts w:ascii="Times New Roman" w:hAnsi="Times New Roman" w:eastAsia="方正仿宋_GBK"/>
          <w:spacing w:val="-2"/>
          <w:kern w:val="0"/>
          <w:sz w:val="32"/>
          <w:szCs w:val="32"/>
        </w:rPr>
      </w:pPr>
      <w:r>
        <w:rPr>
          <w:rFonts w:hint="eastAsia" w:ascii="方正楷体_GBK" w:hAnsi="方正楷体_GBK" w:eastAsia="方正楷体_GBK" w:cs="方正楷体_GBK"/>
          <w:bCs/>
          <w:kern w:val="0"/>
          <w:sz w:val="32"/>
          <w:szCs w:val="32"/>
        </w:rPr>
        <w:t>（三）政府采购支出情况说明。</w:t>
      </w:r>
      <w:r>
        <w:rPr>
          <w:rFonts w:hint="eastAsia" w:ascii="Times New Roman" w:hAnsi="Times New Roman" w:eastAsia="方正仿宋_GBK"/>
          <w:spacing w:val="-2"/>
          <w:kern w:val="0"/>
          <w:sz w:val="32"/>
          <w:szCs w:val="32"/>
        </w:rPr>
        <w:t xml:space="preserve">2020年度本单位未进行政府采购，无相关经费支出。   </w:t>
      </w:r>
    </w:p>
    <w:p w14:paraId="4B7358A8">
      <w:pPr>
        <w:spacing w:line="570" w:lineRule="exact"/>
        <w:ind w:firstLine="640" w:firstLineChars="200"/>
        <w:rPr>
          <w:rFonts w:ascii="方正仿宋_GBK" w:hAnsi="宋体" w:eastAsia="方正仿宋_GBK" w:cs="宋体"/>
          <w:b/>
          <w:kern w:val="0"/>
          <w:sz w:val="32"/>
          <w:szCs w:val="32"/>
        </w:rPr>
      </w:pPr>
      <w:r>
        <w:rPr>
          <w:rFonts w:hint="eastAsia" w:ascii="方正黑体_GBK" w:hAnsi="宋体" w:eastAsia="方正黑体_GBK" w:cs="宋体"/>
          <w:kern w:val="0"/>
          <w:sz w:val="32"/>
          <w:szCs w:val="32"/>
        </w:rPr>
        <w:t>五、预算绩效管理情况说明</w:t>
      </w:r>
    </w:p>
    <w:p w14:paraId="4595111E">
      <w:pPr>
        <w:pStyle w:val="16"/>
        <w:tabs>
          <w:tab w:val="center" w:pos="4153"/>
          <w:tab w:val="left" w:pos="7275"/>
        </w:tabs>
        <w:spacing w:line="570" w:lineRule="exact"/>
        <w:ind w:firstLine="640"/>
        <w:rPr>
          <w:rFonts w:ascii="方正仿宋_GBK" w:hAnsi="宋体" w:eastAsia="方正仿宋_GBK" w:cs="宋体"/>
          <w:kern w:val="0"/>
          <w:sz w:val="32"/>
          <w:szCs w:val="32"/>
        </w:rPr>
      </w:pPr>
      <w:r>
        <w:rPr>
          <w:rFonts w:hint="eastAsia" w:ascii="方正楷体_GBK" w:hAnsi="方正楷体_GBK" w:eastAsia="方正楷体_GBK" w:cs="方正楷体_GBK"/>
          <w:bCs/>
          <w:kern w:val="0"/>
          <w:sz w:val="32"/>
          <w:szCs w:val="32"/>
        </w:rPr>
        <w:t>（一）预算绩效管理工作开展情况</w:t>
      </w:r>
    </w:p>
    <w:p w14:paraId="2C55DB44">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根据预算绩效管理要求，本部门对1个项目开展了绩效自评，涉及资金40万元，从评价情况来看，区工商联围绕区委区政府中心工作和重大决策部署，践行“两个健康”工作主题，着力加强非公经济人士思想政治引导，大力加强基层商会组织建设和会员队伍建设，竭力推动非公经济健康发展，工商联事业呈现新面貌。</w:t>
      </w:r>
    </w:p>
    <w:p w14:paraId="530A4D48">
      <w:pPr>
        <w:pStyle w:val="16"/>
        <w:tabs>
          <w:tab w:val="center" w:pos="4153"/>
          <w:tab w:val="left" w:pos="7275"/>
        </w:tabs>
        <w:spacing w:line="570" w:lineRule="exact"/>
        <w:ind w:firstLine="640"/>
        <w:rPr>
          <w:rFonts w:ascii="方正黑体_GBK" w:hAnsi="方正黑体_GBK" w:eastAsia="方正黑体_GBK" w:cs="方正黑体_GBK"/>
          <w:bCs/>
          <w:kern w:val="0"/>
          <w:sz w:val="32"/>
          <w:szCs w:val="32"/>
        </w:rPr>
      </w:pPr>
      <w:r>
        <w:rPr>
          <w:rFonts w:hint="eastAsia" w:ascii="方正楷体_GBK" w:hAnsi="方正楷体_GBK" w:eastAsia="方正楷体_GBK" w:cs="方正楷体_GBK"/>
          <w:bCs/>
          <w:kern w:val="0"/>
          <w:sz w:val="32"/>
          <w:szCs w:val="32"/>
        </w:rPr>
        <w:t>（二）绩效自评结果</w:t>
      </w:r>
    </w:p>
    <w:p w14:paraId="361C2F42">
      <w:pPr>
        <w:pStyle w:val="16"/>
        <w:tabs>
          <w:tab w:val="center" w:pos="4153"/>
          <w:tab w:val="left" w:pos="7275"/>
        </w:tabs>
        <w:spacing w:line="570" w:lineRule="exact"/>
        <w:ind w:firstLine="64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1.绩效目标自评表</w:t>
      </w:r>
    </w:p>
    <w:p w14:paraId="4D31B81D">
      <w:pPr>
        <w:spacing w:line="600" w:lineRule="exact"/>
        <w:ind w:firstLine="632" w:firstLineChars="200"/>
        <w:rPr>
          <w:rFonts w:ascii="仿宋" w:hAnsi="仿宋" w:eastAsia="方正仿宋_GBK" w:cs="宋体"/>
          <w:kern w:val="0"/>
          <w:sz w:val="30"/>
          <w:szCs w:val="30"/>
        </w:rPr>
      </w:pPr>
      <w:r>
        <w:rPr>
          <w:rFonts w:hint="eastAsia" w:ascii="Times New Roman" w:hAnsi="Times New Roman" w:eastAsia="方正仿宋_GBK"/>
          <w:spacing w:val="-2"/>
          <w:kern w:val="0"/>
          <w:sz w:val="32"/>
          <w:szCs w:val="32"/>
        </w:rPr>
        <w:t>区工商联项目工作经费绩效目标自评综述：根据年初设定的绩效目标，项目总体完成情况较好。区工商联在区委、区政府的领导下，在市工商联和区委统战部的指导下，以习近平新时代中国特色社会主义思想为指导，深入学习贯彻党的十九大及十九届二中</w:t>
      </w:r>
      <w:r>
        <w:rPr>
          <w:rFonts w:hint="eastAsia" w:ascii="Times New Roman" w:hAnsi="Times New Roman" w:eastAsia="方正仿宋_GBK"/>
          <w:spacing w:val="-2"/>
          <w:kern w:val="0"/>
          <w:sz w:val="32"/>
          <w:szCs w:val="32"/>
          <w:lang w:eastAsia="zh-CN"/>
        </w:rPr>
        <w:t>、</w:t>
      </w:r>
      <w:r>
        <w:rPr>
          <w:rFonts w:hint="eastAsia" w:ascii="Times New Roman" w:hAnsi="Times New Roman" w:eastAsia="方正仿宋_GBK"/>
          <w:spacing w:val="-2"/>
          <w:kern w:val="0"/>
          <w:sz w:val="32"/>
          <w:szCs w:val="32"/>
        </w:rPr>
        <w:t>三中</w:t>
      </w:r>
      <w:r>
        <w:rPr>
          <w:rFonts w:hint="eastAsia" w:ascii="Times New Roman" w:hAnsi="Times New Roman" w:eastAsia="方正仿宋_GBK"/>
          <w:spacing w:val="-2"/>
          <w:kern w:val="0"/>
          <w:sz w:val="32"/>
          <w:szCs w:val="32"/>
          <w:lang w:eastAsia="zh-CN"/>
        </w:rPr>
        <w:t>、</w:t>
      </w:r>
      <w:r>
        <w:rPr>
          <w:rFonts w:hint="eastAsia" w:ascii="Times New Roman" w:hAnsi="Times New Roman" w:eastAsia="方正仿宋_GBK"/>
          <w:spacing w:val="-2"/>
          <w:kern w:val="0"/>
          <w:sz w:val="32"/>
          <w:szCs w:val="32"/>
        </w:rPr>
        <w:t>四中</w:t>
      </w:r>
      <w:r>
        <w:rPr>
          <w:rFonts w:hint="eastAsia" w:ascii="Times New Roman" w:hAnsi="Times New Roman" w:eastAsia="方正仿宋_GBK"/>
          <w:spacing w:val="-2"/>
          <w:kern w:val="0"/>
          <w:sz w:val="32"/>
          <w:szCs w:val="32"/>
          <w:lang w:eastAsia="zh-CN"/>
        </w:rPr>
        <w:t>、</w:t>
      </w:r>
      <w:r>
        <w:rPr>
          <w:rFonts w:hint="eastAsia" w:ascii="Times New Roman" w:hAnsi="Times New Roman" w:eastAsia="方正仿宋_GBK"/>
          <w:spacing w:val="-2"/>
          <w:kern w:val="0"/>
          <w:sz w:val="32"/>
          <w:szCs w:val="32"/>
        </w:rPr>
        <w:t>五中全会、习近平总书记视察重庆重要讲话、区委五届六次七次八次全会精神，紧紧围绕区委区政府中心工作，牢牢把握“两个健康”主题，坚持政治建会、团结立会、服务兴会、改革强会，不断增强工商联凝聚力、影响力和执行力，聚力助推全区经济社会发展。项目全年预算数为40万元，执行数为40万元，完成预算的100%。主要产出和效果：一是强化政治引导，扎实开展理想信念教育，大力弘扬企业家精神，抓实会员企业党的建设；二是积极调研建言献策，加强新生代非公经济人士教育培养，注重非公经济人士政治安排和选优树先；三是健全完善服务机制，完善联系服务民营企业制度，巩固深化集中走访精准服务民营企业活动，健全困难问题办理机制，坚持政银企对接制度，竭力为民企纾困解难；四是推进民营企业转型升级，引导民营企业贯彻实施“以大数据智能化为引领的创新驱动发展战略行动计划”，加强与相关部门交流合作，大力招商引资；五是聚焦精准扶贫，深化“民企帮村”精准扶贫行动，推进东西部扶贫协作。下一步工作：一是突出政治思想引领。加强民营经济人士教育引导，引领民营经济人士听党话、跟党走。深入推进理想信念教育实践活动，增强民营经济人士信念、信任、信心、信义。二是推进基层商会改革发展。开展商会建设年活动，全面发挥商会职能作用，着力规范商会组织建设，切实改进商会管理服务，更好发挥商会在党的统战工作和经济工作中的重要作用。三是深化服务民营企业。适应新时代民营经济统战工作新要求，建设高素质民营经济代表人士队伍。坚持和完善服务民营企业制度机制，做深做实企业融资、法律维权、帮企解困等服务，助力民营企业高质量发展。四是强化自身建设。协力搞好区工商联（总商会）换届工作。巩固“不忘初心、牢记使命”主题教育成果，持续推进“两学一做”学习教育常态化制度化，切实改进工作作风。加强职工素质和能力培养，增强履职尽责的本领，全面提升工作执行力和工作效能。</w:t>
      </w:r>
    </w:p>
    <w:p w14:paraId="35718E63">
      <w:pPr>
        <w:spacing w:line="600" w:lineRule="exact"/>
        <w:ind w:firstLine="480" w:firstLineChars="200"/>
        <w:rPr>
          <w:rFonts w:ascii="方正黑体_GBK" w:hAnsi="宋体" w:eastAsia="方正黑体_GBK" w:cs="宋体"/>
          <w:kern w:val="0"/>
          <w:sz w:val="24"/>
        </w:rPr>
      </w:pPr>
      <w:r>
        <w:rPr>
          <w:rFonts w:hint="eastAsia" w:ascii="方正黑体_GBK" w:hAnsi="宋体" w:eastAsia="方正黑体_GBK" w:cs="宋体"/>
          <w:kern w:val="0"/>
          <w:sz w:val="24"/>
        </w:rPr>
        <w:t>表</w:t>
      </w:r>
      <w:r>
        <w:rPr>
          <w:rFonts w:ascii="方正黑体_GBK" w:hAnsi="宋体" w:eastAsia="方正黑体_GBK" w:cs="宋体"/>
          <w:kern w:val="0"/>
          <w:sz w:val="24"/>
        </w:rPr>
        <w:t>1</w:t>
      </w:r>
    </w:p>
    <w:tbl>
      <w:tblPr>
        <w:tblStyle w:val="8"/>
        <w:tblW w:w="9587" w:type="dxa"/>
        <w:tblInd w:w="58" w:type="dxa"/>
        <w:tblLayout w:type="fixed"/>
        <w:tblCellMar>
          <w:top w:w="0" w:type="dxa"/>
          <w:left w:w="108" w:type="dxa"/>
          <w:bottom w:w="0" w:type="dxa"/>
          <w:right w:w="108" w:type="dxa"/>
        </w:tblCellMar>
      </w:tblPr>
      <w:tblGrid>
        <w:gridCol w:w="622"/>
        <w:gridCol w:w="621"/>
        <w:gridCol w:w="866"/>
        <w:gridCol w:w="109"/>
        <w:gridCol w:w="1316"/>
        <w:gridCol w:w="3122"/>
        <w:gridCol w:w="948"/>
        <w:gridCol w:w="1983"/>
      </w:tblGrid>
      <w:tr w14:paraId="5D162775">
        <w:tblPrEx>
          <w:tblCellMar>
            <w:top w:w="0" w:type="dxa"/>
            <w:left w:w="108" w:type="dxa"/>
            <w:bottom w:w="0" w:type="dxa"/>
            <w:right w:w="108" w:type="dxa"/>
          </w:tblCellMar>
        </w:tblPrEx>
        <w:trPr>
          <w:trHeight w:val="604" w:hRule="atLeast"/>
        </w:trPr>
        <w:tc>
          <w:tcPr>
            <w:tcW w:w="9587" w:type="dxa"/>
            <w:gridSpan w:val="8"/>
            <w:tcBorders>
              <w:top w:val="nil"/>
              <w:left w:val="nil"/>
              <w:bottom w:val="nil"/>
              <w:right w:val="nil"/>
            </w:tcBorders>
            <w:vAlign w:val="center"/>
          </w:tcPr>
          <w:p w14:paraId="406FB033">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项目资金绩效目标自评表</w:t>
            </w:r>
            <w:r>
              <w:rPr>
                <w:rFonts w:ascii="方正小标宋_GBK" w:hAnsi="宋体" w:eastAsia="方正小标宋_GBK" w:cs="宋体"/>
                <w:color w:val="000000"/>
                <w:kern w:val="0"/>
                <w:sz w:val="40"/>
                <w:szCs w:val="40"/>
              </w:rPr>
              <w:t xml:space="preserve"> </w:t>
            </w:r>
          </w:p>
        </w:tc>
      </w:tr>
      <w:tr w14:paraId="151CA6FA">
        <w:tblPrEx>
          <w:tblCellMar>
            <w:top w:w="0" w:type="dxa"/>
            <w:left w:w="108" w:type="dxa"/>
            <w:bottom w:w="0" w:type="dxa"/>
            <w:right w:w="108" w:type="dxa"/>
          </w:tblCellMar>
        </w:tblPrEx>
        <w:trPr>
          <w:trHeight w:val="360" w:hRule="atLeast"/>
        </w:trPr>
        <w:tc>
          <w:tcPr>
            <w:tcW w:w="9587" w:type="dxa"/>
            <w:gridSpan w:val="8"/>
            <w:tcBorders>
              <w:top w:val="nil"/>
              <w:left w:val="nil"/>
              <w:bottom w:val="single" w:color="auto" w:sz="4" w:space="0"/>
              <w:right w:val="nil"/>
            </w:tcBorders>
            <w:vAlign w:val="center"/>
          </w:tcPr>
          <w:p w14:paraId="619A14E5">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r>
              <w:rPr>
                <w:rFonts w:ascii="方正仿宋_GBK" w:hAnsi="宋体" w:eastAsia="方正仿宋_GBK" w:cs="宋体"/>
                <w:color w:val="000000"/>
                <w:kern w:val="0"/>
                <w:sz w:val="20"/>
                <w:szCs w:val="20"/>
              </w:rPr>
              <w:t>2020</w:t>
            </w:r>
            <w:r>
              <w:rPr>
                <w:rFonts w:hint="eastAsia" w:ascii="方正仿宋_GBK" w:hAnsi="宋体" w:eastAsia="方正仿宋_GBK" w:cs="宋体"/>
                <w:color w:val="000000"/>
                <w:kern w:val="0"/>
                <w:sz w:val="20"/>
                <w:szCs w:val="20"/>
              </w:rPr>
              <w:t>年度）</w:t>
            </w:r>
          </w:p>
        </w:tc>
      </w:tr>
      <w:tr w14:paraId="3C00B2B9">
        <w:tblPrEx>
          <w:tblCellMar>
            <w:top w:w="0" w:type="dxa"/>
            <w:left w:w="108" w:type="dxa"/>
            <w:bottom w:w="0" w:type="dxa"/>
            <w:right w:w="108" w:type="dxa"/>
          </w:tblCellMar>
        </w:tblPrEx>
        <w:trPr>
          <w:trHeight w:val="495" w:hRule="atLeast"/>
        </w:trPr>
        <w:tc>
          <w:tcPr>
            <w:tcW w:w="622" w:type="dxa"/>
            <w:tcBorders>
              <w:top w:val="single" w:color="auto" w:sz="4" w:space="0"/>
              <w:left w:val="single" w:color="auto" w:sz="4" w:space="0"/>
              <w:bottom w:val="single" w:color="auto" w:sz="4" w:space="0"/>
              <w:right w:val="single" w:color="auto" w:sz="4" w:space="0"/>
            </w:tcBorders>
            <w:vAlign w:val="center"/>
          </w:tcPr>
          <w:p w14:paraId="64C5BD02">
            <w:pPr>
              <w:widowControl/>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1487" w:type="dxa"/>
            <w:gridSpan w:val="2"/>
            <w:tcBorders>
              <w:top w:val="single" w:color="auto" w:sz="4" w:space="0"/>
              <w:left w:val="nil"/>
              <w:bottom w:val="single" w:color="auto" w:sz="4" w:space="0"/>
              <w:right w:val="single" w:color="auto" w:sz="4" w:space="0"/>
            </w:tcBorders>
            <w:vAlign w:val="center"/>
          </w:tcPr>
          <w:p w14:paraId="64C748BE">
            <w:pPr>
              <w:widowControl/>
              <w:jc w:val="center"/>
              <w:rPr>
                <w:rFonts w:ascii="宋体" w:cs="宋体"/>
                <w:color w:val="000000"/>
                <w:kern w:val="0"/>
                <w:sz w:val="20"/>
                <w:szCs w:val="20"/>
              </w:rPr>
            </w:pPr>
            <w:r>
              <w:rPr>
                <w:rFonts w:hint="eastAsia" w:ascii="宋体" w:hAnsi="宋体" w:cs="宋体"/>
                <w:color w:val="000000"/>
                <w:kern w:val="0"/>
                <w:sz w:val="20"/>
                <w:szCs w:val="20"/>
              </w:rPr>
              <w:t>民企发展工作经费</w:t>
            </w:r>
          </w:p>
        </w:tc>
        <w:tc>
          <w:tcPr>
            <w:tcW w:w="4547" w:type="dxa"/>
            <w:gridSpan w:val="3"/>
            <w:tcBorders>
              <w:top w:val="single" w:color="auto" w:sz="4" w:space="0"/>
              <w:left w:val="nil"/>
              <w:bottom w:val="single" w:color="auto" w:sz="4" w:space="0"/>
              <w:right w:val="single" w:color="auto" w:sz="4" w:space="0"/>
            </w:tcBorders>
            <w:vAlign w:val="center"/>
          </w:tcPr>
          <w:p w14:paraId="2CFF361C">
            <w:pPr>
              <w:widowControl/>
              <w:jc w:val="center"/>
              <w:rPr>
                <w:rFonts w:ascii="宋体" w:cs="宋体"/>
                <w:color w:val="000000"/>
                <w:kern w:val="0"/>
                <w:sz w:val="20"/>
                <w:szCs w:val="20"/>
              </w:rPr>
            </w:pPr>
            <w:r>
              <w:rPr>
                <w:rFonts w:hint="eastAsia" w:ascii="宋体" w:hAnsi="宋体" w:cs="宋体"/>
                <w:color w:val="000000"/>
                <w:kern w:val="0"/>
                <w:sz w:val="20"/>
                <w:szCs w:val="20"/>
              </w:rPr>
              <w:t>联系人及电话</w:t>
            </w:r>
          </w:p>
        </w:tc>
        <w:tc>
          <w:tcPr>
            <w:tcW w:w="2931" w:type="dxa"/>
            <w:gridSpan w:val="2"/>
            <w:tcBorders>
              <w:top w:val="single" w:color="auto" w:sz="4" w:space="0"/>
              <w:left w:val="nil"/>
              <w:bottom w:val="single" w:color="auto" w:sz="4" w:space="0"/>
              <w:right w:val="single" w:color="auto" w:sz="4" w:space="0"/>
            </w:tcBorders>
            <w:noWrap/>
            <w:vAlign w:val="center"/>
          </w:tcPr>
          <w:p w14:paraId="20B4D44C">
            <w:pPr>
              <w:widowControl/>
              <w:jc w:val="center"/>
              <w:rPr>
                <w:rFonts w:ascii="宋体" w:cs="宋体"/>
                <w:color w:val="000000"/>
                <w:kern w:val="0"/>
                <w:sz w:val="20"/>
                <w:szCs w:val="20"/>
              </w:rPr>
            </w:pPr>
            <w:r>
              <w:rPr>
                <w:rFonts w:hint="eastAsia" w:ascii="宋体" w:hAnsi="宋体" w:cs="宋体"/>
                <w:color w:val="000000"/>
                <w:kern w:val="0"/>
                <w:sz w:val="20"/>
                <w:szCs w:val="20"/>
              </w:rPr>
              <w:t>潘小莉</w:t>
            </w:r>
            <w:r>
              <w:rPr>
                <w:rFonts w:ascii="宋体" w:hAnsi="宋体" w:cs="宋体"/>
                <w:color w:val="000000"/>
                <w:kern w:val="0"/>
                <w:sz w:val="20"/>
                <w:szCs w:val="20"/>
              </w:rPr>
              <w:t xml:space="preserve">  58137659</w:t>
            </w:r>
          </w:p>
        </w:tc>
      </w:tr>
      <w:tr w14:paraId="7B2EF689">
        <w:tblPrEx>
          <w:tblCellMar>
            <w:top w:w="0" w:type="dxa"/>
            <w:left w:w="108" w:type="dxa"/>
            <w:bottom w:w="0" w:type="dxa"/>
            <w:right w:w="108" w:type="dxa"/>
          </w:tblCellMar>
        </w:tblPrEx>
        <w:trPr>
          <w:trHeight w:val="495" w:hRule="atLeast"/>
        </w:trPr>
        <w:tc>
          <w:tcPr>
            <w:tcW w:w="622" w:type="dxa"/>
            <w:tcBorders>
              <w:top w:val="single" w:color="auto" w:sz="4" w:space="0"/>
              <w:left w:val="single" w:color="auto" w:sz="4" w:space="0"/>
              <w:bottom w:val="single" w:color="auto" w:sz="4" w:space="0"/>
              <w:right w:val="single" w:color="auto" w:sz="4" w:space="0"/>
            </w:tcBorders>
            <w:vAlign w:val="center"/>
          </w:tcPr>
          <w:p w14:paraId="2F86ACBA">
            <w:pPr>
              <w:widowControl/>
              <w:jc w:val="center"/>
              <w:rPr>
                <w:rFonts w:ascii="宋体" w:cs="宋体"/>
                <w:color w:val="000000"/>
                <w:kern w:val="0"/>
                <w:sz w:val="20"/>
                <w:szCs w:val="20"/>
              </w:rPr>
            </w:pPr>
            <w:r>
              <w:rPr>
                <w:rFonts w:hint="eastAsia" w:ascii="宋体" w:hAnsi="宋体" w:cs="宋体"/>
                <w:color w:val="000000"/>
                <w:kern w:val="0"/>
                <w:sz w:val="20"/>
                <w:szCs w:val="20"/>
              </w:rPr>
              <w:t>主管部门</w:t>
            </w:r>
          </w:p>
        </w:tc>
        <w:tc>
          <w:tcPr>
            <w:tcW w:w="1487" w:type="dxa"/>
            <w:gridSpan w:val="2"/>
            <w:tcBorders>
              <w:top w:val="single" w:color="auto" w:sz="4" w:space="0"/>
              <w:left w:val="nil"/>
              <w:bottom w:val="single" w:color="auto" w:sz="4" w:space="0"/>
              <w:right w:val="single" w:color="auto" w:sz="4" w:space="0"/>
            </w:tcBorders>
            <w:vAlign w:val="center"/>
          </w:tcPr>
          <w:p w14:paraId="215B0F11">
            <w:pPr>
              <w:widowControl/>
              <w:jc w:val="center"/>
              <w:rPr>
                <w:rFonts w:ascii="宋体" w:cs="宋体"/>
                <w:color w:val="000000"/>
                <w:kern w:val="0"/>
                <w:sz w:val="20"/>
                <w:szCs w:val="20"/>
              </w:rPr>
            </w:pPr>
            <w:r>
              <w:rPr>
                <w:rFonts w:hint="eastAsia" w:ascii="宋体" w:hAnsi="宋体" w:cs="宋体"/>
                <w:color w:val="000000"/>
                <w:kern w:val="0"/>
                <w:sz w:val="20"/>
                <w:szCs w:val="20"/>
              </w:rPr>
              <w:t>区工商联</w:t>
            </w:r>
          </w:p>
        </w:tc>
        <w:tc>
          <w:tcPr>
            <w:tcW w:w="4547" w:type="dxa"/>
            <w:gridSpan w:val="3"/>
            <w:tcBorders>
              <w:top w:val="single" w:color="auto" w:sz="4" w:space="0"/>
              <w:left w:val="nil"/>
              <w:bottom w:val="single" w:color="auto" w:sz="4" w:space="0"/>
              <w:right w:val="single" w:color="auto" w:sz="4" w:space="0"/>
            </w:tcBorders>
            <w:vAlign w:val="center"/>
          </w:tcPr>
          <w:p w14:paraId="050FCAE0">
            <w:pPr>
              <w:widowControl/>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931" w:type="dxa"/>
            <w:gridSpan w:val="2"/>
            <w:tcBorders>
              <w:top w:val="single" w:color="auto" w:sz="4" w:space="0"/>
              <w:left w:val="nil"/>
              <w:bottom w:val="single" w:color="auto" w:sz="4" w:space="0"/>
              <w:right w:val="single" w:color="auto" w:sz="4" w:space="0"/>
            </w:tcBorders>
            <w:noWrap/>
            <w:vAlign w:val="center"/>
          </w:tcPr>
          <w:p w14:paraId="2FAD41ED">
            <w:pPr>
              <w:widowControl/>
              <w:jc w:val="center"/>
              <w:rPr>
                <w:rFonts w:ascii="宋体" w:cs="宋体"/>
                <w:color w:val="000000"/>
                <w:kern w:val="0"/>
                <w:sz w:val="20"/>
                <w:szCs w:val="20"/>
              </w:rPr>
            </w:pPr>
            <w:r>
              <w:rPr>
                <w:rFonts w:hint="eastAsia" w:ascii="宋体" w:hAnsi="宋体" w:cs="宋体"/>
                <w:color w:val="000000"/>
                <w:kern w:val="0"/>
                <w:sz w:val="20"/>
                <w:szCs w:val="20"/>
              </w:rPr>
              <w:t>区工商联</w:t>
            </w:r>
          </w:p>
        </w:tc>
      </w:tr>
      <w:tr w14:paraId="03304B41">
        <w:tblPrEx>
          <w:tblCellMar>
            <w:top w:w="0" w:type="dxa"/>
            <w:left w:w="108" w:type="dxa"/>
            <w:bottom w:w="0" w:type="dxa"/>
            <w:right w:w="108" w:type="dxa"/>
          </w:tblCellMar>
        </w:tblPrEx>
        <w:trPr>
          <w:trHeight w:val="495" w:hRule="atLeast"/>
        </w:trPr>
        <w:tc>
          <w:tcPr>
            <w:tcW w:w="622" w:type="dxa"/>
            <w:vMerge w:val="restart"/>
            <w:tcBorders>
              <w:top w:val="single" w:color="auto" w:sz="4" w:space="0"/>
              <w:left w:val="single" w:color="auto" w:sz="4" w:space="0"/>
              <w:bottom w:val="single" w:color="auto" w:sz="4" w:space="0"/>
              <w:right w:val="single" w:color="auto" w:sz="4" w:space="0"/>
            </w:tcBorders>
            <w:vAlign w:val="center"/>
          </w:tcPr>
          <w:p w14:paraId="6A3A382B">
            <w:pPr>
              <w:widowControl/>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487" w:type="dxa"/>
            <w:gridSpan w:val="2"/>
            <w:tcBorders>
              <w:top w:val="single" w:color="auto" w:sz="4" w:space="0"/>
              <w:left w:val="nil"/>
              <w:bottom w:val="single" w:color="auto" w:sz="4" w:space="0"/>
              <w:right w:val="single" w:color="auto" w:sz="4" w:space="0"/>
            </w:tcBorders>
            <w:vAlign w:val="center"/>
          </w:tcPr>
          <w:p w14:paraId="1A2F65CD">
            <w:pPr>
              <w:widowControl/>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5495" w:type="dxa"/>
            <w:gridSpan w:val="4"/>
            <w:tcBorders>
              <w:top w:val="single" w:color="auto" w:sz="4" w:space="0"/>
              <w:left w:val="nil"/>
              <w:bottom w:val="single" w:color="auto" w:sz="4" w:space="0"/>
              <w:right w:val="single" w:color="auto" w:sz="4" w:space="0"/>
            </w:tcBorders>
            <w:vAlign w:val="center"/>
          </w:tcPr>
          <w:p w14:paraId="30C547C8">
            <w:pPr>
              <w:widowControl/>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983" w:type="dxa"/>
            <w:tcBorders>
              <w:top w:val="single" w:color="auto" w:sz="4" w:space="0"/>
              <w:left w:val="nil"/>
              <w:bottom w:val="single" w:color="auto" w:sz="4" w:space="0"/>
              <w:right w:val="single" w:color="auto" w:sz="4" w:space="0"/>
            </w:tcBorders>
            <w:vAlign w:val="center"/>
          </w:tcPr>
          <w:p w14:paraId="0095EA0F">
            <w:pPr>
              <w:widowControl/>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14:paraId="3857F389">
        <w:tblPrEx>
          <w:tblCellMar>
            <w:top w:w="0" w:type="dxa"/>
            <w:left w:w="108" w:type="dxa"/>
            <w:bottom w:w="0" w:type="dxa"/>
            <w:right w:w="108" w:type="dxa"/>
          </w:tblCellMar>
        </w:tblPrEx>
        <w:trPr>
          <w:trHeight w:val="495"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14:paraId="735C20DD">
            <w:pPr>
              <w:widowControl/>
              <w:jc w:val="left"/>
              <w:rPr>
                <w:rFonts w:ascii="宋体" w:cs="宋体"/>
                <w:color w:val="000000"/>
                <w:kern w:val="0"/>
                <w:sz w:val="20"/>
                <w:szCs w:val="20"/>
              </w:rPr>
            </w:pPr>
          </w:p>
        </w:tc>
        <w:tc>
          <w:tcPr>
            <w:tcW w:w="621" w:type="dxa"/>
            <w:tcBorders>
              <w:top w:val="single" w:color="auto" w:sz="4" w:space="0"/>
              <w:left w:val="nil"/>
              <w:bottom w:val="single" w:color="auto" w:sz="4" w:space="0"/>
              <w:right w:val="single" w:color="auto" w:sz="4" w:space="0"/>
            </w:tcBorders>
            <w:vAlign w:val="center"/>
          </w:tcPr>
          <w:p w14:paraId="4E3F7DBD">
            <w:pPr>
              <w:widowControl/>
              <w:jc w:val="left"/>
              <w:rPr>
                <w:rFonts w:ascii="宋体" w:cs="宋体"/>
                <w:color w:val="000000"/>
                <w:kern w:val="0"/>
                <w:sz w:val="20"/>
                <w:szCs w:val="20"/>
              </w:rPr>
            </w:pPr>
            <w:r>
              <w:rPr>
                <w:rFonts w:hint="eastAsia" w:ascii="宋体" w:hAnsi="宋体" w:cs="宋体"/>
                <w:color w:val="000000"/>
                <w:kern w:val="0"/>
                <w:sz w:val="20"/>
                <w:szCs w:val="20"/>
              </w:rPr>
              <w:t>总量</w:t>
            </w:r>
          </w:p>
        </w:tc>
        <w:tc>
          <w:tcPr>
            <w:tcW w:w="866" w:type="dxa"/>
            <w:tcBorders>
              <w:top w:val="single" w:color="auto" w:sz="4" w:space="0"/>
              <w:left w:val="nil"/>
              <w:bottom w:val="single" w:color="auto" w:sz="4" w:space="0"/>
              <w:right w:val="single" w:color="auto" w:sz="4" w:space="0"/>
            </w:tcBorders>
            <w:vAlign w:val="center"/>
          </w:tcPr>
          <w:p w14:paraId="07FD05B9">
            <w:pPr>
              <w:widowControl/>
              <w:jc w:val="center"/>
              <w:rPr>
                <w:rFonts w:ascii="宋体" w:cs="宋体"/>
                <w:color w:val="000000"/>
                <w:kern w:val="0"/>
                <w:sz w:val="20"/>
                <w:szCs w:val="20"/>
              </w:rPr>
            </w:pPr>
            <w:r>
              <w:rPr>
                <w:rFonts w:ascii="宋体" w:hAnsi="宋体" w:cs="宋体"/>
                <w:color w:val="000000"/>
                <w:kern w:val="0"/>
                <w:sz w:val="20"/>
                <w:szCs w:val="20"/>
              </w:rPr>
              <w:t>40</w:t>
            </w:r>
            <w:r>
              <w:rPr>
                <w:rFonts w:hint="eastAsia" w:ascii="宋体" w:hAnsi="宋体" w:cs="宋体"/>
                <w:color w:val="000000"/>
                <w:kern w:val="0"/>
                <w:sz w:val="20"/>
                <w:szCs w:val="20"/>
              </w:rPr>
              <w:t>万元</w:t>
            </w:r>
          </w:p>
        </w:tc>
        <w:tc>
          <w:tcPr>
            <w:tcW w:w="4547" w:type="dxa"/>
            <w:gridSpan w:val="3"/>
            <w:tcBorders>
              <w:top w:val="single" w:color="auto" w:sz="4" w:space="0"/>
              <w:left w:val="nil"/>
              <w:bottom w:val="single" w:color="auto" w:sz="4" w:space="0"/>
              <w:right w:val="single" w:color="auto" w:sz="4" w:space="0"/>
            </w:tcBorders>
            <w:vAlign w:val="center"/>
          </w:tcPr>
          <w:p w14:paraId="44AB5CF3">
            <w:pPr>
              <w:widowControl/>
              <w:jc w:val="left"/>
              <w:rPr>
                <w:rFonts w:ascii="宋体" w:cs="宋体"/>
                <w:color w:val="000000"/>
                <w:kern w:val="0"/>
                <w:sz w:val="20"/>
                <w:szCs w:val="20"/>
              </w:rPr>
            </w:pPr>
            <w:r>
              <w:rPr>
                <w:rFonts w:hint="eastAsia" w:ascii="宋体" w:hAnsi="宋体" w:cs="宋体"/>
                <w:color w:val="000000"/>
                <w:kern w:val="0"/>
                <w:sz w:val="20"/>
                <w:szCs w:val="20"/>
              </w:rPr>
              <w:t>总量</w:t>
            </w:r>
          </w:p>
        </w:tc>
        <w:tc>
          <w:tcPr>
            <w:tcW w:w="948" w:type="dxa"/>
            <w:tcBorders>
              <w:top w:val="single" w:color="auto" w:sz="4" w:space="0"/>
              <w:left w:val="nil"/>
              <w:bottom w:val="single" w:color="auto" w:sz="4" w:space="0"/>
              <w:right w:val="single" w:color="auto" w:sz="4" w:space="0"/>
            </w:tcBorders>
            <w:vAlign w:val="center"/>
          </w:tcPr>
          <w:p w14:paraId="6C849D80">
            <w:pPr>
              <w:widowControl/>
              <w:jc w:val="center"/>
              <w:rPr>
                <w:rFonts w:ascii="宋体" w:cs="宋体"/>
                <w:color w:val="000000"/>
                <w:kern w:val="0"/>
                <w:sz w:val="20"/>
                <w:szCs w:val="20"/>
              </w:rPr>
            </w:pPr>
            <w:r>
              <w:rPr>
                <w:rFonts w:ascii="宋体" w:hAnsi="宋体" w:cs="宋体"/>
                <w:color w:val="000000"/>
                <w:kern w:val="0"/>
                <w:sz w:val="20"/>
                <w:szCs w:val="20"/>
              </w:rPr>
              <w:t>40</w:t>
            </w:r>
            <w:r>
              <w:rPr>
                <w:rFonts w:hint="eastAsia" w:ascii="宋体" w:hAnsi="宋体" w:cs="宋体"/>
                <w:color w:val="000000"/>
                <w:kern w:val="0"/>
                <w:sz w:val="20"/>
                <w:szCs w:val="20"/>
              </w:rPr>
              <w:t>万元</w:t>
            </w:r>
          </w:p>
        </w:tc>
        <w:tc>
          <w:tcPr>
            <w:tcW w:w="1983" w:type="dxa"/>
            <w:tcBorders>
              <w:top w:val="single" w:color="auto" w:sz="4" w:space="0"/>
              <w:left w:val="nil"/>
              <w:bottom w:val="single" w:color="auto" w:sz="4" w:space="0"/>
              <w:right w:val="single" w:color="auto" w:sz="4" w:space="0"/>
            </w:tcBorders>
            <w:vAlign w:val="center"/>
          </w:tcPr>
          <w:p w14:paraId="549AA8FC">
            <w:pPr>
              <w:widowControl/>
              <w:jc w:val="center"/>
              <w:rPr>
                <w:rFonts w:ascii="宋体" w:cs="宋体"/>
                <w:color w:val="000000"/>
                <w:kern w:val="0"/>
                <w:sz w:val="20"/>
                <w:szCs w:val="20"/>
              </w:rPr>
            </w:pPr>
            <w:r>
              <w:rPr>
                <w:rFonts w:ascii="宋体" w:hAnsi="宋体" w:cs="宋体"/>
                <w:color w:val="000000"/>
                <w:kern w:val="0"/>
                <w:sz w:val="20"/>
                <w:szCs w:val="20"/>
              </w:rPr>
              <w:t>100%</w:t>
            </w:r>
          </w:p>
        </w:tc>
      </w:tr>
      <w:tr w14:paraId="258998F9">
        <w:tblPrEx>
          <w:tblCellMar>
            <w:top w:w="0" w:type="dxa"/>
            <w:left w:w="108" w:type="dxa"/>
            <w:bottom w:w="0" w:type="dxa"/>
            <w:right w:w="108" w:type="dxa"/>
          </w:tblCellMar>
        </w:tblPrEx>
        <w:trPr>
          <w:trHeight w:val="495"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14:paraId="20B1E5E7">
            <w:pPr>
              <w:widowControl/>
              <w:jc w:val="left"/>
              <w:rPr>
                <w:rFonts w:ascii="宋体" w:cs="宋体"/>
                <w:color w:val="000000"/>
                <w:kern w:val="0"/>
                <w:sz w:val="20"/>
                <w:szCs w:val="20"/>
              </w:rPr>
            </w:pPr>
          </w:p>
        </w:tc>
        <w:tc>
          <w:tcPr>
            <w:tcW w:w="621" w:type="dxa"/>
            <w:tcBorders>
              <w:top w:val="single" w:color="auto" w:sz="4" w:space="0"/>
              <w:left w:val="nil"/>
              <w:bottom w:val="single" w:color="auto" w:sz="4" w:space="0"/>
              <w:right w:val="single" w:color="auto" w:sz="4" w:space="0"/>
            </w:tcBorders>
            <w:vAlign w:val="center"/>
          </w:tcPr>
          <w:p w14:paraId="2F34C4A6">
            <w:pPr>
              <w:widowControl/>
              <w:jc w:val="left"/>
              <w:rPr>
                <w:rFonts w:ascii="宋体" w:cs="宋体"/>
                <w:color w:val="000000"/>
                <w:kern w:val="0"/>
                <w:sz w:val="20"/>
                <w:szCs w:val="20"/>
              </w:rPr>
            </w:pPr>
            <w:r>
              <w:rPr>
                <w:rFonts w:hint="eastAsia" w:ascii="宋体" w:hAnsi="宋体" w:cs="宋体"/>
                <w:color w:val="000000"/>
                <w:kern w:val="0"/>
                <w:sz w:val="20"/>
                <w:szCs w:val="20"/>
              </w:rPr>
              <w:t>其中：财政资金</w:t>
            </w:r>
          </w:p>
        </w:tc>
        <w:tc>
          <w:tcPr>
            <w:tcW w:w="866" w:type="dxa"/>
            <w:tcBorders>
              <w:top w:val="single" w:color="auto" w:sz="4" w:space="0"/>
              <w:left w:val="nil"/>
              <w:bottom w:val="single" w:color="auto" w:sz="4" w:space="0"/>
              <w:right w:val="single" w:color="auto" w:sz="4" w:space="0"/>
            </w:tcBorders>
            <w:vAlign w:val="center"/>
          </w:tcPr>
          <w:p w14:paraId="02B37740">
            <w:pPr>
              <w:widowControl/>
              <w:jc w:val="center"/>
              <w:rPr>
                <w:rFonts w:ascii="宋体" w:cs="宋体"/>
                <w:color w:val="000000"/>
                <w:kern w:val="0"/>
                <w:sz w:val="20"/>
                <w:szCs w:val="20"/>
              </w:rPr>
            </w:pPr>
            <w:r>
              <w:rPr>
                <w:rFonts w:ascii="宋体" w:hAnsi="宋体" w:cs="宋体"/>
                <w:color w:val="000000"/>
                <w:kern w:val="0"/>
                <w:sz w:val="20"/>
                <w:szCs w:val="20"/>
              </w:rPr>
              <w:t>40</w:t>
            </w:r>
            <w:r>
              <w:rPr>
                <w:rFonts w:hint="eastAsia" w:ascii="宋体" w:hAnsi="宋体" w:cs="宋体"/>
                <w:color w:val="000000"/>
                <w:kern w:val="0"/>
                <w:sz w:val="20"/>
                <w:szCs w:val="20"/>
              </w:rPr>
              <w:t>万元</w:t>
            </w:r>
          </w:p>
        </w:tc>
        <w:tc>
          <w:tcPr>
            <w:tcW w:w="4547" w:type="dxa"/>
            <w:gridSpan w:val="3"/>
            <w:tcBorders>
              <w:top w:val="single" w:color="auto" w:sz="4" w:space="0"/>
              <w:left w:val="nil"/>
              <w:bottom w:val="single" w:color="auto" w:sz="4" w:space="0"/>
              <w:right w:val="single" w:color="auto" w:sz="4" w:space="0"/>
            </w:tcBorders>
            <w:vAlign w:val="center"/>
          </w:tcPr>
          <w:p w14:paraId="266BF698">
            <w:pPr>
              <w:widowControl/>
              <w:jc w:val="left"/>
              <w:rPr>
                <w:rFonts w:ascii="宋体" w:cs="宋体"/>
                <w:color w:val="000000"/>
                <w:kern w:val="0"/>
                <w:sz w:val="20"/>
                <w:szCs w:val="20"/>
              </w:rPr>
            </w:pPr>
            <w:r>
              <w:rPr>
                <w:rFonts w:hint="eastAsia" w:ascii="宋体" w:hAnsi="宋体" w:cs="宋体"/>
                <w:color w:val="000000"/>
                <w:kern w:val="0"/>
                <w:sz w:val="20"/>
                <w:szCs w:val="20"/>
              </w:rPr>
              <w:t>其中：财政资金</w:t>
            </w:r>
          </w:p>
        </w:tc>
        <w:tc>
          <w:tcPr>
            <w:tcW w:w="948" w:type="dxa"/>
            <w:tcBorders>
              <w:top w:val="single" w:color="auto" w:sz="4" w:space="0"/>
              <w:left w:val="nil"/>
              <w:bottom w:val="single" w:color="auto" w:sz="4" w:space="0"/>
              <w:right w:val="single" w:color="auto" w:sz="4" w:space="0"/>
            </w:tcBorders>
            <w:vAlign w:val="center"/>
          </w:tcPr>
          <w:p w14:paraId="05AF2BF0">
            <w:pPr>
              <w:widowControl/>
              <w:jc w:val="center"/>
              <w:rPr>
                <w:rFonts w:ascii="宋体" w:cs="宋体"/>
                <w:color w:val="000000"/>
                <w:kern w:val="0"/>
                <w:sz w:val="20"/>
                <w:szCs w:val="20"/>
              </w:rPr>
            </w:pPr>
            <w:r>
              <w:rPr>
                <w:rFonts w:ascii="宋体" w:hAnsi="宋体" w:cs="宋体"/>
                <w:color w:val="000000"/>
                <w:kern w:val="0"/>
                <w:sz w:val="20"/>
                <w:szCs w:val="20"/>
              </w:rPr>
              <w:t>40</w:t>
            </w:r>
            <w:r>
              <w:rPr>
                <w:rFonts w:hint="eastAsia" w:ascii="宋体" w:hAnsi="宋体" w:cs="宋体"/>
                <w:color w:val="000000"/>
                <w:kern w:val="0"/>
                <w:sz w:val="20"/>
                <w:szCs w:val="20"/>
              </w:rPr>
              <w:t>万元</w:t>
            </w:r>
          </w:p>
        </w:tc>
        <w:tc>
          <w:tcPr>
            <w:tcW w:w="1983" w:type="dxa"/>
            <w:tcBorders>
              <w:top w:val="single" w:color="auto" w:sz="4" w:space="0"/>
              <w:left w:val="nil"/>
              <w:bottom w:val="single" w:color="auto" w:sz="4" w:space="0"/>
              <w:right w:val="single" w:color="auto" w:sz="4" w:space="0"/>
            </w:tcBorders>
            <w:vAlign w:val="center"/>
          </w:tcPr>
          <w:p w14:paraId="3F5881BD">
            <w:pPr>
              <w:widowControl/>
              <w:jc w:val="center"/>
              <w:rPr>
                <w:rFonts w:ascii="宋体" w:cs="宋体"/>
                <w:color w:val="000000"/>
                <w:kern w:val="0"/>
                <w:sz w:val="20"/>
                <w:szCs w:val="20"/>
              </w:rPr>
            </w:pPr>
            <w:r>
              <w:rPr>
                <w:rFonts w:ascii="宋体" w:hAnsi="宋体" w:cs="宋体"/>
                <w:color w:val="000000"/>
                <w:kern w:val="0"/>
                <w:sz w:val="20"/>
                <w:szCs w:val="20"/>
              </w:rPr>
              <w:t>100%</w:t>
            </w:r>
          </w:p>
        </w:tc>
      </w:tr>
      <w:tr w14:paraId="00D19EA6">
        <w:tblPrEx>
          <w:tblCellMar>
            <w:top w:w="0" w:type="dxa"/>
            <w:left w:w="108" w:type="dxa"/>
            <w:bottom w:w="0" w:type="dxa"/>
            <w:right w:w="108" w:type="dxa"/>
          </w:tblCellMar>
        </w:tblPrEx>
        <w:trPr>
          <w:trHeight w:val="495" w:hRule="atLeast"/>
        </w:trPr>
        <w:tc>
          <w:tcPr>
            <w:tcW w:w="622" w:type="dxa"/>
            <w:vMerge w:val="restart"/>
            <w:tcBorders>
              <w:top w:val="single" w:color="auto" w:sz="4" w:space="0"/>
              <w:left w:val="single" w:color="auto" w:sz="4" w:space="0"/>
              <w:bottom w:val="single" w:color="auto" w:sz="4" w:space="0"/>
              <w:right w:val="single" w:color="auto" w:sz="4" w:space="0"/>
            </w:tcBorders>
            <w:vAlign w:val="center"/>
          </w:tcPr>
          <w:p w14:paraId="002E811F">
            <w:pPr>
              <w:widowControl/>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6034" w:type="dxa"/>
            <w:gridSpan w:val="5"/>
            <w:tcBorders>
              <w:top w:val="single" w:color="auto" w:sz="4" w:space="0"/>
              <w:left w:val="nil"/>
              <w:bottom w:val="single" w:color="auto" w:sz="4" w:space="0"/>
              <w:right w:val="single" w:color="auto" w:sz="4" w:space="0"/>
            </w:tcBorders>
            <w:vAlign w:val="center"/>
          </w:tcPr>
          <w:p w14:paraId="7DF553A9">
            <w:pPr>
              <w:widowControl/>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2931" w:type="dxa"/>
            <w:gridSpan w:val="2"/>
            <w:tcBorders>
              <w:top w:val="single" w:color="auto" w:sz="4" w:space="0"/>
              <w:left w:val="nil"/>
              <w:bottom w:val="single" w:color="auto" w:sz="4" w:space="0"/>
              <w:right w:val="single" w:color="auto" w:sz="4" w:space="0"/>
            </w:tcBorders>
            <w:vAlign w:val="center"/>
          </w:tcPr>
          <w:p w14:paraId="72888655">
            <w:pPr>
              <w:widowControl/>
              <w:jc w:val="center"/>
              <w:rPr>
                <w:rFonts w:ascii="宋体" w:cs="宋体"/>
                <w:color w:val="000000"/>
                <w:kern w:val="0"/>
                <w:sz w:val="20"/>
                <w:szCs w:val="20"/>
              </w:rPr>
            </w:pPr>
            <w:r>
              <w:rPr>
                <w:rFonts w:hint="eastAsia" w:ascii="宋体" w:hAnsi="宋体" w:cs="宋体"/>
                <w:color w:val="000000"/>
                <w:kern w:val="0"/>
                <w:sz w:val="20"/>
                <w:szCs w:val="20"/>
              </w:rPr>
              <w:t>全年目标实际完成情况</w:t>
            </w:r>
          </w:p>
        </w:tc>
      </w:tr>
      <w:tr w14:paraId="2BACF9B8">
        <w:tblPrEx>
          <w:tblCellMar>
            <w:top w:w="0" w:type="dxa"/>
            <w:left w:w="108" w:type="dxa"/>
            <w:bottom w:w="0" w:type="dxa"/>
            <w:right w:w="108" w:type="dxa"/>
          </w:tblCellMar>
        </w:tblPrEx>
        <w:trPr>
          <w:trHeight w:val="1095"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14:paraId="357599F4">
            <w:pPr>
              <w:widowControl/>
              <w:jc w:val="left"/>
              <w:rPr>
                <w:rFonts w:ascii="宋体" w:cs="宋体"/>
                <w:color w:val="000000"/>
                <w:kern w:val="0"/>
                <w:sz w:val="20"/>
                <w:szCs w:val="20"/>
              </w:rPr>
            </w:pPr>
          </w:p>
        </w:tc>
        <w:tc>
          <w:tcPr>
            <w:tcW w:w="6034" w:type="dxa"/>
            <w:gridSpan w:val="5"/>
            <w:tcBorders>
              <w:top w:val="single" w:color="auto" w:sz="4" w:space="0"/>
              <w:left w:val="nil"/>
              <w:bottom w:val="single" w:color="auto" w:sz="4" w:space="0"/>
              <w:right w:val="single" w:color="auto" w:sz="4" w:space="0"/>
            </w:tcBorders>
            <w:vAlign w:val="center"/>
          </w:tcPr>
          <w:p w14:paraId="5A2DA716">
            <w:pPr>
              <w:widowControl/>
              <w:jc w:val="left"/>
              <w:rPr>
                <w:rFonts w:ascii="宋体" w:cs="宋体"/>
                <w:color w:val="000000"/>
                <w:kern w:val="0"/>
                <w:sz w:val="20"/>
                <w:szCs w:val="20"/>
              </w:rPr>
            </w:pPr>
            <w:r>
              <w:rPr>
                <w:rFonts w:hint="eastAsia" w:ascii="宋体" w:hAnsi="宋体" w:cs="宋体"/>
                <w:color w:val="000000"/>
                <w:kern w:val="0"/>
                <w:sz w:val="20"/>
                <w:szCs w:val="20"/>
              </w:rPr>
              <w:t>以习近平新时代中国特色社会主义思想为指导，紧紧围绕区委区政府中心工作，牢牢把握“两个健康”主题，坚持政治建会、团结立会、服务兴会、改革强会，不断增强工商联凝聚力、影响力和执行力，聚力助推全区经济社会发展。</w:t>
            </w:r>
          </w:p>
        </w:tc>
        <w:tc>
          <w:tcPr>
            <w:tcW w:w="2931" w:type="dxa"/>
            <w:gridSpan w:val="2"/>
            <w:tcBorders>
              <w:top w:val="single" w:color="auto" w:sz="4" w:space="0"/>
              <w:left w:val="nil"/>
              <w:bottom w:val="single" w:color="auto" w:sz="4" w:space="0"/>
              <w:right w:val="single" w:color="auto" w:sz="4" w:space="0"/>
            </w:tcBorders>
            <w:vAlign w:val="center"/>
          </w:tcPr>
          <w:p w14:paraId="4F84500E">
            <w:pPr>
              <w:widowControl/>
              <w:jc w:val="center"/>
              <w:rPr>
                <w:rFonts w:ascii="宋体" w:cs="宋体"/>
                <w:color w:val="000000"/>
                <w:kern w:val="0"/>
                <w:sz w:val="20"/>
                <w:szCs w:val="20"/>
              </w:rPr>
            </w:pPr>
            <w:r>
              <w:rPr>
                <w:rFonts w:hint="eastAsia" w:ascii="宋体" w:hAnsi="宋体" w:cs="宋体"/>
                <w:color w:val="000000"/>
                <w:kern w:val="0"/>
                <w:sz w:val="20"/>
                <w:szCs w:val="20"/>
              </w:rPr>
              <w:t>完成</w:t>
            </w:r>
          </w:p>
        </w:tc>
      </w:tr>
      <w:tr w14:paraId="172913CC">
        <w:tblPrEx>
          <w:tblCellMar>
            <w:top w:w="0" w:type="dxa"/>
            <w:left w:w="108" w:type="dxa"/>
            <w:bottom w:w="0" w:type="dxa"/>
            <w:right w:w="108" w:type="dxa"/>
          </w:tblCellMar>
        </w:tblPrEx>
        <w:trPr>
          <w:trHeight w:val="960" w:hRule="atLeast"/>
        </w:trPr>
        <w:tc>
          <w:tcPr>
            <w:tcW w:w="622"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7DC834A">
            <w:pPr>
              <w:widowControl/>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1596" w:type="dxa"/>
            <w:gridSpan w:val="3"/>
            <w:tcBorders>
              <w:top w:val="single" w:color="auto" w:sz="4" w:space="0"/>
              <w:left w:val="nil"/>
              <w:bottom w:val="single" w:color="auto" w:sz="4" w:space="0"/>
              <w:right w:val="single" w:color="auto" w:sz="4" w:space="0"/>
            </w:tcBorders>
            <w:vAlign w:val="center"/>
          </w:tcPr>
          <w:p w14:paraId="2DF7A534">
            <w:pPr>
              <w:widowControl/>
              <w:jc w:val="center"/>
              <w:rPr>
                <w:rFonts w:ascii="宋体" w:cs="宋体"/>
                <w:color w:val="000000"/>
                <w:kern w:val="0"/>
                <w:sz w:val="20"/>
                <w:szCs w:val="20"/>
              </w:rPr>
            </w:pPr>
            <w:r>
              <w:rPr>
                <w:rFonts w:hint="eastAsia" w:ascii="宋体" w:hAnsi="宋体" w:cs="宋体"/>
                <w:color w:val="000000"/>
                <w:kern w:val="0"/>
                <w:sz w:val="20"/>
                <w:szCs w:val="20"/>
              </w:rPr>
              <w:t>指标名称</w:t>
            </w:r>
          </w:p>
        </w:tc>
        <w:tc>
          <w:tcPr>
            <w:tcW w:w="1316" w:type="dxa"/>
            <w:tcBorders>
              <w:top w:val="single" w:color="auto" w:sz="4" w:space="0"/>
              <w:left w:val="nil"/>
              <w:bottom w:val="single" w:color="auto" w:sz="4" w:space="0"/>
              <w:right w:val="single" w:color="auto" w:sz="4" w:space="0"/>
            </w:tcBorders>
            <w:vAlign w:val="center"/>
          </w:tcPr>
          <w:p w14:paraId="5E443CAC">
            <w:pPr>
              <w:widowControl/>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3122" w:type="dxa"/>
            <w:tcBorders>
              <w:top w:val="single" w:color="auto" w:sz="4" w:space="0"/>
              <w:left w:val="nil"/>
              <w:bottom w:val="single" w:color="auto" w:sz="4" w:space="0"/>
              <w:right w:val="single" w:color="auto" w:sz="4" w:space="0"/>
            </w:tcBorders>
            <w:vAlign w:val="center"/>
          </w:tcPr>
          <w:p w14:paraId="27007659">
            <w:pPr>
              <w:widowControl/>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948" w:type="dxa"/>
            <w:tcBorders>
              <w:top w:val="single" w:color="auto" w:sz="4" w:space="0"/>
              <w:left w:val="nil"/>
              <w:bottom w:val="single" w:color="auto" w:sz="4" w:space="0"/>
              <w:right w:val="single" w:color="auto" w:sz="4" w:space="0"/>
            </w:tcBorders>
            <w:vAlign w:val="center"/>
          </w:tcPr>
          <w:p w14:paraId="4F2E2299">
            <w:pPr>
              <w:widowControl/>
              <w:jc w:val="center"/>
              <w:rPr>
                <w:rFonts w:ascii="宋体" w:cs="宋体"/>
                <w:color w:val="000000"/>
                <w:kern w:val="0"/>
                <w:sz w:val="20"/>
                <w:szCs w:val="20"/>
              </w:rPr>
            </w:pPr>
            <w:r>
              <w:rPr>
                <w:rFonts w:hint="eastAsia" w:ascii="宋体" w:hAnsi="宋体" w:cs="宋体"/>
                <w:color w:val="000000"/>
                <w:kern w:val="0"/>
                <w:sz w:val="20"/>
                <w:szCs w:val="20"/>
              </w:rPr>
              <w:t>完成比例</w:t>
            </w:r>
          </w:p>
        </w:tc>
        <w:tc>
          <w:tcPr>
            <w:tcW w:w="1983" w:type="dxa"/>
            <w:tcBorders>
              <w:top w:val="single" w:color="auto" w:sz="4" w:space="0"/>
              <w:left w:val="nil"/>
              <w:bottom w:val="single" w:color="auto" w:sz="4" w:space="0"/>
              <w:right w:val="single" w:color="auto" w:sz="4" w:space="0"/>
            </w:tcBorders>
            <w:vAlign w:val="center"/>
          </w:tcPr>
          <w:p w14:paraId="449B6C66">
            <w:pPr>
              <w:widowControl/>
              <w:jc w:val="center"/>
              <w:rPr>
                <w:rFonts w:ascii="宋体" w:hAnsi="宋体" w:cs="宋体"/>
                <w:color w:val="000000"/>
                <w:kern w:val="0"/>
                <w:sz w:val="20"/>
                <w:szCs w:val="20"/>
              </w:rPr>
            </w:pPr>
            <w:r>
              <w:rPr>
                <w:rFonts w:hint="eastAsia" w:ascii="宋体" w:hAnsi="宋体" w:cs="宋体"/>
                <w:color w:val="000000"/>
                <w:kern w:val="0"/>
                <w:sz w:val="20"/>
                <w:szCs w:val="20"/>
              </w:rPr>
              <w:t>未完成原因和改进措施</w:t>
            </w:r>
          </w:p>
          <w:p w14:paraId="3A481D51">
            <w:pPr>
              <w:widowControl/>
              <w:jc w:val="center"/>
              <w:rPr>
                <w:rFonts w:ascii="宋体" w:cs="宋体"/>
                <w:color w:val="000000"/>
                <w:kern w:val="0"/>
                <w:sz w:val="20"/>
                <w:szCs w:val="20"/>
              </w:rPr>
            </w:pPr>
            <w:r>
              <w:rPr>
                <w:rFonts w:hint="eastAsia" w:ascii="宋体" w:hAnsi="宋体" w:cs="宋体"/>
                <w:color w:val="000000"/>
                <w:kern w:val="0"/>
                <w:sz w:val="20"/>
                <w:szCs w:val="20"/>
              </w:rPr>
              <w:t>及相关说明</w:t>
            </w:r>
          </w:p>
        </w:tc>
      </w:tr>
      <w:tr w14:paraId="1BCF6245">
        <w:tblPrEx>
          <w:tblCellMar>
            <w:top w:w="0" w:type="dxa"/>
            <w:left w:w="108" w:type="dxa"/>
            <w:bottom w:w="0" w:type="dxa"/>
            <w:right w:w="108" w:type="dxa"/>
          </w:tblCellMar>
        </w:tblPrEx>
        <w:trPr>
          <w:trHeight w:val="1875"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14:paraId="1A13CE54">
            <w:pPr>
              <w:widowControl/>
              <w:jc w:val="left"/>
              <w:rPr>
                <w:rFonts w:ascii="宋体" w:cs="宋体"/>
                <w:color w:val="000000"/>
                <w:kern w:val="0"/>
                <w:sz w:val="20"/>
                <w:szCs w:val="20"/>
              </w:rPr>
            </w:pPr>
          </w:p>
        </w:tc>
        <w:tc>
          <w:tcPr>
            <w:tcW w:w="1596" w:type="dxa"/>
            <w:gridSpan w:val="3"/>
            <w:tcBorders>
              <w:top w:val="single" w:color="auto" w:sz="4" w:space="0"/>
              <w:left w:val="nil"/>
              <w:bottom w:val="single" w:color="auto" w:sz="4" w:space="0"/>
              <w:right w:val="single" w:color="auto" w:sz="4" w:space="0"/>
            </w:tcBorders>
            <w:vAlign w:val="center"/>
          </w:tcPr>
          <w:p w14:paraId="5ED491B5">
            <w:pPr>
              <w:widowControl/>
              <w:jc w:val="left"/>
              <w:rPr>
                <w:rFonts w:ascii="宋体" w:cs="宋体"/>
                <w:kern w:val="0"/>
                <w:sz w:val="20"/>
                <w:szCs w:val="20"/>
              </w:rPr>
            </w:pPr>
            <w:r>
              <w:rPr>
                <w:rFonts w:hint="eastAsia" w:ascii="宋体" w:hAnsi="宋体" w:cs="宋体"/>
                <w:kern w:val="0"/>
                <w:sz w:val="20"/>
                <w:szCs w:val="20"/>
              </w:rPr>
              <w:t>非公有经济人士教育宣传培训等工作。</w:t>
            </w:r>
          </w:p>
        </w:tc>
        <w:tc>
          <w:tcPr>
            <w:tcW w:w="1316" w:type="dxa"/>
            <w:tcBorders>
              <w:top w:val="single" w:color="auto" w:sz="4" w:space="0"/>
              <w:left w:val="nil"/>
              <w:bottom w:val="single" w:color="auto" w:sz="4" w:space="0"/>
              <w:right w:val="single" w:color="auto" w:sz="4" w:space="0"/>
            </w:tcBorders>
            <w:vAlign w:val="center"/>
          </w:tcPr>
          <w:p w14:paraId="122AA6F7">
            <w:pPr>
              <w:widowControl/>
              <w:jc w:val="left"/>
              <w:rPr>
                <w:rFonts w:ascii="宋体" w:cs="宋体"/>
                <w:color w:val="000000"/>
                <w:kern w:val="0"/>
                <w:sz w:val="20"/>
                <w:szCs w:val="20"/>
              </w:rPr>
            </w:pPr>
            <w:r>
              <w:rPr>
                <w:rFonts w:hint="eastAsia" w:ascii="宋体" w:hAnsi="宋体" w:cs="宋体"/>
                <w:color w:val="000000"/>
                <w:kern w:val="0"/>
                <w:sz w:val="20"/>
                <w:szCs w:val="20"/>
              </w:rPr>
              <w:t>举办非公经济人士理想信念培训</w:t>
            </w:r>
            <w:r>
              <w:rPr>
                <w:rFonts w:ascii="宋体" w:hAnsi="宋体" w:cs="宋体"/>
                <w:color w:val="000000"/>
                <w:kern w:val="0"/>
                <w:sz w:val="20"/>
                <w:szCs w:val="20"/>
              </w:rPr>
              <w:t>4-5</w:t>
            </w:r>
            <w:r>
              <w:rPr>
                <w:rFonts w:hint="eastAsia" w:ascii="宋体" w:hAnsi="宋体" w:cs="宋体"/>
                <w:color w:val="000000"/>
                <w:kern w:val="0"/>
                <w:sz w:val="20"/>
                <w:szCs w:val="20"/>
              </w:rPr>
              <w:t>次；法律培训每季度不少于</w:t>
            </w:r>
            <w:r>
              <w:rPr>
                <w:rFonts w:ascii="宋体" w:hAnsi="宋体" w:cs="宋体"/>
                <w:color w:val="000000"/>
                <w:kern w:val="0"/>
                <w:sz w:val="20"/>
                <w:szCs w:val="20"/>
              </w:rPr>
              <w:t>3</w:t>
            </w:r>
            <w:r>
              <w:rPr>
                <w:rFonts w:hint="eastAsia" w:ascii="宋体" w:hAnsi="宋体" w:cs="宋体"/>
                <w:color w:val="000000"/>
                <w:kern w:val="0"/>
                <w:sz w:val="20"/>
                <w:szCs w:val="20"/>
              </w:rPr>
              <w:t>次。</w:t>
            </w:r>
            <w:r>
              <w:rPr>
                <w:rFonts w:ascii="宋体" w:hAnsi="宋体" w:cs="宋体"/>
                <w:color w:val="000000"/>
                <w:kern w:val="0"/>
                <w:sz w:val="20"/>
                <w:szCs w:val="20"/>
              </w:rPr>
              <w:t xml:space="preserve"> </w:t>
            </w:r>
          </w:p>
        </w:tc>
        <w:tc>
          <w:tcPr>
            <w:tcW w:w="3122" w:type="dxa"/>
            <w:tcBorders>
              <w:top w:val="single" w:color="auto" w:sz="4" w:space="0"/>
              <w:left w:val="nil"/>
              <w:bottom w:val="single" w:color="auto" w:sz="4" w:space="0"/>
              <w:right w:val="single" w:color="auto" w:sz="4" w:space="0"/>
            </w:tcBorders>
            <w:vAlign w:val="center"/>
          </w:tcPr>
          <w:p w14:paraId="45607802">
            <w:pPr>
              <w:widowControl/>
              <w:jc w:val="left"/>
              <w:rPr>
                <w:rFonts w:ascii="宋体" w:cs="宋体"/>
                <w:color w:val="000000"/>
                <w:kern w:val="0"/>
                <w:sz w:val="20"/>
                <w:szCs w:val="20"/>
              </w:rPr>
            </w:pPr>
            <w:r>
              <w:rPr>
                <w:rFonts w:hint="eastAsia" w:ascii="宋体" w:hAnsi="宋体" w:cs="宋体"/>
                <w:color w:val="000000"/>
                <w:kern w:val="0"/>
                <w:sz w:val="20"/>
                <w:szCs w:val="20"/>
              </w:rPr>
              <w:t>组织非公经济人士参加政策宣讲、专题报告、集中辅导</w:t>
            </w:r>
            <w:r>
              <w:rPr>
                <w:rFonts w:ascii="宋体" w:hAnsi="宋体" w:cs="宋体"/>
                <w:color w:val="000000"/>
                <w:kern w:val="0"/>
                <w:sz w:val="20"/>
                <w:szCs w:val="20"/>
              </w:rPr>
              <w:t>5</w:t>
            </w:r>
            <w:r>
              <w:rPr>
                <w:rFonts w:hint="eastAsia" w:ascii="宋体" w:hAnsi="宋体" w:cs="宋体"/>
                <w:color w:val="000000"/>
                <w:kern w:val="0"/>
                <w:sz w:val="20"/>
                <w:szCs w:val="20"/>
              </w:rPr>
              <w:t>场次，举办培训班</w:t>
            </w:r>
            <w:r>
              <w:rPr>
                <w:rFonts w:ascii="宋体" w:hAnsi="宋体" w:cs="宋体"/>
                <w:color w:val="000000"/>
                <w:kern w:val="0"/>
                <w:sz w:val="20"/>
                <w:szCs w:val="20"/>
              </w:rPr>
              <w:t>4</w:t>
            </w:r>
            <w:r>
              <w:rPr>
                <w:rFonts w:hint="eastAsia" w:ascii="宋体" w:hAnsi="宋体" w:cs="宋体"/>
                <w:color w:val="000000"/>
                <w:kern w:val="0"/>
                <w:sz w:val="20"/>
                <w:szCs w:val="20"/>
              </w:rPr>
              <w:t>期、研讨会</w:t>
            </w:r>
            <w:r>
              <w:rPr>
                <w:rFonts w:ascii="宋体" w:hAnsi="宋体" w:cs="宋体"/>
                <w:color w:val="000000"/>
                <w:kern w:val="0"/>
                <w:sz w:val="20"/>
                <w:szCs w:val="20"/>
              </w:rPr>
              <w:t>4</w:t>
            </w:r>
            <w:r>
              <w:rPr>
                <w:rFonts w:hint="eastAsia" w:ascii="宋体" w:hAnsi="宋体" w:cs="宋体"/>
                <w:color w:val="000000"/>
                <w:kern w:val="0"/>
                <w:sz w:val="20"/>
                <w:szCs w:val="20"/>
              </w:rPr>
              <w:t>次；开展法治培训讲座</w:t>
            </w:r>
            <w:r>
              <w:rPr>
                <w:rFonts w:ascii="宋体" w:hAnsi="宋体" w:cs="宋体"/>
                <w:color w:val="000000"/>
                <w:kern w:val="0"/>
                <w:sz w:val="20"/>
                <w:szCs w:val="20"/>
              </w:rPr>
              <w:t>14</w:t>
            </w:r>
            <w:r>
              <w:rPr>
                <w:rFonts w:hint="eastAsia" w:ascii="宋体" w:hAnsi="宋体" w:cs="宋体"/>
                <w:color w:val="000000"/>
                <w:kern w:val="0"/>
                <w:sz w:val="20"/>
                <w:szCs w:val="20"/>
              </w:rPr>
              <w:t>次、培训近</w:t>
            </w:r>
            <w:r>
              <w:rPr>
                <w:rFonts w:ascii="宋体" w:hAnsi="宋体" w:cs="宋体"/>
                <w:color w:val="000000"/>
                <w:kern w:val="0"/>
                <w:sz w:val="20"/>
                <w:szCs w:val="20"/>
              </w:rPr>
              <w:t>500</w:t>
            </w:r>
            <w:r>
              <w:rPr>
                <w:rFonts w:hint="eastAsia" w:ascii="宋体" w:hAnsi="宋体" w:cs="宋体"/>
                <w:color w:val="000000"/>
                <w:kern w:val="0"/>
                <w:sz w:val="20"/>
                <w:szCs w:val="20"/>
              </w:rPr>
              <w:t>余人，帮助</w:t>
            </w:r>
            <w:r>
              <w:rPr>
                <w:rFonts w:ascii="宋体" w:hAnsi="宋体" w:cs="宋体"/>
                <w:color w:val="000000"/>
                <w:kern w:val="0"/>
                <w:sz w:val="20"/>
                <w:szCs w:val="20"/>
              </w:rPr>
              <w:t>9</w:t>
            </w:r>
            <w:r>
              <w:rPr>
                <w:rFonts w:hint="eastAsia" w:ascii="宋体" w:hAnsi="宋体" w:cs="宋体"/>
                <w:color w:val="000000"/>
                <w:kern w:val="0"/>
                <w:sz w:val="20"/>
                <w:szCs w:val="20"/>
              </w:rPr>
              <w:t>家企业协调解决劳动争议、合同和侵权案件</w:t>
            </w:r>
            <w:r>
              <w:rPr>
                <w:rFonts w:ascii="宋体" w:hAnsi="宋体" w:cs="宋体"/>
                <w:color w:val="000000"/>
                <w:kern w:val="0"/>
                <w:sz w:val="20"/>
                <w:szCs w:val="20"/>
              </w:rPr>
              <w:t>13</w:t>
            </w:r>
            <w:r>
              <w:rPr>
                <w:rFonts w:hint="eastAsia" w:ascii="宋体" w:hAnsi="宋体" w:cs="宋体"/>
                <w:color w:val="000000"/>
                <w:kern w:val="0"/>
                <w:sz w:val="20"/>
                <w:szCs w:val="20"/>
              </w:rPr>
              <w:t>件，涉案金额达</w:t>
            </w:r>
            <w:r>
              <w:rPr>
                <w:rFonts w:ascii="宋体" w:hAnsi="宋体" w:cs="宋体"/>
                <w:color w:val="000000"/>
                <w:kern w:val="0"/>
                <w:sz w:val="20"/>
                <w:szCs w:val="20"/>
              </w:rPr>
              <w:t>3000</w:t>
            </w:r>
            <w:r>
              <w:rPr>
                <w:rFonts w:hint="eastAsia" w:ascii="宋体" w:hAnsi="宋体" w:cs="宋体"/>
                <w:color w:val="000000"/>
                <w:kern w:val="0"/>
                <w:sz w:val="20"/>
                <w:szCs w:val="20"/>
              </w:rPr>
              <w:t>多万元，结案率</w:t>
            </w:r>
            <w:r>
              <w:rPr>
                <w:rFonts w:ascii="宋体" w:hAnsi="宋体" w:cs="宋体"/>
                <w:color w:val="000000"/>
                <w:kern w:val="0"/>
                <w:sz w:val="20"/>
                <w:szCs w:val="20"/>
              </w:rPr>
              <w:t>86%</w:t>
            </w:r>
            <w:r>
              <w:rPr>
                <w:rFonts w:hint="eastAsia" w:ascii="宋体" w:hAnsi="宋体" w:cs="宋体"/>
                <w:color w:val="000000"/>
                <w:kern w:val="0"/>
                <w:sz w:val="20"/>
                <w:szCs w:val="20"/>
              </w:rPr>
              <w:t>。</w:t>
            </w:r>
          </w:p>
        </w:tc>
        <w:tc>
          <w:tcPr>
            <w:tcW w:w="948" w:type="dxa"/>
            <w:tcBorders>
              <w:top w:val="single" w:color="auto" w:sz="4" w:space="0"/>
              <w:left w:val="nil"/>
              <w:bottom w:val="single" w:color="auto" w:sz="4" w:space="0"/>
              <w:right w:val="single" w:color="auto" w:sz="4" w:space="0"/>
            </w:tcBorders>
            <w:vAlign w:val="center"/>
          </w:tcPr>
          <w:p w14:paraId="6F11714D">
            <w:pPr>
              <w:widowControl/>
              <w:jc w:val="right"/>
              <w:rPr>
                <w:rFonts w:ascii="宋体" w:cs="宋体"/>
                <w:color w:val="000000"/>
                <w:kern w:val="0"/>
                <w:sz w:val="20"/>
                <w:szCs w:val="20"/>
              </w:rPr>
            </w:pPr>
            <w:r>
              <w:rPr>
                <w:rFonts w:ascii="宋体" w:hAnsi="宋体" w:cs="宋体"/>
                <w:color w:val="000000"/>
                <w:kern w:val="0"/>
                <w:sz w:val="20"/>
                <w:szCs w:val="20"/>
              </w:rPr>
              <w:t>100%</w:t>
            </w:r>
          </w:p>
        </w:tc>
        <w:tc>
          <w:tcPr>
            <w:tcW w:w="1983" w:type="dxa"/>
            <w:tcBorders>
              <w:top w:val="single" w:color="auto" w:sz="4" w:space="0"/>
              <w:left w:val="nil"/>
              <w:bottom w:val="single" w:color="auto" w:sz="4" w:space="0"/>
              <w:right w:val="single" w:color="auto" w:sz="4" w:space="0"/>
            </w:tcBorders>
            <w:vAlign w:val="center"/>
          </w:tcPr>
          <w:p w14:paraId="5DF51AD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544FCF4">
        <w:tblPrEx>
          <w:tblCellMar>
            <w:top w:w="0" w:type="dxa"/>
            <w:left w:w="108" w:type="dxa"/>
            <w:bottom w:w="0" w:type="dxa"/>
            <w:right w:w="108" w:type="dxa"/>
          </w:tblCellMar>
        </w:tblPrEx>
        <w:trPr>
          <w:trHeight w:val="2430"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14:paraId="36F841F6">
            <w:pPr>
              <w:widowControl/>
              <w:jc w:val="left"/>
              <w:rPr>
                <w:rFonts w:ascii="宋体" w:cs="宋体"/>
                <w:color w:val="000000"/>
                <w:kern w:val="0"/>
                <w:sz w:val="20"/>
                <w:szCs w:val="20"/>
              </w:rPr>
            </w:pPr>
          </w:p>
        </w:tc>
        <w:tc>
          <w:tcPr>
            <w:tcW w:w="1596" w:type="dxa"/>
            <w:gridSpan w:val="3"/>
            <w:tcBorders>
              <w:top w:val="single" w:color="auto" w:sz="4" w:space="0"/>
              <w:left w:val="nil"/>
              <w:bottom w:val="single" w:color="auto" w:sz="4" w:space="0"/>
              <w:right w:val="single" w:color="auto" w:sz="4" w:space="0"/>
            </w:tcBorders>
            <w:vAlign w:val="center"/>
          </w:tcPr>
          <w:p w14:paraId="61A47A31">
            <w:pPr>
              <w:widowControl/>
              <w:jc w:val="left"/>
              <w:rPr>
                <w:rFonts w:ascii="宋体" w:cs="宋体"/>
                <w:kern w:val="0"/>
                <w:sz w:val="20"/>
                <w:szCs w:val="20"/>
              </w:rPr>
            </w:pPr>
            <w:r>
              <w:rPr>
                <w:rFonts w:hint="eastAsia" w:ascii="宋体" w:hAnsi="宋体" w:cs="宋体"/>
                <w:kern w:val="0"/>
                <w:sz w:val="20"/>
                <w:szCs w:val="20"/>
              </w:rPr>
              <w:t>开展招商引资经贸交流活动、政企对接、维权服务；加强对非公有制经济人士思想政治工作的引导作用</w:t>
            </w:r>
            <w:r>
              <w:rPr>
                <w:rFonts w:ascii="宋体" w:hAnsi="宋体" w:cs="宋体"/>
                <w:kern w:val="0"/>
                <w:sz w:val="20"/>
                <w:szCs w:val="20"/>
              </w:rPr>
              <w:t>;</w:t>
            </w:r>
            <w:r>
              <w:rPr>
                <w:rFonts w:hint="eastAsia" w:ascii="宋体" w:hAnsi="宋体" w:cs="宋体"/>
                <w:kern w:val="0"/>
                <w:sz w:val="20"/>
                <w:szCs w:val="20"/>
              </w:rPr>
              <w:t>提升企业管理者综合素养和能力。</w:t>
            </w:r>
          </w:p>
        </w:tc>
        <w:tc>
          <w:tcPr>
            <w:tcW w:w="1316" w:type="dxa"/>
            <w:tcBorders>
              <w:top w:val="single" w:color="auto" w:sz="4" w:space="0"/>
              <w:left w:val="nil"/>
              <w:bottom w:val="single" w:color="auto" w:sz="4" w:space="0"/>
              <w:right w:val="single" w:color="auto" w:sz="4" w:space="0"/>
            </w:tcBorders>
            <w:vAlign w:val="center"/>
          </w:tcPr>
          <w:p w14:paraId="5B94589B">
            <w:pPr>
              <w:widowControl/>
              <w:jc w:val="left"/>
              <w:rPr>
                <w:rFonts w:ascii="宋体" w:cs="宋体"/>
                <w:kern w:val="0"/>
                <w:sz w:val="20"/>
                <w:szCs w:val="20"/>
              </w:rPr>
            </w:pPr>
            <w:r>
              <w:rPr>
                <w:rFonts w:hint="eastAsia" w:ascii="宋体" w:hAnsi="宋体" w:cs="宋体"/>
                <w:kern w:val="0"/>
                <w:sz w:val="20"/>
                <w:szCs w:val="20"/>
              </w:rPr>
              <w:t>办</w:t>
            </w:r>
            <w:r>
              <w:rPr>
                <w:rFonts w:ascii="宋体" w:hAnsi="宋体" w:cs="宋体"/>
                <w:kern w:val="0"/>
                <w:sz w:val="20"/>
                <w:szCs w:val="20"/>
              </w:rPr>
              <w:t>2-4</w:t>
            </w:r>
            <w:r>
              <w:rPr>
                <w:rFonts w:hint="eastAsia" w:ascii="宋体" w:hAnsi="宋体" w:cs="宋体"/>
                <w:kern w:val="0"/>
                <w:sz w:val="20"/>
                <w:szCs w:val="20"/>
              </w:rPr>
              <w:t>次招商引资推介活动，并邀请客商来万投资考察。</w:t>
            </w:r>
          </w:p>
        </w:tc>
        <w:tc>
          <w:tcPr>
            <w:tcW w:w="3122" w:type="dxa"/>
            <w:tcBorders>
              <w:top w:val="single" w:color="auto" w:sz="4" w:space="0"/>
              <w:left w:val="nil"/>
              <w:bottom w:val="single" w:color="auto" w:sz="4" w:space="0"/>
              <w:right w:val="single" w:color="auto" w:sz="4" w:space="0"/>
            </w:tcBorders>
            <w:vAlign w:val="center"/>
          </w:tcPr>
          <w:p w14:paraId="7C4D3EB4">
            <w:pPr>
              <w:widowControl/>
              <w:jc w:val="left"/>
              <w:rPr>
                <w:rFonts w:ascii="宋体" w:cs="宋体"/>
                <w:color w:val="000000"/>
                <w:kern w:val="0"/>
                <w:sz w:val="20"/>
                <w:szCs w:val="20"/>
              </w:rPr>
            </w:pPr>
            <w:r>
              <w:rPr>
                <w:rFonts w:hint="eastAsia" w:ascii="宋体" w:hAnsi="宋体" w:cs="宋体"/>
                <w:color w:val="000000"/>
                <w:kern w:val="0"/>
                <w:sz w:val="20"/>
                <w:szCs w:val="20"/>
              </w:rPr>
              <w:t>组织温州、成都、昆明、江苏、上海等地万州商会</w:t>
            </w:r>
            <w:r>
              <w:rPr>
                <w:rFonts w:ascii="宋体" w:hAnsi="宋体" w:cs="宋体"/>
                <w:color w:val="000000"/>
                <w:kern w:val="0"/>
                <w:sz w:val="20"/>
                <w:szCs w:val="20"/>
              </w:rPr>
              <w:t>200</w:t>
            </w:r>
            <w:r>
              <w:rPr>
                <w:rFonts w:hint="eastAsia" w:ascii="宋体" w:hAnsi="宋体" w:cs="宋体"/>
                <w:color w:val="000000"/>
                <w:kern w:val="0"/>
                <w:sz w:val="20"/>
                <w:szCs w:val="20"/>
              </w:rPr>
              <w:t>多名企业家参加万州区招商引资恳谈会，畅叙乡情、洽谈合作、共谋发展。大力开展“以商招商”，采取小分队、多批次到上海、浙江、深圳等地开展招商推介活动；通过区外万州籍工商界人士和友好兄弟商会牵线搭桥，邀请山东、浙江、四川、广东等地企业家</w:t>
            </w:r>
            <w:r>
              <w:rPr>
                <w:rFonts w:ascii="宋体" w:hAnsi="宋体" w:cs="宋体"/>
                <w:color w:val="000000"/>
                <w:kern w:val="0"/>
                <w:sz w:val="20"/>
                <w:szCs w:val="20"/>
              </w:rPr>
              <w:t>7</w:t>
            </w:r>
            <w:r>
              <w:rPr>
                <w:rFonts w:hint="eastAsia" w:ascii="宋体" w:hAnsi="宋体" w:cs="宋体"/>
                <w:color w:val="000000"/>
                <w:kern w:val="0"/>
                <w:sz w:val="20"/>
                <w:szCs w:val="20"/>
              </w:rPr>
              <w:t>批</w:t>
            </w:r>
            <w:r>
              <w:rPr>
                <w:rFonts w:ascii="宋体" w:hAnsi="宋体" w:cs="宋体"/>
                <w:color w:val="000000"/>
                <w:kern w:val="0"/>
                <w:sz w:val="20"/>
                <w:szCs w:val="20"/>
              </w:rPr>
              <w:t>200</w:t>
            </w:r>
            <w:r>
              <w:rPr>
                <w:rFonts w:hint="eastAsia" w:ascii="宋体" w:hAnsi="宋体" w:cs="宋体"/>
                <w:color w:val="000000"/>
                <w:kern w:val="0"/>
                <w:sz w:val="20"/>
                <w:szCs w:val="20"/>
              </w:rPr>
              <w:t>余人次来万考察；结合会员企业的项目引资需求，帮助企业积极对接联系区外投资企业。实现签约项目</w:t>
            </w:r>
            <w:r>
              <w:rPr>
                <w:rFonts w:ascii="宋体" w:hAnsi="宋体" w:cs="宋体"/>
                <w:color w:val="000000"/>
                <w:kern w:val="0"/>
                <w:sz w:val="20"/>
                <w:szCs w:val="20"/>
              </w:rPr>
              <w:t>1</w:t>
            </w:r>
            <w:r>
              <w:rPr>
                <w:rFonts w:hint="eastAsia" w:ascii="宋体" w:hAnsi="宋体" w:cs="宋体"/>
                <w:color w:val="000000"/>
                <w:kern w:val="0"/>
                <w:sz w:val="20"/>
                <w:szCs w:val="20"/>
              </w:rPr>
              <w:t>亿元、到位资金</w:t>
            </w:r>
            <w:r>
              <w:rPr>
                <w:rFonts w:ascii="宋体" w:hAnsi="宋体" w:cs="宋体"/>
                <w:color w:val="000000"/>
                <w:kern w:val="0"/>
                <w:sz w:val="20"/>
                <w:szCs w:val="20"/>
              </w:rPr>
              <w:t>3000</w:t>
            </w:r>
            <w:r>
              <w:rPr>
                <w:rFonts w:hint="eastAsia" w:ascii="宋体" w:hAnsi="宋体" w:cs="宋体"/>
                <w:color w:val="000000"/>
                <w:kern w:val="0"/>
                <w:sz w:val="20"/>
                <w:szCs w:val="20"/>
              </w:rPr>
              <w:t>万元。</w:t>
            </w:r>
          </w:p>
        </w:tc>
        <w:tc>
          <w:tcPr>
            <w:tcW w:w="948" w:type="dxa"/>
            <w:tcBorders>
              <w:top w:val="single" w:color="auto" w:sz="4" w:space="0"/>
              <w:left w:val="nil"/>
              <w:bottom w:val="single" w:color="auto" w:sz="4" w:space="0"/>
              <w:right w:val="single" w:color="auto" w:sz="4" w:space="0"/>
            </w:tcBorders>
            <w:vAlign w:val="center"/>
          </w:tcPr>
          <w:p w14:paraId="55F58AB2">
            <w:pPr>
              <w:widowControl/>
              <w:jc w:val="right"/>
              <w:rPr>
                <w:rFonts w:ascii="宋体" w:cs="宋体"/>
                <w:color w:val="000000"/>
                <w:kern w:val="0"/>
                <w:sz w:val="20"/>
                <w:szCs w:val="20"/>
              </w:rPr>
            </w:pPr>
            <w:r>
              <w:rPr>
                <w:rFonts w:ascii="宋体" w:hAnsi="宋体" w:cs="宋体"/>
                <w:color w:val="000000"/>
                <w:kern w:val="0"/>
                <w:sz w:val="20"/>
                <w:szCs w:val="20"/>
              </w:rPr>
              <w:t>100%</w:t>
            </w:r>
          </w:p>
        </w:tc>
        <w:tc>
          <w:tcPr>
            <w:tcW w:w="1983" w:type="dxa"/>
            <w:tcBorders>
              <w:top w:val="single" w:color="auto" w:sz="4" w:space="0"/>
              <w:left w:val="nil"/>
              <w:bottom w:val="single" w:color="auto" w:sz="4" w:space="0"/>
              <w:right w:val="single" w:color="auto" w:sz="4" w:space="0"/>
            </w:tcBorders>
            <w:vAlign w:val="center"/>
          </w:tcPr>
          <w:p w14:paraId="657AF45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5B45F6E">
        <w:tblPrEx>
          <w:tblCellMar>
            <w:top w:w="0" w:type="dxa"/>
            <w:left w:w="108" w:type="dxa"/>
            <w:bottom w:w="0" w:type="dxa"/>
            <w:right w:w="108" w:type="dxa"/>
          </w:tblCellMar>
        </w:tblPrEx>
        <w:trPr>
          <w:trHeight w:val="3135"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14:paraId="76714920">
            <w:pPr>
              <w:widowControl/>
              <w:jc w:val="left"/>
              <w:rPr>
                <w:rFonts w:ascii="宋体" w:cs="宋体"/>
                <w:color w:val="000000"/>
                <w:kern w:val="0"/>
                <w:sz w:val="20"/>
                <w:szCs w:val="20"/>
              </w:rPr>
            </w:pPr>
          </w:p>
        </w:tc>
        <w:tc>
          <w:tcPr>
            <w:tcW w:w="1596" w:type="dxa"/>
            <w:gridSpan w:val="3"/>
            <w:tcBorders>
              <w:top w:val="single" w:color="auto" w:sz="4" w:space="0"/>
              <w:left w:val="nil"/>
              <w:bottom w:val="single" w:color="auto" w:sz="4" w:space="0"/>
              <w:right w:val="single" w:color="auto" w:sz="4" w:space="0"/>
            </w:tcBorders>
            <w:vAlign w:val="center"/>
          </w:tcPr>
          <w:p w14:paraId="5C42C09B">
            <w:pPr>
              <w:widowControl/>
              <w:jc w:val="left"/>
              <w:rPr>
                <w:rFonts w:ascii="宋体" w:cs="宋体"/>
                <w:kern w:val="0"/>
                <w:sz w:val="20"/>
                <w:szCs w:val="20"/>
              </w:rPr>
            </w:pPr>
            <w:r>
              <w:rPr>
                <w:rFonts w:hint="eastAsia" w:ascii="宋体" w:hAnsi="宋体" w:cs="宋体"/>
                <w:kern w:val="0"/>
                <w:sz w:val="20"/>
                <w:szCs w:val="20"/>
              </w:rPr>
              <w:t>让企业充分感受到区委、区政府对民营经济发展的关心、支持和重视。</w:t>
            </w:r>
          </w:p>
        </w:tc>
        <w:tc>
          <w:tcPr>
            <w:tcW w:w="1316" w:type="dxa"/>
            <w:tcBorders>
              <w:top w:val="single" w:color="auto" w:sz="4" w:space="0"/>
              <w:left w:val="nil"/>
              <w:bottom w:val="single" w:color="auto" w:sz="4" w:space="0"/>
              <w:right w:val="single" w:color="auto" w:sz="4" w:space="0"/>
            </w:tcBorders>
            <w:vAlign w:val="center"/>
          </w:tcPr>
          <w:p w14:paraId="246F6564">
            <w:pPr>
              <w:widowControl/>
              <w:jc w:val="left"/>
              <w:rPr>
                <w:rFonts w:ascii="宋体" w:cs="宋体"/>
                <w:kern w:val="0"/>
                <w:sz w:val="20"/>
                <w:szCs w:val="20"/>
              </w:rPr>
            </w:pPr>
            <w:r>
              <w:rPr>
                <w:rFonts w:hint="eastAsia" w:ascii="宋体" w:hAnsi="宋体" w:cs="宋体"/>
                <w:kern w:val="0"/>
                <w:sz w:val="20"/>
                <w:szCs w:val="20"/>
              </w:rPr>
              <w:t>定点接待非公经济人士，现场处理企业困难问题不少于</w:t>
            </w:r>
            <w:r>
              <w:rPr>
                <w:rFonts w:ascii="宋体" w:hAnsi="宋体" w:cs="宋体"/>
                <w:kern w:val="0"/>
                <w:sz w:val="20"/>
                <w:szCs w:val="20"/>
              </w:rPr>
              <w:t xml:space="preserve">  20</w:t>
            </w:r>
            <w:r>
              <w:rPr>
                <w:rFonts w:hint="eastAsia" w:ascii="宋体" w:hAnsi="宋体" w:cs="宋体"/>
                <w:kern w:val="0"/>
                <w:sz w:val="20"/>
                <w:szCs w:val="20"/>
              </w:rPr>
              <w:t>个；坚持民营企业困难问题办理制度，全年处理企业困难问题不少于</w:t>
            </w:r>
            <w:r>
              <w:rPr>
                <w:rFonts w:ascii="宋体" w:hAnsi="宋体" w:cs="宋体"/>
                <w:kern w:val="0"/>
                <w:sz w:val="20"/>
                <w:szCs w:val="20"/>
              </w:rPr>
              <w:t>30</w:t>
            </w:r>
            <w:r>
              <w:rPr>
                <w:rFonts w:hint="eastAsia" w:ascii="宋体" w:hAnsi="宋体" w:cs="宋体"/>
                <w:kern w:val="0"/>
                <w:sz w:val="20"/>
                <w:szCs w:val="20"/>
              </w:rPr>
              <w:t>件；民营经济发展的政务环境、政策环境、法治环境等进一步得到优化。</w:t>
            </w:r>
          </w:p>
        </w:tc>
        <w:tc>
          <w:tcPr>
            <w:tcW w:w="3122" w:type="dxa"/>
            <w:tcBorders>
              <w:top w:val="single" w:color="auto" w:sz="4" w:space="0"/>
              <w:left w:val="nil"/>
              <w:bottom w:val="single" w:color="auto" w:sz="4" w:space="0"/>
              <w:right w:val="single" w:color="auto" w:sz="4" w:space="0"/>
            </w:tcBorders>
            <w:vAlign w:val="center"/>
          </w:tcPr>
          <w:p w14:paraId="7F822D46">
            <w:pPr>
              <w:widowControl/>
              <w:jc w:val="left"/>
              <w:rPr>
                <w:rFonts w:ascii="宋体" w:cs="宋体"/>
                <w:color w:val="000000"/>
                <w:kern w:val="0"/>
                <w:sz w:val="20"/>
                <w:szCs w:val="20"/>
              </w:rPr>
            </w:pPr>
            <w:r>
              <w:rPr>
                <w:rFonts w:hint="eastAsia" w:ascii="宋体" w:hAnsi="宋体" w:cs="宋体"/>
                <w:color w:val="000000"/>
                <w:kern w:val="0"/>
                <w:sz w:val="20"/>
                <w:szCs w:val="20"/>
              </w:rPr>
              <w:t>落实民营经济人士接待日制度，现场研究、交办，重难点困难问题</w:t>
            </w:r>
            <w:r>
              <w:rPr>
                <w:rFonts w:ascii="宋体" w:hAnsi="宋体" w:cs="宋体"/>
                <w:color w:val="000000"/>
                <w:kern w:val="0"/>
                <w:sz w:val="20"/>
                <w:szCs w:val="20"/>
              </w:rPr>
              <w:t>29</w:t>
            </w:r>
            <w:r>
              <w:rPr>
                <w:rFonts w:hint="eastAsia" w:ascii="宋体" w:hAnsi="宋体" w:cs="宋体"/>
                <w:color w:val="000000"/>
                <w:kern w:val="0"/>
                <w:sz w:val="20"/>
                <w:szCs w:val="20"/>
              </w:rPr>
              <w:t>个；深化民营企业困难问题办理制度，对民营企业日常反映的困难问题按照收集审核、分类交办、限时办理、办结反馈等“闭环式”办理程序，共交办问题</w:t>
            </w:r>
            <w:r>
              <w:rPr>
                <w:rFonts w:ascii="宋体" w:hAnsi="宋体" w:cs="宋体"/>
                <w:color w:val="000000"/>
                <w:kern w:val="0"/>
                <w:sz w:val="20"/>
                <w:szCs w:val="20"/>
              </w:rPr>
              <w:t>56</w:t>
            </w:r>
            <w:r>
              <w:rPr>
                <w:rFonts w:hint="eastAsia" w:ascii="宋体" w:hAnsi="宋体" w:cs="宋体"/>
                <w:color w:val="000000"/>
                <w:kern w:val="0"/>
                <w:sz w:val="20"/>
                <w:szCs w:val="20"/>
              </w:rPr>
              <w:t>件，办结</w:t>
            </w:r>
            <w:r>
              <w:rPr>
                <w:rFonts w:ascii="宋体" w:hAnsi="宋体" w:cs="宋体"/>
                <w:color w:val="000000"/>
                <w:kern w:val="0"/>
                <w:sz w:val="20"/>
                <w:szCs w:val="20"/>
              </w:rPr>
              <w:t>55</w:t>
            </w:r>
            <w:r>
              <w:rPr>
                <w:rFonts w:hint="eastAsia" w:ascii="宋体" w:hAnsi="宋体" w:cs="宋体"/>
                <w:color w:val="000000"/>
                <w:kern w:val="0"/>
                <w:sz w:val="20"/>
                <w:szCs w:val="20"/>
              </w:rPr>
              <w:t>件；搭建政银企交流平台，深化与工商银行、建设银行等</w:t>
            </w:r>
            <w:r>
              <w:rPr>
                <w:rFonts w:ascii="宋体" w:hAnsi="宋体" w:cs="宋体"/>
                <w:color w:val="000000"/>
                <w:kern w:val="0"/>
                <w:sz w:val="20"/>
                <w:szCs w:val="20"/>
              </w:rPr>
              <w:t>8</w:t>
            </w:r>
            <w:r>
              <w:rPr>
                <w:rFonts w:hint="eastAsia" w:ascii="宋体" w:hAnsi="宋体" w:cs="宋体"/>
                <w:color w:val="000000"/>
                <w:kern w:val="0"/>
                <w:sz w:val="20"/>
                <w:szCs w:val="20"/>
              </w:rPr>
              <w:t>家金融机构的长期合作机制，新发展合作银行</w:t>
            </w:r>
            <w:r>
              <w:rPr>
                <w:rFonts w:ascii="宋体" w:hAnsi="宋体" w:cs="宋体"/>
                <w:color w:val="000000"/>
                <w:kern w:val="0"/>
                <w:sz w:val="20"/>
                <w:szCs w:val="20"/>
              </w:rPr>
              <w:t>1</w:t>
            </w:r>
            <w:r>
              <w:rPr>
                <w:rFonts w:hint="eastAsia" w:ascii="宋体" w:hAnsi="宋体" w:cs="宋体"/>
                <w:color w:val="000000"/>
                <w:kern w:val="0"/>
                <w:sz w:val="20"/>
                <w:szCs w:val="20"/>
              </w:rPr>
              <w:t>家，畅通融资供需信息交流渠道，开展</w:t>
            </w:r>
            <w:r>
              <w:rPr>
                <w:rFonts w:ascii="宋体" w:hAnsi="宋体" w:cs="宋体"/>
                <w:color w:val="000000"/>
                <w:kern w:val="0"/>
                <w:sz w:val="20"/>
                <w:szCs w:val="20"/>
              </w:rPr>
              <w:t>5</w:t>
            </w:r>
            <w:r>
              <w:rPr>
                <w:rFonts w:hint="eastAsia" w:ascii="宋体" w:hAnsi="宋体" w:cs="宋体"/>
                <w:color w:val="000000"/>
                <w:kern w:val="0"/>
                <w:sz w:val="20"/>
                <w:szCs w:val="20"/>
              </w:rPr>
              <w:t>次政银企恳谈活动，为</w:t>
            </w:r>
            <w:r>
              <w:rPr>
                <w:rFonts w:ascii="宋体" w:hAnsi="宋体" w:cs="宋体"/>
                <w:color w:val="000000"/>
                <w:kern w:val="0"/>
                <w:sz w:val="20"/>
                <w:szCs w:val="20"/>
              </w:rPr>
              <w:t>3000</w:t>
            </w:r>
            <w:r>
              <w:rPr>
                <w:rFonts w:hint="eastAsia" w:ascii="宋体" w:hAnsi="宋体" w:cs="宋体"/>
                <w:color w:val="000000"/>
                <w:kern w:val="0"/>
                <w:sz w:val="20"/>
                <w:szCs w:val="20"/>
              </w:rPr>
              <w:t>多家企业协调融资</w:t>
            </w:r>
            <w:r>
              <w:rPr>
                <w:rFonts w:ascii="宋体" w:hAnsi="宋体" w:cs="宋体"/>
                <w:color w:val="000000"/>
                <w:kern w:val="0"/>
                <w:sz w:val="20"/>
                <w:szCs w:val="20"/>
              </w:rPr>
              <w:t>14.7</w:t>
            </w:r>
            <w:r>
              <w:rPr>
                <w:rFonts w:hint="eastAsia" w:ascii="宋体" w:hAnsi="宋体" w:cs="宋体"/>
                <w:color w:val="000000"/>
                <w:kern w:val="0"/>
                <w:sz w:val="20"/>
                <w:szCs w:val="20"/>
              </w:rPr>
              <w:t>亿元；配合相关部门开展宣传辅导，大力引导企业上市，扩大融资渠道，破解企业发展资金瓶颈。</w:t>
            </w:r>
          </w:p>
        </w:tc>
        <w:tc>
          <w:tcPr>
            <w:tcW w:w="948" w:type="dxa"/>
            <w:tcBorders>
              <w:top w:val="single" w:color="auto" w:sz="4" w:space="0"/>
              <w:left w:val="nil"/>
              <w:bottom w:val="single" w:color="auto" w:sz="4" w:space="0"/>
              <w:right w:val="single" w:color="auto" w:sz="4" w:space="0"/>
            </w:tcBorders>
            <w:vAlign w:val="center"/>
          </w:tcPr>
          <w:p w14:paraId="70E7D39A">
            <w:pPr>
              <w:widowControl/>
              <w:jc w:val="right"/>
              <w:rPr>
                <w:rFonts w:ascii="宋体" w:cs="宋体"/>
                <w:color w:val="000000"/>
                <w:kern w:val="0"/>
                <w:sz w:val="20"/>
                <w:szCs w:val="20"/>
              </w:rPr>
            </w:pPr>
            <w:r>
              <w:rPr>
                <w:rFonts w:ascii="宋体" w:hAnsi="宋体" w:cs="宋体"/>
                <w:color w:val="000000"/>
                <w:kern w:val="0"/>
                <w:sz w:val="20"/>
                <w:szCs w:val="20"/>
              </w:rPr>
              <w:t>100%</w:t>
            </w:r>
          </w:p>
        </w:tc>
        <w:tc>
          <w:tcPr>
            <w:tcW w:w="1983" w:type="dxa"/>
            <w:tcBorders>
              <w:top w:val="single" w:color="auto" w:sz="4" w:space="0"/>
              <w:left w:val="nil"/>
              <w:bottom w:val="single" w:color="auto" w:sz="4" w:space="0"/>
              <w:right w:val="single" w:color="auto" w:sz="4" w:space="0"/>
            </w:tcBorders>
            <w:vAlign w:val="center"/>
          </w:tcPr>
          <w:p w14:paraId="5F35EA1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5098295">
        <w:tblPrEx>
          <w:tblCellMar>
            <w:top w:w="0" w:type="dxa"/>
            <w:left w:w="108" w:type="dxa"/>
            <w:bottom w:w="0" w:type="dxa"/>
            <w:right w:w="108" w:type="dxa"/>
          </w:tblCellMar>
        </w:tblPrEx>
        <w:trPr>
          <w:trHeight w:val="1380"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14:paraId="26F33599">
            <w:pPr>
              <w:widowControl/>
              <w:jc w:val="left"/>
              <w:rPr>
                <w:rFonts w:ascii="宋体" w:cs="宋体"/>
                <w:color w:val="000000"/>
                <w:kern w:val="0"/>
                <w:sz w:val="20"/>
                <w:szCs w:val="20"/>
              </w:rPr>
            </w:pPr>
          </w:p>
        </w:tc>
        <w:tc>
          <w:tcPr>
            <w:tcW w:w="1596" w:type="dxa"/>
            <w:gridSpan w:val="3"/>
            <w:tcBorders>
              <w:top w:val="single" w:color="auto" w:sz="4" w:space="0"/>
              <w:left w:val="nil"/>
              <w:bottom w:val="single" w:color="auto" w:sz="4" w:space="0"/>
              <w:right w:val="single" w:color="auto" w:sz="4" w:space="0"/>
            </w:tcBorders>
            <w:vAlign w:val="center"/>
          </w:tcPr>
          <w:p w14:paraId="209108D2">
            <w:pPr>
              <w:widowControl/>
              <w:jc w:val="left"/>
              <w:rPr>
                <w:rFonts w:ascii="宋体" w:cs="宋体"/>
                <w:kern w:val="0"/>
                <w:sz w:val="20"/>
                <w:szCs w:val="20"/>
              </w:rPr>
            </w:pPr>
            <w:r>
              <w:rPr>
                <w:rFonts w:hint="eastAsia" w:ascii="宋体" w:hAnsi="宋体" w:cs="宋体"/>
                <w:kern w:val="0"/>
                <w:sz w:val="20"/>
                <w:szCs w:val="20"/>
              </w:rPr>
              <w:t>助力脱贫攻坚</w:t>
            </w:r>
          </w:p>
        </w:tc>
        <w:tc>
          <w:tcPr>
            <w:tcW w:w="1316" w:type="dxa"/>
            <w:tcBorders>
              <w:top w:val="single" w:color="auto" w:sz="4" w:space="0"/>
              <w:left w:val="nil"/>
              <w:bottom w:val="single" w:color="auto" w:sz="4" w:space="0"/>
              <w:right w:val="single" w:color="auto" w:sz="4" w:space="0"/>
            </w:tcBorders>
            <w:vAlign w:val="center"/>
          </w:tcPr>
          <w:p w14:paraId="12749EFD">
            <w:pPr>
              <w:widowControl/>
              <w:jc w:val="left"/>
              <w:rPr>
                <w:rFonts w:ascii="宋体" w:cs="宋体"/>
                <w:kern w:val="0"/>
                <w:sz w:val="20"/>
                <w:szCs w:val="20"/>
              </w:rPr>
            </w:pPr>
            <w:r>
              <w:rPr>
                <w:rFonts w:hint="eastAsia" w:ascii="宋体" w:hAnsi="宋体" w:cs="宋体"/>
                <w:color w:val="000000"/>
                <w:kern w:val="0"/>
                <w:sz w:val="20"/>
                <w:szCs w:val="20"/>
              </w:rPr>
              <w:t>积极引导参与</w:t>
            </w:r>
            <w:r>
              <w:rPr>
                <w:rFonts w:hint="eastAsia" w:ascii="宋体" w:hAnsi="宋体" w:cs="宋体"/>
                <w:kern w:val="0"/>
                <w:sz w:val="20"/>
                <w:szCs w:val="20"/>
              </w:rPr>
              <w:t>脱贫攻坚</w:t>
            </w:r>
            <w:r>
              <w:rPr>
                <w:rFonts w:hint="eastAsia" w:ascii="宋体" w:hAnsi="宋体" w:cs="宋体"/>
                <w:color w:val="000000"/>
                <w:kern w:val="0"/>
                <w:sz w:val="20"/>
                <w:szCs w:val="20"/>
              </w:rPr>
              <w:t>民营企业不少于</w:t>
            </w:r>
            <w:r>
              <w:rPr>
                <w:rFonts w:ascii="宋体" w:hAnsi="宋体" w:cs="宋体"/>
                <w:color w:val="000000"/>
                <w:kern w:val="0"/>
                <w:sz w:val="20"/>
                <w:szCs w:val="20"/>
              </w:rPr>
              <w:t>100</w:t>
            </w:r>
            <w:r>
              <w:rPr>
                <w:rFonts w:hint="eastAsia" w:ascii="宋体" w:hAnsi="宋体" w:cs="宋体"/>
                <w:color w:val="000000"/>
                <w:kern w:val="0"/>
                <w:sz w:val="20"/>
                <w:szCs w:val="20"/>
              </w:rPr>
              <w:t>个，开展消费扶贫不少于</w:t>
            </w:r>
            <w:r>
              <w:rPr>
                <w:rFonts w:ascii="宋体" w:hAnsi="宋体" w:cs="宋体"/>
                <w:color w:val="000000"/>
                <w:kern w:val="0"/>
                <w:sz w:val="20"/>
                <w:szCs w:val="20"/>
              </w:rPr>
              <w:t>100</w:t>
            </w:r>
            <w:r>
              <w:rPr>
                <w:rFonts w:hint="eastAsia" w:ascii="宋体" w:hAnsi="宋体" w:cs="宋体"/>
                <w:color w:val="000000"/>
                <w:kern w:val="0"/>
                <w:sz w:val="20"/>
                <w:szCs w:val="20"/>
              </w:rPr>
              <w:t>万元。</w:t>
            </w:r>
          </w:p>
        </w:tc>
        <w:tc>
          <w:tcPr>
            <w:tcW w:w="3122" w:type="dxa"/>
            <w:tcBorders>
              <w:top w:val="single" w:color="auto" w:sz="4" w:space="0"/>
              <w:left w:val="nil"/>
              <w:bottom w:val="single" w:color="auto" w:sz="4" w:space="0"/>
              <w:right w:val="single" w:color="auto" w:sz="4" w:space="0"/>
            </w:tcBorders>
            <w:vAlign w:val="center"/>
          </w:tcPr>
          <w:p w14:paraId="7717048C">
            <w:pPr>
              <w:widowControl/>
              <w:jc w:val="left"/>
              <w:rPr>
                <w:rFonts w:ascii="宋体" w:cs="宋体"/>
                <w:color w:val="000000"/>
                <w:kern w:val="0"/>
                <w:sz w:val="20"/>
                <w:szCs w:val="20"/>
              </w:rPr>
            </w:pPr>
            <w:r>
              <w:rPr>
                <w:rFonts w:hint="eastAsia" w:ascii="宋体" w:hAnsi="宋体" w:cs="宋体"/>
                <w:color w:val="000000"/>
                <w:kern w:val="0"/>
                <w:sz w:val="20"/>
                <w:szCs w:val="20"/>
              </w:rPr>
              <w:t>引导全区民营企业参与“万企帮万村”工作，</w:t>
            </w:r>
            <w:r>
              <w:rPr>
                <w:rFonts w:ascii="宋体" w:hAnsi="宋体" w:cs="宋体"/>
                <w:color w:val="000000"/>
                <w:kern w:val="0"/>
                <w:sz w:val="20"/>
                <w:szCs w:val="20"/>
              </w:rPr>
              <w:t xml:space="preserve"> 255</w:t>
            </w:r>
            <w:r>
              <w:rPr>
                <w:rFonts w:hint="eastAsia" w:ascii="宋体" w:hAnsi="宋体" w:cs="宋体"/>
                <w:color w:val="000000"/>
                <w:kern w:val="0"/>
                <w:sz w:val="20"/>
                <w:szCs w:val="20"/>
              </w:rPr>
              <w:t>家民营企业与</w:t>
            </w:r>
            <w:r>
              <w:rPr>
                <w:rFonts w:ascii="宋体" w:hAnsi="宋体" w:cs="宋体"/>
                <w:color w:val="000000"/>
                <w:kern w:val="0"/>
                <w:sz w:val="20"/>
                <w:szCs w:val="20"/>
              </w:rPr>
              <w:t>38</w:t>
            </w:r>
            <w:r>
              <w:rPr>
                <w:rFonts w:hint="eastAsia" w:ascii="宋体" w:hAnsi="宋体" w:cs="宋体"/>
                <w:color w:val="000000"/>
                <w:kern w:val="0"/>
                <w:sz w:val="20"/>
                <w:szCs w:val="20"/>
              </w:rPr>
              <w:t>个镇乡的</w:t>
            </w:r>
            <w:r>
              <w:rPr>
                <w:rFonts w:ascii="宋体" w:hAnsi="宋体" w:cs="宋体"/>
                <w:color w:val="000000"/>
                <w:kern w:val="0"/>
                <w:sz w:val="20"/>
                <w:szCs w:val="20"/>
              </w:rPr>
              <w:t>153</w:t>
            </w:r>
            <w:r>
              <w:rPr>
                <w:rFonts w:hint="eastAsia" w:ascii="宋体" w:hAnsi="宋体" w:cs="宋体"/>
                <w:color w:val="000000"/>
                <w:kern w:val="0"/>
                <w:sz w:val="20"/>
                <w:szCs w:val="20"/>
              </w:rPr>
              <w:t>个村结对帮扶，共帮扶贫困人口</w:t>
            </w:r>
            <w:r>
              <w:rPr>
                <w:rFonts w:ascii="宋体" w:hAnsi="宋体" w:cs="宋体"/>
                <w:color w:val="000000"/>
                <w:kern w:val="0"/>
                <w:sz w:val="20"/>
                <w:szCs w:val="20"/>
              </w:rPr>
              <w:t>1.8</w:t>
            </w:r>
            <w:r>
              <w:rPr>
                <w:rFonts w:hint="eastAsia" w:ascii="宋体" w:hAnsi="宋体" w:cs="宋体"/>
                <w:color w:val="000000"/>
                <w:kern w:val="0"/>
                <w:sz w:val="20"/>
                <w:szCs w:val="20"/>
              </w:rPr>
              <w:t>万人，产业扶贫项目</w:t>
            </w:r>
            <w:r>
              <w:rPr>
                <w:rFonts w:ascii="宋体" w:hAnsi="宋体" w:cs="宋体"/>
                <w:color w:val="000000"/>
                <w:kern w:val="0"/>
                <w:sz w:val="20"/>
                <w:szCs w:val="20"/>
              </w:rPr>
              <w:t>209</w:t>
            </w:r>
            <w:r>
              <w:rPr>
                <w:rFonts w:hint="eastAsia" w:ascii="宋体" w:hAnsi="宋体" w:cs="宋体"/>
                <w:color w:val="000000"/>
                <w:kern w:val="0"/>
                <w:sz w:val="20"/>
                <w:szCs w:val="20"/>
              </w:rPr>
              <w:t>个，投资</w:t>
            </w:r>
            <w:r>
              <w:rPr>
                <w:rFonts w:ascii="宋体" w:hAnsi="宋体" w:cs="宋体"/>
                <w:color w:val="000000"/>
                <w:kern w:val="0"/>
                <w:sz w:val="20"/>
                <w:szCs w:val="20"/>
              </w:rPr>
              <w:t>1.5</w:t>
            </w:r>
            <w:r>
              <w:rPr>
                <w:rFonts w:hint="eastAsia" w:ascii="宋体" w:hAnsi="宋体" w:cs="宋体"/>
                <w:color w:val="000000"/>
                <w:kern w:val="0"/>
                <w:sz w:val="20"/>
                <w:szCs w:val="20"/>
              </w:rPr>
              <w:t>亿元；开展消费扶贫通过采购贫困村农特产品助力消费扶贫金额超过</w:t>
            </w:r>
            <w:r>
              <w:rPr>
                <w:rFonts w:ascii="宋体" w:hAnsi="宋体" w:cs="宋体"/>
                <w:color w:val="000000"/>
                <w:kern w:val="0"/>
                <w:sz w:val="20"/>
                <w:szCs w:val="20"/>
              </w:rPr>
              <w:t>200</w:t>
            </w:r>
            <w:r>
              <w:rPr>
                <w:rFonts w:hint="eastAsia" w:ascii="宋体" w:hAnsi="宋体" w:cs="宋体"/>
                <w:color w:val="000000"/>
                <w:kern w:val="0"/>
                <w:sz w:val="20"/>
                <w:szCs w:val="20"/>
              </w:rPr>
              <w:t>万元；做实做深走马镇熊家村、凉风村脱贫攻坚帮扶工作，落实帮扶资金</w:t>
            </w:r>
            <w:r>
              <w:rPr>
                <w:rFonts w:ascii="宋体" w:hAnsi="宋体" w:cs="宋体"/>
                <w:color w:val="000000"/>
                <w:kern w:val="0"/>
                <w:sz w:val="20"/>
                <w:szCs w:val="20"/>
              </w:rPr>
              <w:t>44.10</w:t>
            </w:r>
            <w:r>
              <w:rPr>
                <w:rFonts w:hint="eastAsia" w:ascii="宋体" w:hAnsi="宋体" w:cs="宋体"/>
                <w:color w:val="000000"/>
                <w:kern w:val="0"/>
                <w:sz w:val="20"/>
                <w:szCs w:val="20"/>
              </w:rPr>
              <w:t>万元。</w:t>
            </w:r>
          </w:p>
        </w:tc>
        <w:tc>
          <w:tcPr>
            <w:tcW w:w="948" w:type="dxa"/>
            <w:tcBorders>
              <w:top w:val="single" w:color="auto" w:sz="4" w:space="0"/>
              <w:left w:val="nil"/>
              <w:bottom w:val="single" w:color="auto" w:sz="4" w:space="0"/>
              <w:right w:val="single" w:color="auto" w:sz="4" w:space="0"/>
            </w:tcBorders>
            <w:vAlign w:val="center"/>
          </w:tcPr>
          <w:p w14:paraId="37929CC0">
            <w:pPr>
              <w:widowControl/>
              <w:jc w:val="right"/>
              <w:rPr>
                <w:rFonts w:ascii="宋体" w:hAnsi="宋体" w:cs="宋体"/>
                <w:color w:val="000000"/>
                <w:kern w:val="0"/>
                <w:sz w:val="20"/>
                <w:szCs w:val="20"/>
              </w:rPr>
            </w:pPr>
            <w:r>
              <w:rPr>
                <w:rFonts w:ascii="宋体" w:hAnsi="宋体" w:cs="宋体"/>
                <w:color w:val="000000"/>
                <w:kern w:val="0"/>
                <w:sz w:val="20"/>
                <w:szCs w:val="20"/>
              </w:rPr>
              <w:t>100%</w:t>
            </w:r>
          </w:p>
        </w:tc>
        <w:tc>
          <w:tcPr>
            <w:tcW w:w="1983" w:type="dxa"/>
            <w:tcBorders>
              <w:top w:val="single" w:color="auto" w:sz="4" w:space="0"/>
              <w:left w:val="nil"/>
              <w:bottom w:val="single" w:color="auto" w:sz="4" w:space="0"/>
              <w:right w:val="single" w:color="auto" w:sz="4" w:space="0"/>
            </w:tcBorders>
            <w:vAlign w:val="center"/>
          </w:tcPr>
          <w:p w14:paraId="4A8452D1">
            <w:pPr>
              <w:widowControl/>
              <w:jc w:val="left"/>
              <w:rPr>
                <w:rFonts w:ascii="宋体" w:cs="宋体"/>
                <w:color w:val="000000"/>
                <w:kern w:val="0"/>
                <w:sz w:val="20"/>
                <w:szCs w:val="20"/>
              </w:rPr>
            </w:pPr>
          </w:p>
        </w:tc>
      </w:tr>
      <w:tr w14:paraId="5431B415">
        <w:tblPrEx>
          <w:tblCellMar>
            <w:top w:w="0" w:type="dxa"/>
            <w:left w:w="108" w:type="dxa"/>
            <w:bottom w:w="0" w:type="dxa"/>
            <w:right w:w="108" w:type="dxa"/>
          </w:tblCellMar>
        </w:tblPrEx>
        <w:trPr>
          <w:trHeight w:val="1380"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14:paraId="2ECADDEA">
            <w:pPr>
              <w:widowControl/>
              <w:jc w:val="left"/>
              <w:rPr>
                <w:rFonts w:ascii="宋体" w:cs="宋体"/>
                <w:color w:val="000000"/>
                <w:kern w:val="0"/>
                <w:sz w:val="20"/>
                <w:szCs w:val="20"/>
              </w:rPr>
            </w:pPr>
          </w:p>
        </w:tc>
        <w:tc>
          <w:tcPr>
            <w:tcW w:w="1596" w:type="dxa"/>
            <w:gridSpan w:val="3"/>
            <w:tcBorders>
              <w:top w:val="single" w:color="auto" w:sz="4" w:space="0"/>
              <w:left w:val="nil"/>
              <w:bottom w:val="single" w:color="auto" w:sz="4" w:space="0"/>
              <w:right w:val="single" w:color="auto" w:sz="4" w:space="0"/>
            </w:tcBorders>
            <w:vAlign w:val="center"/>
          </w:tcPr>
          <w:p w14:paraId="1674005F">
            <w:pPr>
              <w:widowControl/>
              <w:jc w:val="left"/>
              <w:rPr>
                <w:rFonts w:ascii="宋体" w:cs="宋体"/>
                <w:kern w:val="0"/>
                <w:sz w:val="20"/>
                <w:szCs w:val="20"/>
              </w:rPr>
            </w:pPr>
            <w:r>
              <w:rPr>
                <w:rFonts w:hint="eastAsia" w:ascii="宋体" w:hAnsi="宋体" w:cs="宋体"/>
                <w:kern w:val="0"/>
                <w:sz w:val="20"/>
                <w:szCs w:val="20"/>
              </w:rPr>
              <w:t>定期对项目资金使用情况进行检查，并配合财政部门开展绩效评估工作和绩效跟踪管理。</w:t>
            </w:r>
          </w:p>
        </w:tc>
        <w:tc>
          <w:tcPr>
            <w:tcW w:w="1316" w:type="dxa"/>
            <w:tcBorders>
              <w:top w:val="single" w:color="auto" w:sz="4" w:space="0"/>
              <w:left w:val="nil"/>
              <w:bottom w:val="single" w:color="auto" w:sz="4" w:space="0"/>
              <w:right w:val="single" w:color="auto" w:sz="4" w:space="0"/>
            </w:tcBorders>
            <w:vAlign w:val="center"/>
          </w:tcPr>
          <w:p w14:paraId="4CBF0248">
            <w:pPr>
              <w:widowControl/>
              <w:jc w:val="left"/>
              <w:rPr>
                <w:rFonts w:ascii="宋体" w:cs="宋体"/>
                <w:kern w:val="0"/>
                <w:sz w:val="20"/>
                <w:szCs w:val="20"/>
              </w:rPr>
            </w:pPr>
            <w:r>
              <w:rPr>
                <w:rFonts w:hint="eastAsia" w:ascii="宋体" w:hAnsi="宋体" w:cs="宋体"/>
                <w:kern w:val="0"/>
                <w:sz w:val="20"/>
                <w:szCs w:val="20"/>
              </w:rPr>
              <w:t>制定资金管理办法</w:t>
            </w:r>
          </w:p>
        </w:tc>
        <w:tc>
          <w:tcPr>
            <w:tcW w:w="3122" w:type="dxa"/>
            <w:tcBorders>
              <w:top w:val="single" w:color="auto" w:sz="4" w:space="0"/>
              <w:left w:val="nil"/>
              <w:bottom w:val="single" w:color="auto" w:sz="4" w:space="0"/>
              <w:right w:val="single" w:color="auto" w:sz="4" w:space="0"/>
            </w:tcBorders>
            <w:vAlign w:val="center"/>
          </w:tcPr>
          <w:p w14:paraId="23388D74">
            <w:pPr>
              <w:widowControl/>
              <w:jc w:val="left"/>
              <w:rPr>
                <w:rFonts w:ascii="宋体" w:cs="宋体"/>
                <w:color w:val="000000"/>
                <w:kern w:val="0"/>
                <w:sz w:val="20"/>
                <w:szCs w:val="20"/>
              </w:rPr>
            </w:pPr>
            <w:r>
              <w:rPr>
                <w:rFonts w:hint="eastAsia" w:ascii="宋体" w:hAnsi="宋体" w:cs="宋体"/>
                <w:color w:val="000000"/>
                <w:kern w:val="0"/>
                <w:sz w:val="20"/>
                <w:szCs w:val="20"/>
              </w:rPr>
              <w:t>修改完资金管理办法。</w:t>
            </w:r>
          </w:p>
        </w:tc>
        <w:tc>
          <w:tcPr>
            <w:tcW w:w="948" w:type="dxa"/>
            <w:tcBorders>
              <w:top w:val="single" w:color="auto" w:sz="4" w:space="0"/>
              <w:left w:val="nil"/>
              <w:bottom w:val="single" w:color="auto" w:sz="4" w:space="0"/>
              <w:right w:val="single" w:color="auto" w:sz="4" w:space="0"/>
            </w:tcBorders>
            <w:vAlign w:val="center"/>
          </w:tcPr>
          <w:p w14:paraId="0D460830">
            <w:pPr>
              <w:widowControl/>
              <w:jc w:val="right"/>
              <w:rPr>
                <w:rFonts w:ascii="宋体" w:cs="宋体"/>
                <w:color w:val="000000"/>
                <w:kern w:val="0"/>
                <w:sz w:val="20"/>
                <w:szCs w:val="20"/>
              </w:rPr>
            </w:pPr>
            <w:r>
              <w:rPr>
                <w:rFonts w:ascii="宋体" w:hAnsi="宋体" w:cs="宋体"/>
                <w:color w:val="000000"/>
                <w:kern w:val="0"/>
                <w:sz w:val="20"/>
                <w:szCs w:val="20"/>
              </w:rPr>
              <w:t>100%</w:t>
            </w:r>
          </w:p>
        </w:tc>
        <w:tc>
          <w:tcPr>
            <w:tcW w:w="1983" w:type="dxa"/>
            <w:tcBorders>
              <w:top w:val="single" w:color="auto" w:sz="4" w:space="0"/>
              <w:left w:val="nil"/>
              <w:bottom w:val="single" w:color="auto" w:sz="4" w:space="0"/>
              <w:right w:val="single" w:color="auto" w:sz="4" w:space="0"/>
            </w:tcBorders>
            <w:vAlign w:val="center"/>
          </w:tcPr>
          <w:p w14:paraId="45E6A46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901381E">
        <w:tblPrEx>
          <w:tblCellMar>
            <w:top w:w="0" w:type="dxa"/>
            <w:left w:w="108" w:type="dxa"/>
            <w:bottom w:w="0" w:type="dxa"/>
            <w:right w:w="108" w:type="dxa"/>
          </w:tblCellMar>
        </w:tblPrEx>
        <w:trPr>
          <w:trHeight w:val="525" w:hRule="atLeast"/>
        </w:trPr>
        <w:tc>
          <w:tcPr>
            <w:tcW w:w="622" w:type="dxa"/>
            <w:tcBorders>
              <w:top w:val="nil"/>
              <w:left w:val="single" w:color="auto" w:sz="4" w:space="0"/>
              <w:bottom w:val="single" w:color="auto" w:sz="4" w:space="0"/>
              <w:right w:val="single" w:color="auto" w:sz="4" w:space="0"/>
            </w:tcBorders>
            <w:vAlign w:val="center"/>
          </w:tcPr>
          <w:p w14:paraId="793EC808">
            <w:pPr>
              <w:widowControl/>
              <w:jc w:val="center"/>
              <w:rPr>
                <w:rFonts w:ascii="宋体" w:cs="宋体"/>
                <w:color w:val="000000"/>
                <w:kern w:val="0"/>
                <w:sz w:val="20"/>
                <w:szCs w:val="20"/>
              </w:rPr>
            </w:pPr>
            <w:r>
              <w:rPr>
                <w:rFonts w:hint="eastAsia" w:ascii="宋体" w:hAnsi="宋体" w:cs="宋体"/>
                <w:color w:val="000000"/>
                <w:kern w:val="0"/>
                <w:sz w:val="20"/>
                <w:szCs w:val="20"/>
              </w:rPr>
              <w:t>说明</w:t>
            </w:r>
          </w:p>
        </w:tc>
        <w:tc>
          <w:tcPr>
            <w:tcW w:w="8965" w:type="dxa"/>
            <w:gridSpan w:val="7"/>
            <w:tcBorders>
              <w:top w:val="single" w:color="auto" w:sz="4" w:space="0"/>
              <w:left w:val="nil"/>
              <w:bottom w:val="single" w:color="auto" w:sz="4" w:space="0"/>
              <w:right w:val="single" w:color="auto" w:sz="4" w:space="0"/>
            </w:tcBorders>
            <w:vAlign w:val="center"/>
          </w:tcPr>
          <w:p w14:paraId="36FDF636">
            <w:pPr>
              <w:widowControl/>
              <w:jc w:val="left"/>
              <w:rPr>
                <w:rFonts w:ascii="宋体" w:cs="宋体"/>
                <w:color w:val="000000"/>
                <w:kern w:val="0"/>
                <w:sz w:val="20"/>
                <w:szCs w:val="20"/>
              </w:rPr>
            </w:pPr>
            <w:r>
              <w:rPr>
                <w:rFonts w:hint="eastAsia" w:ascii="宋体" w:hAnsi="宋体" w:cs="宋体"/>
                <w:color w:val="000000"/>
                <w:kern w:val="0"/>
                <w:sz w:val="20"/>
                <w:szCs w:val="20"/>
              </w:rPr>
              <w:t>请在此处简要说明各级审计和财政监督检查中发现的问题及其所涉及的金额，如没有请填无。</w:t>
            </w:r>
          </w:p>
        </w:tc>
      </w:tr>
    </w:tbl>
    <w:p w14:paraId="488090E3">
      <w:pPr>
        <w:pStyle w:val="16"/>
        <w:tabs>
          <w:tab w:val="center" w:pos="4153"/>
          <w:tab w:val="left" w:pos="7275"/>
        </w:tabs>
        <w:spacing w:line="570" w:lineRule="exact"/>
        <w:ind w:firstLine="64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2.绩效自评报告或案例</w:t>
      </w:r>
    </w:p>
    <w:p w14:paraId="0F60D159">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本单位2020年度没有委托第三方开展绩效自评，无此类情况说明。</w:t>
      </w:r>
    </w:p>
    <w:p w14:paraId="0D392C69">
      <w:pPr>
        <w:widowControl/>
        <w:shd w:val="clear" w:color="auto" w:fill="FFFFFF"/>
        <w:spacing w:line="570" w:lineRule="exact"/>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（三）重点绩效评价结果</w:t>
      </w:r>
    </w:p>
    <w:p w14:paraId="089F3455">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本单位2020年没有委托第三方对部门政策或项目开展重点绩效评价，无此类情况说明。</w:t>
      </w:r>
    </w:p>
    <w:p w14:paraId="0C0E1CF5">
      <w:pPr>
        <w:widowControl/>
        <w:shd w:val="clear" w:color="auto" w:fill="FFFFFF"/>
        <w:spacing w:line="570" w:lineRule="exact"/>
        <w:ind w:firstLine="640" w:firstLineChars="200"/>
        <w:jc w:val="left"/>
        <w:rPr>
          <w:rFonts w:ascii="微软雅黑" w:hAnsi="微软雅黑" w:eastAsia="微软雅黑" w:cs="宋体"/>
          <w:kern w:val="0"/>
          <w:sz w:val="32"/>
          <w:szCs w:val="32"/>
        </w:rPr>
      </w:pPr>
      <w:bookmarkStart w:id="0" w:name="_Toc44226881"/>
      <w:r>
        <w:rPr>
          <w:rFonts w:hint="eastAsia" w:ascii="方正黑体_GBK" w:hAnsi="微软雅黑" w:eastAsia="方正黑体_GBK" w:cs="宋体"/>
          <w:kern w:val="0"/>
          <w:sz w:val="32"/>
          <w:szCs w:val="32"/>
        </w:rPr>
        <w:t>六、部门整体支出绩效情况</w:t>
      </w:r>
      <w:bookmarkEnd w:id="0"/>
    </w:p>
    <w:p w14:paraId="2F2AD32B">
      <w:pPr>
        <w:widowControl/>
        <w:shd w:val="clear" w:color="auto" w:fill="FFFFFF"/>
        <w:spacing w:line="570" w:lineRule="exact"/>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（一）年度部门总体运行情况及取得的成绩。</w:t>
      </w:r>
    </w:p>
    <w:p w14:paraId="209F74BE">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区工商联在区委、区政府的领导下，在市工商联和区委统战部的指导下，以习近平新时代中国特色社会主义思想为指导，深入学习贯彻党的十九大及十九届二中</w:t>
      </w:r>
      <w:r>
        <w:rPr>
          <w:rFonts w:hint="eastAsia" w:ascii="Times New Roman" w:hAnsi="Times New Roman" w:eastAsia="方正仿宋_GBK" w:cs="Times New Roman"/>
          <w:spacing w:val="-2"/>
          <w:sz w:val="32"/>
          <w:szCs w:val="32"/>
          <w:lang w:eastAsia="zh-CN"/>
        </w:rPr>
        <w:t>、</w:t>
      </w:r>
      <w:r>
        <w:rPr>
          <w:rFonts w:hint="eastAsia" w:ascii="Times New Roman" w:hAnsi="Times New Roman" w:eastAsia="方正仿宋_GBK" w:cs="Times New Roman"/>
          <w:spacing w:val="-2"/>
          <w:sz w:val="32"/>
          <w:szCs w:val="32"/>
        </w:rPr>
        <w:t>三中</w:t>
      </w:r>
      <w:r>
        <w:rPr>
          <w:rFonts w:hint="eastAsia" w:ascii="Times New Roman" w:hAnsi="Times New Roman" w:eastAsia="方正仿宋_GBK" w:cs="Times New Roman"/>
          <w:spacing w:val="-2"/>
          <w:sz w:val="32"/>
          <w:szCs w:val="32"/>
          <w:lang w:eastAsia="zh-CN"/>
        </w:rPr>
        <w:t>、</w:t>
      </w:r>
      <w:r>
        <w:rPr>
          <w:rFonts w:hint="eastAsia" w:ascii="Times New Roman" w:hAnsi="Times New Roman" w:eastAsia="方正仿宋_GBK" w:cs="Times New Roman"/>
          <w:spacing w:val="-2"/>
          <w:sz w:val="32"/>
          <w:szCs w:val="32"/>
        </w:rPr>
        <w:t>四中</w:t>
      </w:r>
      <w:r>
        <w:rPr>
          <w:rFonts w:hint="eastAsia" w:ascii="Times New Roman" w:hAnsi="Times New Roman" w:eastAsia="方正仿宋_GBK" w:cs="Times New Roman"/>
          <w:spacing w:val="-2"/>
          <w:sz w:val="32"/>
          <w:szCs w:val="32"/>
          <w:lang w:eastAsia="zh-CN"/>
        </w:rPr>
        <w:t>、</w:t>
      </w:r>
      <w:r>
        <w:rPr>
          <w:rFonts w:hint="eastAsia" w:ascii="Times New Roman" w:hAnsi="Times New Roman" w:eastAsia="方正仿宋_GBK" w:cs="Times New Roman"/>
          <w:spacing w:val="-2"/>
          <w:sz w:val="32"/>
          <w:szCs w:val="32"/>
        </w:rPr>
        <w:t>五中全会、区委五届六次七次八次全会精神，紧紧围绕区委区政府中心工作，聚焦“两个健康”工作主题，坚持政治建会、团结立会、服务兴会、改革强会，履职尽责、积极作为，竭力服务民营经济发展，助推全区经济社会高质量发展。</w:t>
      </w:r>
    </w:p>
    <w:p w14:paraId="5509C2F2">
      <w:pPr>
        <w:spacing w:line="57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1．加强政治建设，把牢正确的政治方向</w:t>
      </w:r>
    </w:p>
    <w:p w14:paraId="6BD951B7">
      <w:pPr>
        <w:pStyle w:val="7"/>
        <w:spacing w:before="0" w:beforeAutospacing="0" w:after="0" w:afterAutospacing="0" w:line="570" w:lineRule="exact"/>
        <w:ind w:firstLine="632" w:firstLineChars="200"/>
        <w:jc w:val="both"/>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强化政治担当，牢牢把握新时代党的建设总要求，把政治建设放在首位，深入学习贯彻习近平新时代中国特色社会主义思想，认真贯彻落实习近平总书记系列重要讲话以及对新时代民营经济统战工作重要指示、全国民营经济统战工作会议、中共中央办公厅《关于加强新时代民营经济统战工作的意见》精神，做到学深学透、真信真懂，学以致用、知行合一，坚定不移地贯彻执行中央、市委和区委各项决策部署，严守政治纪律、组织纪律、廉洁纪律、群众纪律、工作纪律、生活纪律，教育党员干部拧紧“总开关”，讲纪律守规矩，树牢“四个意识”、坚定“四个自信”、做到“两个维护”，切实增强政治自觉、思想自觉、行动自觉，牢固树立正确的政治方向、政治立场，确保上级决策部署在工商联落地生根，主动担当起促进“两个健康”的重任。</w:t>
      </w:r>
    </w:p>
    <w:p w14:paraId="2F63770C">
      <w:pPr>
        <w:spacing w:line="57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2．强化政治思想引领，促进民营经济人士健康成长</w:t>
      </w:r>
    </w:p>
    <w:p w14:paraId="3856CC11">
      <w:pPr>
        <w:adjustRightInd w:val="0"/>
        <w:snapToGrid w:val="0"/>
        <w:spacing w:line="560" w:lineRule="exact"/>
        <w:ind w:firstLine="632" w:firstLineChars="200"/>
        <w:rPr>
          <w:rFonts w:ascii="方正仿宋_GBK" w:hAnsi="仿宋" w:eastAsia="方正仿宋_GBK"/>
          <w:kern w:val="0"/>
          <w:sz w:val="32"/>
          <w:szCs w:val="32"/>
        </w:rPr>
      </w:pPr>
      <w:r>
        <w:rPr>
          <w:rFonts w:hint="eastAsia" w:ascii="方正楷体_GBK" w:hAnsi="方正楷体_GBK" w:eastAsia="方正楷体_GBK" w:cs="方正楷体_GBK"/>
          <w:spacing w:val="-2"/>
          <w:kern w:val="0"/>
          <w:sz w:val="32"/>
          <w:szCs w:val="32"/>
        </w:rPr>
        <w:t>一是强化政策形势学习教育。</w:t>
      </w:r>
      <w:r>
        <w:rPr>
          <w:rFonts w:hint="eastAsia" w:ascii="Times New Roman" w:hAnsi="Times New Roman" w:eastAsia="方正仿宋_GBK"/>
          <w:spacing w:val="-2"/>
          <w:kern w:val="0"/>
          <w:sz w:val="32"/>
          <w:szCs w:val="32"/>
        </w:rPr>
        <w:t>通过主席（会长）会、执（常）委会、民营企业家座谈会、会员企业党组织工作推进会等途径和方式，组织民营经济人士认真学习习近平新时代中国特色社会主义思想、十九届四中</w:t>
      </w:r>
      <w:r>
        <w:rPr>
          <w:rFonts w:hint="eastAsia" w:ascii="Times New Roman" w:hAnsi="Times New Roman" w:eastAsia="方正仿宋_GBK"/>
          <w:spacing w:val="-2"/>
          <w:kern w:val="0"/>
          <w:sz w:val="32"/>
          <w:szCs w:val="32"/>
          <w:lang w:eastAsia="zh-CN"/>
        </w:rPr>
        <w:t>、</w:t>
      </w:r>
      <w:r>
        <w:rPr>
          <w:rFonts w:hint="eastAsia" w:ascii="Times New Roman" w:hAnsi="Times New Roman" w:eastAsia="方正仿宋_GBK"/>
          <w:spacing w:val="-2"/>
          <w:kern w:val="0"/>
          <w:sz w:val="32"/>
          <w:szCs w:val="32"/>
        </w:rPr>
        <w:t>五中全会、习近平总书记在民营企业座谈会和企业家座谈会上重要讲话、全国两会、市委五届七次八次九次全会和区委五届六次七次八次全会精神，引导民营经济人士树牢“四个意识”、坚定“四个自信”、做到“两个维护”，坚定不移听党话跟党走，准确把握新发展阶段、贯彻新发展理念、融入新发展格局、推动高质量发展，为推动全区经济社会发展凝聚共识、汇聚力量。共组织政策宣讲、专题报告、集中辅导5场次，举办培训班4期、研讨会4次。开展党员领导干部与民营经济代表人士谈心交心，宣传政策、</w:t>
      </w:r>
      <w:r>
        <w:rPr>
          <w:rFonts w:hint="eastAsia" w:ascii="方正仿宋_GBK" w:hAnsi="仿宋" w:eastAsia="方正仿宋_GBK"/>
          <w:kern w:val="0"/>
          <w:sz w:val="32"/>
          <w:szCs w:val="32"/>
        </w:rPr>
        <w:t>倾听呼声、正面引导、帮解问题，做民营经济代表人士的“贴心人”。</w:t>
      </w:r>
    </w:p>
    <w:p w14:paraId="175D9560">
      <w:pPr>
        <w:adjustRightInd w:val="0"/>
        <w:snapToGrid w:val="0"/>
        <w:spacing w:line="560" w:lineRule="exact"/>
        <w:ind w:firstLine="640" w:firstLineChars="200"/>
        <w:rPr>
          <w:rFonts w:ascii="Times New Roman" w:hAnsi="Times New Roman" w:eastAsia="方正仿宋_GBK"/>
          <w:spacing w:val="-2"/>
          <w:kern w:val="0"/>
          <w:sz w:val="32"/>
          <w:szCs w:val="32"/>
        </w:rPr>
      </w:pPr>
      <w:r>
        <w:rPr>
          <w:rFonts w:hint="eastAsia" w:ascii="方正楷体_GBK" w:hAnsi="仿宋" w:eastAsia="方正楷体_GBK"/>
          <w:sz w:val="32"/>
          <w:szCs w:val="32"/>
        </w:rPr>
        <w:t>二是强化理想信念教育。</w:t>
      </w:r>
      <w:r>
        <w:rPr>
          <w:rFonts w:hint="eastAsia" w:ascii="Times New Roman" w:hAnsi="Times New Roman" w:eastAsia="方正仿宋_GBK"/>
          <w:spacing w:val="-2"/>
          <w:kern w:val="0"/>
          <w:sz w:val="32"/>
          <w:szCs w:val="32"/>
        </w:rPr>
        <w:t>深入开展民营经济人士理想信念教育实践活动，着力增强民营经济人士对中国特色社会主义的信念、对党和政府的信任、对企业发展的信心、对社会的信义。引导民营企业家遵纪守法、诚信经营，洁身自好走正道行大道，积极主动与党委政府沟通交流，说真话进诤言，做到亲而有度、清而不疏，合力构建“亲”“清”新型政商关系。</w:t>
      </w:r>
    </w:p>
    <w:p w14:paraId="192FB02A">
      <w:pPr>
        <w:spacing w:line="580" w:lineRule="exact"/>
        <w:ind w:firstLine="640" w:firstLineChars="200"/>
        <w:rPr>
          <w:rFonts w:ascii="Times New Roman" w:hAnsi="Times New Roman" w:eastAsia="方正仿宋_GBK"/>
          <w:spacing w:val="-2"/>
          <w:kern w:val="0"/>
          <w:sz w:val="32"/>
          <w:szCs w:val="32"/>
        </w:rPr>
      </w:pPr>
      <w:r>
        <w:rPr>
          <w:rFonts w:hint="eastAsia" w:ascii="方正楷体_GBK" w:hAnsi="方正仿宋_GBK" w:eastAsia="方正楷体_GBK" w:cs="方正仿宋_GBK"/>
          <w:sz w:val="32"/>
          <w:szCs w:val="32"/>
        </w:rPr>
        <w:t>三是</w:t>
      </w:r>
      <w:r>
        <w:rPr>
          <w:rFonts w:hint="eastAsia" w:ascii="方正楷体_GBK" w:hAnsi="仿宋" w:eastAsia="方正楷体_GBK" w:cs="方正仿宋简体"/>
          <w:sz w:val="32"/>
          <w:szCs w:val="32"/>
        </w:rPr>
        <w:t>强化正面宣传引导。</w:t>
      </w:r>
      <w:r>
        <w:rPr>
          <w:rFonts w:hint="eastAsia" w:ascii="Times New Roman" w:hAnsi="Times New Roman" w:eastAsia="方正仿宋_GBK"/>
          <w:spacing w:val="-2"/>
          <w:kern w:val="0"/>
          <w:sz w:val="32"/>
          <w:szCs w:val="32"/>
        </w:rPr>
        <w:t>充分利用工商联微信群、QQ群等新兴网络宣传载体，发挥统战性特征，加强对民营经济人士的正向引导，唱响主旋律、坚守主阵地、凝聚正能量、发出好声音。通过执（常）委会、专题培训、座谈交流等方式，引导民营经济人士大力弘扬企业家精神，加强自我学习、自我教育、自我提高，做爱国敬业、守法经营、创业创新、回报社会的典范。注重民营经济人士选优树先，推荐民营企业和民营企业家获省部级表彰集体2个、个人1人次，厅局级表彰集体7个、个人3人次。</w:t>
      </w:r>
    </w:p>
    <w:p w14:paraId="5D7A0E17">
      <w:pPr>
        <w:pStyle w:val="22"/>
        <w:widowControl w:val="0"/>
        <w:spacing w:line="540" w:lineRule="exact"/>
        <w:ind w:firstLine="640" w:firstLineChars="200"/>
        <w:rPr>
          <w:rFonts w:eastAsia="方正仿宋_GBK"/>
          <w:spacing w:val="-2"/>
          <w:sz w:val="32"/>
          <w:szCs w:val="32"/>
        </w:rPr>
      </w:pPr>
      <w:r>
        <w:rPr>
          <w:rFonts w:hint="eastAsia" w:ascii="方正楷体_GBK" w:hAnsi="仿宋" w:eastAsia="方正楷体_GBK"/>
          <w:sz w:val="32"/>
          <w:szCs w:val="32"/>
        </w:rPr>
        <w:t>四是强化会员企业党的建设。</w:t>
      </w:r>
      <w:r>
        <w:rPr>
          <w:rFonts w:hint="eastAsia" w:eastAsia="方正仿宋_GBK"/>
          <w:spacing w:val="-2"/>
          <w:sz w:val="32"/>
          <w:szCs w:val="32"/>
        </w:rPr>
        <w:t>压实党组织书记第一责任，督促落实企业党组织书记抓党建工作责任清单、党组织工作任务清单。扎实开展2019年度党组织书记述职评议工作。督促落实“三会一课”、主题党日、组织生活会等制度，推进“两学一做”学习教育常态化制度化。举办入党积极分子培训班，培训入党积极分子12名。坚持把政治标准放在首位，新发展党员10名，预备党员转正10名。组织广大党员学习《中国共产党章程》、党内法规、党史、新中国史、改革开放史、社会主义发展史，开展重温入党誓词、党员评先、参观革命烈士陵园等活动，强化党性锤炼，坚定理想信念。组织会员企业党组织书记专题学习习近平总书记在企业家座谈会上重要讲话精神，开展廉洁警示教育活动；指导9个党组织按期完成换届，转接党组织关系23人；通过工作推进会、学习培训、专题辅导等方式，培训党组织书记、党务工作者70余人次，发放《非公党建工作实务指南》《党支部工作手册》《发展党员工作手册》等业务书籍248册，提升业务能力和履职水平。落实党员干部联系企业党组织制度，8名党员干部定点联系32个会员企业党组织；组织民营企业积极参与政企“双向实训”，会同区委组织部选派3名区级部门机关干部到德佳玻璃、昌唐管业、优快人力资源为期半年的实地挂职；大力开展“双强双带”、“双亮双争”活动，切实把好企业发展走向、业主政治方向、职工思想倾向，助添企业转型之力和构建和谐之力。助力疫情防控和复工复产，谭木匠公司、恒森集团、银河集团等会员企业党组织和党员积极捐款捐物，其中党员个人捐款11.4万余元；企业党组织全力服务企业复工复产，向企业宣传解读复工复产政策，协调解决具体困难，确保疫情防控和企业发展双推进。</w:t>
      </w:r>
    </w:p>
    <w:p w14:paraId="32677B0C">
      <w:pPr>
        <w:spacing w:line="560" w:lineRule="exact"/>
        <w:ind w:firstLine="640" w:firstLineChars="200"/>
        <w:rPr>
          <w:rFonts w:ascii="方正仿宋_GBK" w:hAnsi="仿宋" w:eastAsia="方正仿宋_GBK"/>
          <w:kern w:val="0"/>
          <w:sz w:val="32"/>
          <w:szCs w:val="32"/>
        </w:rPr>
      </w:pPr>
      <w:r>
        <w:rPr>
          <w:rFonts w:hint="eastAsia" w:ascii="方正楷体_GBK" w:hAnsi="仿宋" w:eastAsia="方正楷体_GBK"/>
          <w:sz w:val="32"/>
          <w:szCs w:val="32"/>
        </w:rPr>
        <w:t>五是</w:t>
      </w:r>
      <w:r>
        <w:rPr>
          <w:rFonts w:hint="eastAsia" w:ascii="方正楷体_GBK" w:eastAsia="方正楷体_GBK"/>
          <w:sz w:val="32"/>
          <w:szCs w:val="32"/>
        </w:rPr>
        <w:t>强化新生代企业家教育培养。</w:t>
      </w:r>
      <w:r>
        <w:rPr>
          <w:rFonts w:hint="eastAsia" w:ascii="Times New Roman" w:hAnsi="Times New Roman" w:eastAsia="方正仿宋_GBK"/>
          <w:spacing w:val="-2"/>
          <w:kern w:val="0"/>
          <w:sz w:val="32"/>
          <w:szCs w:val="32"/>
        </w:rPr>
        <w:t>发挥青年商会平台作用，开办青年企业家商学院，开展“社群营销分享会”、“放飞一夏共话发展”、“领悟两会精神弘扬传统文化”共叙粽香情、“青商力量大护绿聚一夏”、“我运动我健康”、“后疫情时代一起动起来”等主题活动，组织线上培训，搭建“好生意店铺”线上销售平台，协助解决企业发展难题，展示新时代青年企业家良好形象。</w:t>
      </w:r>
    </w:p>
    <w:p w14:paraId="1985C607">
      <w:pPr>
        <w:spacing w:line="57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 围绕中心服务大局，助推全区经济社会发展</w:t>
      </w:r>
    </w:p>
    <w:p w14:paraId="1BBF7A7B">
      <w:pPr>
        <w:spacing w:line="560" w:lineRule="exact"/>
        <w:ind w:firstLine="632" w:firstLineChars="200"/>
        <w:rPr>
          <w:rFonts w:ascii="Times New Roman" w:hAnsi="Times New Roman" w:eastAsia="方正仿宋_GBK"/>
          <w:spacing w:val="-2"/>
          <w:kern w:val="0"/>
          <w:sz w:val="32"/>
          <w:szCs w:val="32"/>
        </w:rPr>
      </w:pPr>
      <w:r>
        <w:rPr>
          <w:rFonts w:hint="eastAsia" w:ascii="方正楷体_GBK" w:hAnsi="方正楷体_GBK" w:eastAsia="方正楷体_GBK" w:cs="方正楷体_GBK"/>
          <w:spacing w:val="-2"/>
          <w:kern w:val="0"/>
          <w:sz w:val="32"/>
          <w:szCs w:val="32"/>
        </w:rPr>
        <w:t>一是着力调研建言献策。</w:t>
      </w:r>
      <w:r>
        <w:rPr>
          <w:rFonts w:hint="eastAsia" w:ascii="Times New Roman" w:hAnsi="Times New Roman" w:eastAsia="方正仿宋_GBK"/>
          <w:spacing w:val="-2"/>
          <w:kern w:val="0"/>
          <w:sz w:val="32"/>
          <w:szCs w:val="32"/>
        </w:rPr>
        <w:t>开展提升金融服务能力促进民营经济发展、民营企业运行状况、商会改革发展、优化营商环境、民营企业上规模、履行社会责任、政策落实情况、复工复产等专题调研8次，积极参与“成渝双城经济圈民营经济交流合作、高质量发展研究”重点课题调研，组织召开3次民营企业座谈会，广泛听取民营企业诉求和意见建议，及时为区委区政府和相关方面提供决策参考。引导非公经济人士建言献策，组织86人次参加全区性大会、区委和区政府相关专题会、工商联界别政协委员活动，组织提交政协集体提案7件、个人提案19件，其中3件被列为区领导牵头督办的重点提案。</w:t>
      </w:r>
    </w:p>
    <w:p w14:paraId="644B3D8E">
      <w:pPr>
        <w:spacing w:line="560" w:lineRule="exact"/>
        <w:ind w:firstLine="632" w:firstLineChars="200"/>
        <w:rPr>
          <w:rFonts w:ascii="Times New Roman" w:hAnsi="Times New Roman" w:eastAsia="方正仿宋_GBK"/>
          <w:spacing w:val="-2"/>
          <w:kern w:val="0"/>
          <w:sz w:val="32"/>
          <w:szCs w:val="32"/>
        </w:rPr>
      </w:pPr>
      <w:r>
        <w:rPr>
          <w:rFonts w:hint="eastAsia" w:ascii="方正楷体_GBK" w:hAnsi="方正楷体_GBK" w:eastAsia="方正楷体_GBK" w:cs="方正楷体_GBK"/>
          <w:spacing w:val="-2"/>
          <w:kern w:val="0"/>
          <w:sz w:val="32"/>
          <w:szCs w:val="32"/>
        </w:rPr>
        <w:t>二是着力开展民营企业“百日大走访”活动。</w:t>
      </w:r>
      <w:r>
        <w:rPr>
          <w:rFonts w:hint="eastAsia" w:ascii="Times New Roman" w:hAnsi="Times New Roman" w:eastAsia="方正仿宋_GBK"/>
          <w:spacing w:val="-2"/>
          <w:kern w:val="0"/>
          <w:sz w:val="32"/>
          <w:szCs w:val="32"/>
        </w:rPr>
        <w:t>2020年6月到9月，全区统一战线组成57个走访组，开展“抓‘六稳’促‘六保’民营企业百日大走访”活动，重点针对中小微民营企业、个体工商户以及受疫情影响较大的餐饮住宿、文化旅游等行业的民营市场主体，通过送一本法律手册、讲一套政策文件、听一些情况反映、收一些典型案例、解一批困难问题的“五个一”事项化服务方式，坚持企业反映的问题不过夜、不推诿、不拖延、不回避的“四不”问题办理原则，着力保市场主体，大力营造关心、关注、支持民营经济发展的浓厚氛围。共走访民营企业1234家，召开座谈会869场次，帮助企业化解困难问题779个。</w:t>
      </w:r>
    </w:p>
    <w:p w14:paraId="320B93E0">
      <w:pPr>
        <w:spacing w:line="560" w:lineRule="exact"/>
        <w:ind w:firstLine="632" w:firstLineChars="200"/>
        <w:rPr>
          <w:rFonts w:ascii="Times New Roman" w:hAnsi="Times New Roman" w:eastAsia="方正仿宋_GBK"/>
          <w:spacing w:val="-2"/>
          <w:kern w:val="0"/>
          <w:sz w:val="32"/>
          <w:szCs w:val="32"/>
        </w:rPr>
      </w:pPr>
      <w:r>
        <w:rPr>
          <w:rFonts w:hint="eastAsia" w:ascii="方正楷体_GBK" w:hAnsi="方正楷体_GBK" w:eastAsia="方正楷体_GBK" w:cs="方正楷体_GBK"/>
          <w:spacing w:val="-2"/>
          <w:kern w:val="0"/>
          <w:sz w:val="32"/>
          <w:szCs w:val="32"/>
        </w:rPr>
        <w:t>三是着力战疫情促发展。</w:t>
      </w:r>
      <w:r>
        <w:rPr>
          <w:rFonts w:hint="eastAsia" w:ascii="Times New Roman" w:hAnsi="Times New Roman" w:eastAsia="方正仿宋_GBK"/>
          <w:spacing w:val="-2"/>
          <w:kern w:val="0"/>
          <w:sz w:val="32"/>
          <w:szCs w:val="32"/>
        </w:rPr>
        <w:t>自觉扛起疫情防控政治责任，组织党员干部深入社区一线、帮扶村参与战疫。通过工商联会员微信群、商会微信群、会员企业党组织微信群等平台及时发出通知和《倡议书》，引导民营企业和商会组织全力配合、主动参与疫情防控工作，为抗击疫情捐款捐物1300多万元。搭建惠企政策推送平台，收集汇总国家、市政府、中央及市级各部门就疫情防控支持企业发展的政策措施，形成电子文本并适时更新，通过新媒体平台进行发布，引导民营企业用好用足减税降费、融资服务、稳岗返还、社保减免等扶持政策。积极提供法律服务，编印并发放《重庆市万州区民营企业应对新冠肺炎疫情适用法律法规手册》1000多本，与区律工委、区总工会、区新专联组建“疫情期间中小微企业复工法律服务指导团”，为中小微企业依法依规复工复产提供便捷的法律法规和政策依据查询。全力推动企业复工复产，区委统战部、区工商联组建在产复产民营企业8个服务队，开展联络服务工作，为企业提供合同等法律咨询200余次，协调防疫口罩3万多个，解决用工等困难问题26个，切实保障疫情期间企业安全有序复工复产。1户企业被市委、市政府表彰为抗击新冠肺炎疫情先进集体；1家商会被市工商联表彰为抗击新冠肺炎疫情先进商会；2户企业被市工商联表彰为抗击新冠肺炎疫情先进民营企业；2名企业家获全区抗疫先进个人。</w:t>
      </w:r>
    </w:p>
    <w:p w14:paraId="3ACEAD67">
      <w:pPr>
        <w:spacing w:line="560" w:lineRule="exact"/>
        <w:ind w:firstLine="632" w:firstLineChars="200"/>
        <w:rPr>
          <w:rFonts w:ascii="Times New Roman" w:hAnsi="Times New Roman" w:eastAsia="方正仿宋_GBK"/>
          <w:spacing w:val="-2"/>
          <w:kern w:val="0"/>
          <w:sz w:val="32"/>
          <w:szCs w:val="32"/>
        </w:rPr>
      </w:pPr>
      <w:r>
        <w:rPr>
          <w:rFonts w:hint="eastAsia" w:ascii="方正楷体_GBK" w:hAnsi="方正楷体_GBK" w:eastAsia="方正楷体_GBK" w:cs="方正楷体_GBK"/>
          <w:spacing w:val="-2"/>
          <w:kern w:val="0"/>
          <w:sz w:val="32"/>
          <w:szCs w:val="32"/>
        </w:rPr>
        <w:t>四是着力助推“万达开”统筹发展。</w:t>
      </w:r>
      <w:r>
        <w:rPr>
          <w:rFonts w:hint="eastAsia" w:ascii="Times New Roman" w:hAnsi="Times New Roman" w:eastAsia="方正仿宋_GBK"/>
          <w:spacing w:val="-2"/>
          <w:kern w:val="0"/>
          <w:sz w:val="32"/>
          <w:szCs w:val="32"/>
        </w:rPr>
        <w:t>认真贯彻市委和区委部署，积极融入成渝双城经济圈“万达开”统筹示范区建设，引导民营企业抓住战略机遇，在创新发展中实现合作共赢。加强与周边工商联协作交流，建立七大机制、开展七大行动，为民营企业合作发展搭建平台。</w:t>
      </w:r>
    </w:p>
    <w:p w14:paraId="67C9BC1B">
      <w:pPr>
        <w:spacing w:line="560" w:lineRule="exact"/>
        <w:ind w:firstLine="632" w:firstLineChars="200"/>
        <w:rPr>
          <w:rFonts w:ascii="Times New Roman" w:hAnsi="Times New Roman" w:eastAsia="方正仿宋_GBK"/>
          <w:spacing w:val="-2"/>
          <w:kern w:val="0"/>
          <w:sz w:val="32"/>
          <w:szCs w:val="32"/>
        </w:rPr>
      </w:pPr>
      <w:r>
        <w:rPr>
          <w:rFonts w:hint="eastAsia" w:ascii="方正楷体_GBK" w:hAnsi="方正楷体_GBK" w:eastAsia="方正楷体_GBK" w:cs="方正楷体_GBK"/>
          <w:spacing w:val="-2"/>
          <w:kern w:val="0"/>
          <w:sz w:val="32"/>
          <w:szCs w:val="32"/>
        </w:rPr>
        <w:t>五是着力开展招商引资。</w:t>
      </w:r>
      <w:r>
        <w:rPr>
          <w:rFonts w:hint="eastAsia" w:ascii="Times New Roman" w:hAnsi="Times New Roman" w:eastAsia="方正仿宋_GBK"/>
          <w:spacing w:val="-2"/>
          <w:kern w:val="0"/>
          <w:sz w:val="32"/>
          <w:szCs w:val="32"/>
        </w:rPr>
        <w:t>开展网络宣传，建立“万商会馆”微信公众号，开设“今日万州”专栏，对万州区情及万州招商信息进行广泛宣传。组织外地商会观看万州网络推介，得到外地重庆和万州商会企业家的积极响应。开展招商引资恳谈活动，组织温州、成都、昆明、江苏、上海等地万州商会200多名企业家参加万州区招商引资恳谈会，畅叙乡情、洽谈合作、共谋发展。大力开展“以商招商”，采取小分队、多批次到上海、浙江、深圳等地开展招商推介活动；通过区外万州籍工商界人士和友好兄弟商会牵线搭桥，邀请山东、浙江、四川、广东等地企业家7批200余人次来万考察；结合会员企业的项目引资需求，帮助企业积极对接联系区外投资企业。实现签约项目1亿元、到位资金3000万元。</w:t>
      </w:r>
    </w:p>
    <w:p w14:paraId="60EA4D61">
      <w:pPr>
        <w:spacing w:line="560" w:lineRule="exact"/>
        <w:ind w:firstLine="632" w:firstLineChars="200"/>
        <w:rPr>
          <w:rFonts w:ascii="Times New Roman" w:hAnsi="Times New Roman" w:eastAsia="方正仿宋_GBK"/>
          <w:spacing w:val="-2"/>
          <w:kern w:val="0"/>
          <w:sz w:val="32"/>
          <w:szCs w:val="32"/>
        </w:rPr>
      </w:pPr>
      <w:r>
        <w:rPr>
          <w:rFonts w:hint="eastAsia" w:ascii="方正楷体_GBK" w:hAnsi="方正楷体_GBK" w:eastAsia="方正楷体_GBK" w:cs="方正楷体_GBK"/>
          <w:spacing w:val="-2"/>
          <w:kern w:val="0"/>
          <w:sz w:val="32"/>
          <w:szCs w:val="32"/>
        </w:rPr>
        <w:t>六是着力助推脱贫攻坚。</w:t>
      </w:r>
      <w:r>
        <w:rPr>
          <w:rFonts w:hint="eastAsia" w:ascii="Times New Roman" w:hAnsi="Times New Roman" w:eastAsia="方正仿宋_GBK"/>
          <w:spacing w:val="-2"/>
          <w:kern w:val="0"/>
          <w:sz w:val="32"/>
          <w:szCs w:val="32"/>
        </w:rPr>
        <w:t>一是开展“民企帮村”精准扶贫行动。组织开展“镇企产业对接”、“进村招工”、“技术进村”、“资本下乡”等活动。通过持续深入的鼓励、引导、号召，全区民营企业参与“万企帮万村”工作在全市名列前茅，4家民企获市级表彰。目前，全区255家民营企业与38个镇乡的153个村结对帮扶，共帮扶贫困人口1.8万人，产业扶贫项目209个，投资1.5亿元，解决就业2870多人，开展种养殖实用技术、农村电子商务等培训4100多人次，款物捐助500多万元。二是开展消费扶贫。广发消费扶贫倡议书，积极引导商会组织和会员企业参与消费扶贫行动，通过采购贫困村农特产品助力消费扶贫金额超过200万元。组织5家民营企业参加上海消费扶贫展销，为全区农特产品经销企业扩大产品销路和市场。三是推动东西部扶贫协作。万州·济宁·邹城工商联系统坚持定人联系、定期互访机制，组织企业相互学习考察。应对疫情影响，通过网络和企业家交流微信群，向济宁市、邹城市工商联及企业家推介141个消费扶贫农特产品。济宁市2家民营企业和2个商会与万州2个重点攻坚村签订村企结对帮扶协议，捐资8万元用于人居环境整治、便民服务中心整修等，增强了扶贫工作粘合力，促进两地扶贫协作走深走实。</w:t>
      </w:r>
    </w:p>
    <w:p w14:paraId="52F84D3B">
      <w:pPr>
        <w:spacing w:line="56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 健全完善服务机制，切实帮助民企纾难解困</w:t>
      </w:r>
    </w:p>
    <w:p w14:paraId="6D5F0C5D">
      <w:pPr>
        <w:spacing w:line="560" w:lineRule="exact"/>
        <w:ind w:firstLine="640" w:firstLineChars="200"/>
        <w:rPr>
          <w:rFonts w:ascii="Times New Roman" w:hAnsi="Times New Roman" w:eastAsia="方正仿宋_GBK"/>
          <w:spacing w:val="-2"/>
          <w:kern w:val="0"/>
          <w:sz w:val="32"/>
          <w:szCs w:val="32"/>
        </w:rPr>
      </w:pPr>
      <w:r>
        <w:rPr>
          <w:rFonts w:hint="eastAsia" w:ascii="方正楷体_GBK" w:hAnsi="仿宋" w:eastAsia="方正楷体_GBK"/>
          <w:sz w:val="32"/>
          <w:szCs w:val="32"/>
        </w:rPr>
        <w:t>一是加大</w:t>
      </w:r>
      <w:r>
        <w:rPr>
          <w:rFonts w:hint="eastAsia" w:ascii="方正楷体_GBK" w:hAnsi="仿宋" w:eastAsia="方正楷体_GBK" w:cs="方正仿宋_GBK"/>
          <w:sz w:val="32"/>
          <w:szCs w:val="32"/>
        </w:rPr>
        <w:t>政策宣传力度。</w:t>
      </w:r>
      <w:r>
        <w:rPr>
          <w:rFonts w:hint="eastAsia" w:ascii="Times New Roman" w:hAnsi="Times New Roman" w:eastAsia="方正仿宋_GBK"/>
          <w:spacing w:val="-2"/>
          <w:kern w:val="0"/>
          <w:sz w:val="32"/>
          <w:szCs w:val="32"/>
        </w:rPr>
        <w:t>通过专题学习会、政银企对接会以及网络、微信、QQ群等途径，共发布涉企法规、减税降费、党组织建设、商会改革等相关信息265条。</w:t>
      </w:r>
    </w:p>
    <w:p w14:paraId="4AB70F38">
      <w:pPr>
        <w:spacing w:line="560" w:lineRule="exact"/>
        <w:ind w:firstLine="707" w:firstLineChars="221"/>
        <w:rPr>
          <w:rFonts w:ascii="Times New Roman" w:hAnsi="Times New Roman" w:eastAsia="方正仿宋_GBK"/>
          <w:spacing w:val="-2"/>
          <w:kern w:val="0"/>
          <w:sz w:val="32"/>
          <w:szCs w:val="32"/>
        </w:rPr>
      </w:pPr>
      <w:r>
        <w:rPr>
          <w:rFonts w:hint="eastAsia" w:ascii="方正楷体_GBK" w:hAnsi="仿宋" w:eastAsia="方正楷体_GBK"/>
          <w:sz w:val="32"/>
          <w:szCs w:val="32"/>
        </w:rPr>
        <w:t>二是持续健全服务机制。</w:t>
      </w:r>
      <w:r>
        <w:rPr>
          <w:rFonts w:hint="eastAsia" w:ascii="Times New Roman" w:hAnsi="Times New Roman" w:eastAsia="方正仿宋_GBK"/>
          <w:spacing w:val="-2"/>
          <w:kern w:val="0"/>
          <w:sz w:val="32"/>
          <w:szCs w:val="32"/>
        </w:rPr>
        <w:t>坚持区领导联系民营企业制度，35位区领导与40个民营企业和民营经济人士建立定期走访服务机制，深入企业实地了解掌握情况、收集困难问题、听取意见建议，实现企业走访服务常态化、制度化。坚持非公有制经济工作联席会议制度，召开联席会议3次，定期分析预判民营经济发展情况，研究协调民营经济发展重难点问题。建立重点民营企业清单服务制度，以区内“四上”民营企业为重点，确定110家民营企业作为重点服务企业，22个区级部门作为服务单位，围绕民营企业发展生命周期服务，重点针对政企沟通、调查研究、政策落实、问题收集办理、指导企业发展等服务内容，建立重点民营企业联系清单和重点民营企业服务事项清单，采取“1+5”的方式点对点开展长效性、清单化、精准化、常态化服务。</w:t>
      </w:r>
    </w:p>
    <w:p w14:paraId="46B599B5">
      <w:pPr>
        <w:spacing w:line="560" w:lineRule="exact"/>
        <w:ind w:firstLine="640" w:firstLineChars="200"/>
        <w:rPr>
          <w:rFonts w:ascii="方正仿宋_GBK" w:hAnsi="仿宋" w:eastAsia="方正仿宋_GBK"/>
          <w:sz w:val="32"/>
          <w:szCs w:val="32"/>
        </w:rPr>
      </w:pPr>
      <w:r>
        <w:rPr>
          <w:rFonts w:hint="eastAsia" w:ascii="方正楷体_GBK" w:hAnsi="仿宋" w:eastAsia="方正楷体_GBK"/>
          <w:sz w:val="32"/>
          <w:szCs w:val="32"/>
        </w:rPr>
        <w:t>三是完善民营企业困难问题办理机制。</w:t>
      </w:r>
      <w:r>
        <w:rPr>
          <w:rFonts w:hint="eastAsia" w:ascii="Times New Roman" w:hAnsi="Times New Roman" w:eastAsia="方正仿宋_GBK"/>
          <w:spacing w:val="-2"/>
          <w:kern w:val="0"/>
          <w:sz w:val="32"/>
          <w:szCs w:val="32"/>
        </w:rPr>
        <w:t>落实民营经济人士接待日制度，区委、区政府、经开区分管领导轮流参加接待，带领相关部门面对面倾听企业反映困难诉求，现场研究、交办，促进问题限时办结，3名区领导共帮助企业化解重难点困难问题29个。坚持政银企对接制度，搭建政银企交流平台，深化与工商银行、建设银行等8家金融机构的长期合作机制，新发展合作银行1家，畅通融资供需信息交流渠道，开展5次政银企恳谈活动，为3000多家企业协调融资14.7亿元。配合相关部门开展宣传辅导，大力引导企业上市，扩大融资渠道，破解企业发展资金瓶颈。深化民营企业困难问题办理制度，对民营企业日常反映的困难问题按照收集审核、分类交办、限时办理、办结反馈等“闭环式”办理程序，进行常态化交办、催办和督办，做到“件件有人抓、事事有回音”，共交办问题56件，办结55件，有效推动了企业痛点、堵点、难点问题的化解。坚持信息直报制度，结合走访调研、商协会协作等平台，建立企业家意见建议直报机制，及时反映民营经济发展中的新情况新问题，及时提出解决问题的意见建议，及时形成信息专报报送区委区政府领导，为区委区政府科学决策提供参考。共报送信息专报10期，反映企业诉求和意见建议33条，推动企业具体困难问题的有效解决。</w:t>
      </w:r>
    </w:p>
    <w:p w14:paraId="7A449B0A">
      <w:pPr>
        <w:spacing w:line="560" w:lineRule="exact"/>
        <w:ind w:firstLine="640" w:firstLineChars="200"/>
        <w:rPr>
          <w:rFonts w:ascii="Times New Roman" w:hAnsi="Times New Roman" w:eastAsia="方正仿宋_GBK"/>
          <w:spacing w:val="-2"/>
          <w:kern w:val="0"/>
          <w:sz w:val="32"/>
          <w:szCs w:val="32"/>
        </w:rPr>
      </w:pPr>
      <w:r>
        <w:rPr>
          <w:rFonts w:hint="eastAsia" w:ascii="方正楷体_GBK" w:hAnsi="仿宋" w:eastAsia="方正楷体_GBK" w:cs="方正仿宋_GBK"/>
          <w:sz w:val="32"/>
          <w:szCs w:val="32"/>
        </w:rPr>
        <w:t>四是健全法律服务机制。</w:t>
      </w:r>
      <w:r>
        <w:rPr>
          <w:rFonts w:hint="eastAsia" w:ascii="Times New Roman" w:hAnsi="Times New Roman" w:eastAsia="方正仿宋_GBK"/>
          <w:spacing w:val="-2"/>
          <w:kern w:val="0"/>
          <w:sz w:val="32"/>
          <w:szCs w:val="32"/>
        </w:rPr>
        <w:t>建立与公检法司对接协作机制，实行定期联系、定时通报、定人联络，建立工作联系、调研培训、诉调对接、联合调解等工作机制，推动民营企业法治环境不断改善。加强维权服务，充分发挥法律维权服务团作用，大力开展法律培训，开展“送法进企”活动35次、“法律体检”16次，开展法治宣传活动12场次、发放宣传资料近2500份，开展法治培训讲座14次、培训近500余人，帮助9家企业协调解决劳动争议、合同和侵权案件13件，涉案金额达3000多万元，结案率86%。</w:t>
      </w:r>
    </w:p>
    <w:p w14:paraId="47204176">
      <w:pPr>
        <w:spacing w:line="570" w:lineRule="exact"/>
        <w:ind w:firstLine="640" w:firstLineChars="200"/>
        <w:jc w:val="left"/>
        <w:rPr>
          <w:rFonts w:ascii="Times New Roman" w:hAnsi="Times New Roman" w:eastAsia="方正仿宋_GBK"/>
          <w:spacing w:val="-2"/>
          <w:kern w:val="0"/>
          <w:sz w:val="32"/>
          <w:szCs w:val="32"/>
        </w:rPr>
      </w:pPr>
      <w:r>
        <w:rPr>
          <w:rFonts w:hint="eastAsia" w:ascii="方正楷体_GBK" w:hAnsi="仿宋" w:eastAsia="方正楷体_GBK" w:cs="方正仿宋_GBK"/>
          <w:sz w:val="32"/>
          <w:szCs w:val="32"/>
        </w:rPr>
        <w:t>五是推进人才队伍建设。</w:t>
      </w:r>
      <w:r>
        <w:rPr>
          <w:rFonts w:hint="eastAsia" w:ascii="Times New Roman" w:hAnsi="Times New Roman" w:eastAsia="方正仿宋_GBK"/>
          <w:spacing w:val="-2"/>
          <w:kern w:val="0"/>
          <w:sz w:val="32"/>
          <w:szCs w:val="32"/>
        </w:rPr>
        <w:t>落实全区“双百工程”实施方案，注重培养优秀企业家，把优秀企业家培育纳入科教兴区和人才强区行动计划，鼓励支持更多具有创新创业能力的人才脱颖而出。建立年轻一代非公经济人士人才储备库，确定60名民营经济人士后备人选。推荐2名企业家参加“重庆英才”人物评选。持续运用万州企业家大讲堂、青年企业家读书班、成功企业家专修班、知名企业家提升班、职业经理培训班、行业现场观摩交流等六种模式，实施企业家差异化培训。开展应对疫情期间企业适用法律法规、减税降费、融资服务、稳岗返还、社保减免、经济转型与企业机遇、民法典、诚信守法、消防安全、互联网+大数据等线上线下专题学习和培训，共培训民营企业家、企业高管人员、会员企业党组织书记850多人次。</w:t>
      </w:r>
    </w:p>
    <w:p w14:paraId="3C3BBC8F">
      <w:pPr>
        <w:spacing w:line="56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5．推动商会改革发展，夯实工商联组织基础</w:t>
      </w:r>
    </w:p>
    <w:p w14:paraId="264B41C8">
      <w:pPr>
        <w:spacing w:line="560" w:lineRule="exact"/>
        <w:ind w:firstLine="640" w:firstLineChars="200"/>
        <w:rPr>
          <w:rFonts w:ascii="方正仿宋_GBK" w:hAnsi="仿宋" w:eastAsia="方正仿宋_GBK"/>
          <w:kern w:val="0"/>
          <w:sz w:val="32"/>
          <w:szCs w:val="32"/>
        </w:rPr>
      </w:pPr>
      <w:r>
        <w:rPr>
          <w:rFonts w:hint="eastAsia" w:ascii="方正楷体_GBK" w:hAnsi="仿宋" w:eastAsia="方正楷体_GBK"/>
          <w:sz w:val="32"/>
          <w:szCs w:val="32"/>
        </w:rPr>
        <w:t>一是不断扩大商会组织覆盖面。</w:t>
      </w:r>
      <w:r>
        <w:rPr>
          <w:rFonts w:hint="eastAsia" w:ascii="Times New Roman" w:hAnsi="Times New Roman" w:eastAsia="方正仿宋_GBK"/>
          <w:spacing w:val="-2"/>
          <w:kern w:val="0"/>
          <w:sz w:val="32"/>
          <w:szCs w:val="32"/>
        </w:rPr>
        <w:t>健全组织体系，夯实基层基础，把商会的组建作为扩大工商联工作覆盖的基础工程。目前共建基层商会67个，镇乡（街道）商会全覆盖，基层商会数量全市第一。与9家行业协会建立协作机制，扩大工商联工作覆盖面。协助建立上海市万州企业联合会、广东省重庆市万州商会。万州区青年商会、万州区温州商会被认定为2019-2020年度市级“四好”商会。</w:t>
      </w:r>
    </w:p>
    <w:p w14:paraId="0DA5D2AA">
      <w:pPr>
        <w:widowControl/>
        <w:spacing w:line="560" w:lineRule="exact"/>
        <w:ind w:firstLine="640" w:firstLineChars="200"/>
        <w:jc w:val="left"/>
        <w:rPr>
          <w:rFonts w:ascii="Times New Roman" w:hAnsi="Times New Roman" w:eastAsia="方正仿宋_GBK"/>
          <w:spacing w:val="-2"/>
          <w:kern w:val="0"/>
          <w:sz w:val="32"/>
          <w:szCs w:val="32"/>
        </w:rPr>
      </w:pPr>
      <w:r>
        <w:rPr>
          <w:rFonts w:hint="eastAsia" w:ascii="方正楷体_GBK" w:hAnsi="仿宋" w:eastAsia="方正楷体_GBK"/>
          <w:sz w:val="32"/>
          <w:szCs w:val="32"/>
        </w:rPr>
        <w:t>二是</w:t>
      </w:r>
      <w:r>
        <w:rPr>
          <w:rFonts w:hint="eastAsia" w:ascii="方正楷体_GBK" w:eastAsia="方正楷体_GBK"/>
          <w:snapToGrid w:val="0"/>
          <w:kern w:val="0"/>
          <w:sz w:val="32"/>
          <w:szCs w:val="32"/>
        </w:rPr>
        <w:t>不断壮大会员队伍。</w:t>
      </w:r>
      <w:r>
        <w:rPr>
          <w:rFonts w:hint="eastAsia" w:ascii="Times New Roman" w:hAnsi="Times New Roman" w:eastAsia="方正仿宋_GBK"/>
          <w:spacing w:val="-2"/>
          <w:kern w:val="0"/>
          <w:sz w:val="32"/>
          <w:szCs w:val="32"/>
        </w:rPr>
        <w:t>加大基层组织发展会员工作力度，推动基层商会成为会员发展的主渠道。注重进步性、代表性、广泛性相结合，不以资产规模设置入会门槛，不断扩大会员覆盖面。会员数量不断增加，会员结构不断优化，会员总数达到4879户，其中企业会员3984户，会员总数居全市第四位。</w:t>
      </w:r>
    </w:p>
    <w:p w14:paraId="6A77DFAF">
      <w:pPr>
        <w:spacing w:line="560" w:lineRule="exact"/>
        <w:ind w:firstLine="640" w:firstLineChars="200"/>
        <w:rPr>
          <w:rFonts w:ascii="Times New Roman" w:hAnsi="Times New Roman" w:eastAsia="方正仿宋_GBK"/>
          <w:spacing w:val="-2"/>
          <w:kern w:val="0"/>
          <w:sz w:val="32"/>
          <w:szCs w:val="32"/>
        </w:rPr>
      </w:pPr>
      <w:r>
        <w:rPr>
          <w:rFonts w:hint="eastAsia" w:ascii="方正楷体_GBK" w:eastAsia="方正楷体_GBK"/>
          <w:snapToGrid w:val="0"/>
          <w:kern w:val="0"/>
          <w:sz w:val="32"/>
          <w:szCs w:val="32"/>
        </w:rPr>
        <w:t>三是</w:t>
      </w:r>
      <w:r>
        <w:rPr>
          <w:rFonts w:hint="eastAsia" w:ascii="方正楷体_GBK" w:hAnsi="仿宋" w:eastAsia="方正楷体_GBK"/>
          <w:sz w:val="32"/>
          <w:szCs w:val="32"/>
        </w:rPr>
        <w:t>不断加强商会班子和阵地建设。</w:t>
      </w:r>
      <w:r>
        <w:rPr>
          <w:rFonts w:hint="eastAsia" w:ascii="Times New Roman" w:hAnsi="Times New Roman" w:eastAsia="方正仿宋_GBK"/>
          <w:spacing w:val="-2"/>
          <w:kern w:val="0"/>
          <w:sz w:val="32"/>
          <w:szCs w:val="32"/>
        </w:rPr>
        <w:t>坚持把政治素质高、企业发展好、社会形象优、个人素质强的优秀民营经济人士作为商会班子人选。现有12名基层商会会长进入区工商联（总商会）班子。加强商会阵地建设，做到有办公场所、有专聘人员、有工作经费、有工作制度、有正常活动、有档案资料。</w:t>
      </w:r>
    </w:p>
    <w:p w14:paraId="679DCC71">
      <w:pPr>
        <w:spacing w:line="560" w:lineRule="exact"/>
        <w:ind w:firstLine="640" w:firstLineChars="200"/>
        <w:rPr>
          <w:rFonts w:ascii="Times New Roman" w:hAnsi="Times New Roman" w:eastAsia="方正仿宋_GBK"/>
          <w:spacing w:val="-2"/>
          <w:kern w:val="0"/>
          <w:sz w:val="32"/>
          <w:szCs w:val="32"/>
        </w:rPr>
      </w:pPr>
      <w:r>
        <w:rPr>
          <w:rFonts w:hint="eastAsia" w:ascii="方正楷体_GBK" w:hAnsi="仿宋" w:eastAsia="方正楷体_GBK"/>
          <w:sz w:val="32"/>
          <w:szCs w:val="32"/>
        </w:rPr>
        <w:t>四是不断健全基层商会制度。</w:t>
      </w:r>
      <w:r>
        <w:rPr>
          <w:rFonts w:hint="eastAsia" w:ascii="Times New Roman" w:hAnsi="Times New Roman" w:eastAsia="方正仿宋_GBK"/>
          <w:spacing w:val="-2"/>
          <w:kern w:val="0"/>
          <w:sz w:val="32"/>
          <w:szCs w:val="32"/>
        </w:rPr>
        <w:t>坚持管理与发展并重，完善会员（代表）大会、理事会议、会长会议、教育培训、参政议政、班子成员联系会员、副会长轮值、交心谈心、财务管理、工作考评等制度模板，推进商会规范化建设，用制度规范各项会务活动和商会运行秩序，有效提升基层商会“自我管理、自我服务、自我协调、自我发展”的能力和水平。</w:t>
      </w:r>
    </w:p>
    <w:p w14:paraId="5C472EF4">
      <w:pPr>
        <w:spacing w:line="560" w:lineRule="exact"/>
        <w:ind w:firstLine="640" w:firstLineChars="200"/>
        <w:rPr>
          <w:rFonts w:ascii="方正黑体_GBK" w:hAnsi="仿宋" w:eastAsia="方正黑体_GBK" w:cs="方正仿宋_GBK"/>
          <w:sz w:val="32"/>
          <w:szCs w:val="32"/>
        </w:rPr>
      </w:pPr>
      <w:r>
        <w:rPr>
          <w:rFonts w:hint="eastAsia" w:ascii="方正仿宋_GBK" w:hAnsi="方正仿宋_GBK" w:eastAsia="方正仿宋_GBK" w:cs="方正仿宋_GBK"/>
          <w:b/>
          <w:bCs/>
          <w:sz w:val="32"/>
          <w:szCs w:val="32"/>
        </w:rPr>
        <w:t>6. 加强自身建设，提升服务能力水平</w:t>
      </w:r>
    </w:p>
    <w:p w14:paraId="42335945">
      <w:pPr>
        <w:widowControl/>
        <w:spacing w:line="560" w:lineRule="exact"/>
        <w:ind w:firstLine="640" w:firstLineChars="200"/>
        <w:jc w:val="left"/>
        <w:rPr>
          <w:rFonts w:ascii="Times New Roman" w:hAnsi="Times New Roman" w:eastAsia="方正仿宋_GBK"/>
          <w:spacing w:val="-2"/>
          <w:kern w:val="0"/>
          <w:sz w:val="32"/>
          <w:szCs w:val="32"/>
        </w:rPr>
      </w:pPr>
      <w:r>
        <w:rPr>
          <w:rFonts w:hint="eastAsia" w:ascii="方正楷体_GBK" w:hAnsi="仿宋" w:eastAsia="方正楷体_GBK"/>
          <w:snapToGrid w:val="0"/>
          <w:kern w:val="0"/>
          <w:sz w:val="32"/>
          <w:szCs w:val="32"/>
        </w:rPr>
        <w:t>一是推进领导班子建设。</w:t>
      </w:r>
      <w:r>
        <w:rPr>
          <w:rFonts w:hint="eastAsia" w:ascii="Times New Roman" w:hAnsi="Times New Roman" w:eastAsia="方正仿宋_GBK"/>
          <w:spacing w:val="-2"/>
          <w:kern w:val="0"/>
          <w:sz w:val="32"/>
          <w:szCs w:val="32"/>
        </w:rPr>
        <w:t>加强政治建设，强化政治担当，坚决全面彻底肃清孙政才恶劣影响、薄熙来和王立军流毒，消除洪承义等人违纪违法案不良影响，营造良好的政治生态。落实班子成员述职评价制度，评价结果作为推先推优的重要依据。班子成员的思想政治素质、参政议政能力进一步提升，班子的凝聚力、影响力进一步增强。</w:t>
      </w:r>
    </w:p>
    <w:p w14:paraId="1A449263">
      <w:pPr>
        <w:spacing w:line="560" w:lineRule="exact"/>
        <w:ind w:firstLine="640" w:firstLineChars="200"/>
        <w:rPr>
          <w:rFonts w:ascii="Times New Roman" w:hAnsi="Times New Roman" w:eastAsia="方正仿宋_GBK"/>
          <w:spacing w:val="-2"/>
          <w:kern w:val="0"/>
          <w:sz w:val="32"/>
          <w:szCs w:val="32"/>
        </w:rPr>
      </w:pPr>
      <w:r>
        <w:rPr>
          <w:rFonts w:hint="eastAsia" w:ascii="方正楷体_GBK" w:hAnsi="仿宋" w:eastAsia="方正楷体_GBK"/>
          <w:snapToGrid w:val="0"/>
          <w:kern w:val="0"/>
          <w:sz w:val="32"/>
          <w:szCs w:val="32"/>
        </w:rPr>
        <w:t>二是</w:t>
      </w:r>
      <w:r>
        <w:rPr>
          <w:rFonts w:hint="eastAsia" w:ascii="方正楷体_GBK" w:hAnsi="仿宋" w:eastAsia="方正楷体_GBK"/>
          <w:sz w:val="32"/>
          <w:szCs w:val="32"/>
        </w:rPr>
        <w:t>推进全面从严治党。</w:t>
      </w:r>
      <w:r>
        <w:rPr>
          <w:rFonts w:hint="eastAsia" w:ascii="Times New Roman" w:hAnsi="Times New Roman" w:eastAsia="方正仿宋_GBK"/>
          <w:spacing w:val="-2"/>
          <w:kern w:val="0"/>
          <w:sz w:val="32"/>
          <w:szCs w:val="32"/>
        </w:rPr>
        <w:t>深学笃用习近平新时代中国特色社会主义思想，严明党的政治纪律和政治规矩，牢固树立“四个意识”、坚定“四个自信”、坚决做到“两个维护”。制定党组落实全面从严治党责任清单，党组书记履行第一责任，党组班子成员履行“一岗双责”。深化“不忘初心、牢记使命”主题教育，持续推进“两学一做”学习教育常态化制度化，开展党组中心组学习12次、专题学习讨论12次、上党课5次，撰写心得体会12篇。推进党组织标准化规范化建设，严肃党内政治生活，严格落实党组织活动各项制度。做实做深走马镇熊家村、凉风村脱贫攻坚帮扶工作，落实帮扶资金44.10万元。抓实意识形态工作，定期分析研判情况，牢牢掌握意识形态工作主导权，把握正确舆论导向。加强党风廉政建设，强化党纪党规学习和政德教育，常态化开展“以案说法”廉洁警示教育，筑牢拒腐防变的思想防线。持续深化作风建设，力戒形式主义、官僚主义。</w:t>
      </w:r>
    </w:p>
    <w:p w14:paraId="21133D42">
      <w:pPr>
        <w:spacing w:line="560" w:lineRule="exact"/>
        <w:ind w:firstLine="640" w:firstLineChars="200"/>
        <w:rPr>
          <w:rFonts w:ascii="Times New Roman" w:hAnsi="Times New Roman" w:eastAsia="方正仿宋_GBK"/>
          <w:spacing w:val="-2"/>
          <w:kern w:val="0"/>
          <w:sz w:val="32"/>
          <w:szCs w:val="32"/>
        </w:rPr>
      </w:pPr>
      <w:r>
        <w:rPr>
          <w:rFonts w:hint="eastAsia" w:ascii="方正楷体_GBK" w:hAnsi="仿宋" w:eastAsia="方正楷体_GBK"/>
          <w:snapToGrid w:val="0"/>
          <w:kern w:val="0"/>
          <w:sz w:val="32"/>
          <w:szCs w:val="32"/>
        </w:rPr>
        <w:t>三是推进工商联组织改革。</w:t>
      </w:r>
      <w:r>
        <w:rPr>
          <w:rFonts w:hint="eastAsia" w:ascii="Times New Roman" w:hAnsi="Times New Roman" w:eastAsia="方正仿宋_GBK"/>
          <w:spacing w:val="-2"/>
          <w:kern w:val="0"/>
          <w:sz w:val="32"/>
          <w:szCs w:val="32"/>
        </w:rPr>
        <w:t>按照党中央对工商联提出的“政治建会、团结立会、服务兴会、改革强会”要求，深化工商联改革，推动去“四化”、强“三性”，增强凝聚力、影响力和执行力。成立万州区民营经济服务中心，加强对民营经济服务工作的统筹、协调，加强对民营企业的服务和引导。推进“五好”县级工商联建设，区工商联连续六年保持全国“五好”工商联称号，获重庆市“万企帮万村”精准扶贫行动组织工作先进单位。区级工商联系统获省部级表彰集体2个、个人1人次；厅局级表彰集体9个、个人6人次；其他表彰集体3个、个人3人次。商会组织建设、抗击疫情、助力企业复工复产等工作获《中华工商时报》20次专项报道。</w:t>
      </w:r>
    </w:p>
    <w:p w14:paraId="23C24B38">
      <w:pPr>
        <w:widowControl/>
        <w:shd w:val="clear" w:color="auto" w:fill="FFFFFF"/>
        <w:spacing w:line="570" w:lineRule="exact"/>
        <w:ind w:firstLine="480" w:firstLineChars="15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（二）绩效评价分析</w:t>
      </w:r>
    </w:p>
    <w:p w14:paraId="767C0327">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ascii="方正仿宋_GBK" w:hAnsi="微软雅黑" w:eastAsia="方正仿宋_GBK" w:cs="宋体"/>
          <w:b/>
          <w:bCs/>
          <w:kern w:val="0"/>
          <w:sz w:val="32"/>
          <w:szCs w:val="32"/>
        </w:rPr>
        <w:t>1.</w:t>
      </w:r>
      <w:r>
        <w:rPr>
          <w:rFonts w:hint="eastAsia" w:ascii="方正仿宋_GBK" w:hAnsi="微软雅黑" w:eastAsia="方正仿宋_GBK" w:cs="宋体"/>
          <w:b/>
          <w:bCs/>
          <w:kern w:val="0"/>
          <w:sz w:val="32"/>
          <w:szCs w:val="32"/>
        </w:rPr>
        <w:t>投入（</w:t>
      </w:r>
      <w:r>
        <w:rPr>
          <w:rFonts w:ascii="方正仿宋_GBK" w:hAnsi="微软雅黑" w:eastAsia="方正仿宋_GBK" w:cs="宋体"/>
          <w:b/>
          <w:bCs/>
          <w:kern w:val="0"/>
          <w:sz w:val="32"/>
          <w:szCs w:val="32"/>
        </w:rPr>
        <w:t>5</w:t>
      </w:r>
      <w:r>
        <w:rPr>
          <w:rFonts w:hint="eastAsia" w:ascii="方正仿宋_GBK" w:hAnsi="微软雅黑" w:eastAsia="方正仿宋_GBK" w:cs="宋体"/>
          <w:b/>
          <w:bCs/>
          <w:kern w:val="0"/>
          <w:sz w:val="32"/>
          <w:szCs w:val="32"/>
        </w:rPr>
        <w:t>分）</w:t>
      </w:r>
    </w:p>
    <w:p w14:paraId="2C86253D">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1</w:t>
      </w:r>
      <w:r>
        <w:rPr>
          <w:rFonts w:hint="eastAsia" w:ascii="方正仿宋_GBK" w:hAnsi="微软雅黑" w:eastAsia="方正仿宋_GBK" w:cs="宋体"/>
          <w:b/>
          <w:bCs/>
          <w:kern w:val="0"/>
          <w:sz w:val="32"/>
          <w:szCs w:val="32"/>
        </w:rPr>
        <w:t>）预算配置</w:t>
      </w:r>
    </w:p>
    <w:p w14:paraId="6B2FDF42">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①财政供养人员控制率（</w:t>
      </w: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分）</w:t>
      </w:r>
      <w:r>
        <w:rPr>
          <w:rFonts w:hint="eastAsia" w:ascii="方正仿宋_GBK" w:hAnsi="微软雅黑" w:eastAsia="方正仿宋_GBK" w:cs="宋体"/>
          <w:kern w:val="0"/>
          <w:sz w:val="32"/>
          <w:szCs w:val="32"/>
        </w:rPr>
        <w:t>：</w:t>
      </w:r>
      <w:r>
        <w:rPr>
          <w:rFonts w:hint="eastAsia" w:ascii="Times New Roman" w:hAnsi="Times New Roman" w:eastAsia="方正仿宋_GBK"/>
          <w:spacing w:val="-2"/>
          <w:kern w:val="0"/>
          <w:sz w:val="32"/>
          <w:szCs w:val="32"/>
        </w:rPr>
        <w:t>本部门2020年年末实际在职人员为14人，编委核定的编制人数为19（行政编制9名，事业编制10名）人，实际在职人员数占编委核定的编制数的比率＝（在职人员数÷编制数）×100%＝73.6%，部门对人员成本的控制程度符合规定要求，根据评价标准该项得满分2分。</w:t>
      </w:r>
    </w:p>
    <w:p w14:paraId="224ABC5D">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②</w:t>
      </w:r>
      <w:r>
        <w:rPr>
          <w:rFonts w:hint="eastAsia" w:ascii="方正仿宋_GBK" w:hAnsi="微软雅黑" w:eastAsia="方正仿宋_GBK" w:cs="宋体"/>
          <w:b/>
          <w:bCs/>
          <w:kern w:val="0"/>
          <w:sz w:val="32"/>
          <w:szCs w:val="32"/>
          <w:lang w:eastAsia="zh-CN"/>
        </w:rPr>
        <w:t>“三公”经费</w:t>
      </w:r>
      <w:r>
        <w:rPr>
          <w:rFonts w:hint="eastAsia" w:ascii="方正仿宋_GBK" w:hAnsi="微软雅黑" w:eastAsia="方正仿宋_GBK" w:cs="宋体"/>
          <w:b/>
          <w:bCs/>
          <w:kern w:val="0"/>
          <w:sz w:val="32"/>
          <w:szCs w:val="32"/>
        </w:rPr>
        <w:t>变动率（</w:t>
      </w:r>
      <w:r>
        <w:rPr>
          <w:rFonts w:ascii="方正仿宋_GBK" w:hAnsi="微软雅黑" w:eastAsia="方正仿宋_GBK" w:cs="宋体"/>
          <w:b/>
          <w:bCs/>
          <w:kern w:val="0"/>
          <w:sz w:val="32"/>
          <w:szCs w:val="32"/>
        </w:rPr>
        <w:t>3</w:t>
      </w:r>
      <w:r>
        <w:rPr>
          <w:rFonts w:hint="eastAsia" w:ascii="方正仿宋_GBK" w:hAnsi="微软雅黑" w:eastAsia="方正仿宋_GBK" w:cs="宋体"/>
          <w:b/>
          <w:bCs/>
          <w:kern w:val="0"/>
          <w:sz w:val="32"/>
          <w:szCs w:val="32"/>
        </w:rPr>
        <w:t>分）</w:t>
      </w:r>
      <w:r>
        <w:rPr>
          <w:rFonts w:hint="eastAsia" w:ascii="方正仿宋_GBK" w:hAnsi="微软雅黑" w:eastAsia="方正仿宋_GBK" w:cs="宋体"/>
          <w:kern w:val="0"/>
          <w:sz w:val="32"/>
          <w:szCs w:val="32"/>
        </w:rPr>
        <w:t>：</w:t>
      </w:r>
      <w:r>
        <w:rPr>
          <w:rFonts w:hint="eastAsia" w:ascii="Times New Roman" w:hAnsi="Times New Roman" w:eastAsia="方正仿宋_GBK"/>
          <w:spacing w:val="-2"/>
          <w:kern w:val="0"/>
          <w:sz w:val="32"/>
          <w:szCs w:val="32"/>
        </w:rPr>
        <w:t>2020年度本部门一般公共预算财政拨款安排</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预算总额为2.2万元，其中公务用车购置0万元，公车运行维护费1.61万元，公务接待费0.59万元，2019年度一般公共预算财政拨款安排</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预算总额为2.2万元。本部门</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变动率＝（本年度</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预算数－上年度</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预算数）÷上年度</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预算数＝0% 。根据评分标准，本部门该项指标得3分。</w:t>
      </w:r>
    </w:p>
    <w:p w14:paraId="022C01A0">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过程（</w:t>
      </w:r>
      <w:r>
        <w:rPr>
          <w:rFonts w:ascii="方正仿宋_GBK" w:hAnsi="微软雅黑" w:eastAsia="方正仿宋_GBK" w:cs="宋体"/>
          <w:b/>
          <w:bCs/>
          <w:kern w:val="0"/>
          <w:sz w:val="32"/>
          <w:szCs w:val="32"/>
        </w:rPr>
        <w:t>25</w:t>
      </w:r>
      <w:r>
        <w:rPr>
          <w:rFonts w:hint="eastAsia" w:ascii="方正仿宋_GBK" w:hAnsi="微软雅黑" w:eastAsia="方正仿宋_GBK" w:cs="宋体"/>
          <w:b/>
          <w:bCs/>
          <w:kern w:val="0"/>
          <w:sz w:val="32"/>
          <w:szCs w:val="32"/>
        </w:rPr>
        <w:t>分）</w:t>
      </w:r>
    </w:p>
    <w:p w14:paraId="0754BF33">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1</w:t>
      </w:r>
      <w:r>
        <w:rPr>
          <w:rFonts w:hint="eastAsia" w:ascii="方正仿宋_GBK" w:hAnsi="微软雅黑" w:eastAsia="方正仿宋_GBK" w:cs="宋体"/>
          <w:b/>
          <w:bCs/>
          <w:kern w:val="0"/>
          <w:sz w:val="32"/>
          <w:szCs w:val="32"/>
        </w:rPr>
        <w:t>）预算执行</w:t>
      </w:r>
    </w:p>
    <w:p w14:paraId="14D309AC">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①预算调整率（</w:t>
      </w: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本部门2020年收入359.11万元，年初预算282.62万元，本年追加76.49万元，本期支出359.11万元，预算调整率为27%，根据评分标准，本部门该项指标得1分。</w:t>
      </w:r>
    </w:p>
    <w:p w14:paraId="6DE87072">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②支付进度（</w:t>
      </w:r>
      <w:r>
        <w:rPr>
          <w:rFonts w:ascii="方正仿宋_GBK" w:hAnsi="微软雅黑" w:eastAsia="方正仿宋_GBK" w:cs="宋体"/>
          <w:b/>
          <w:bCs/>
          <w:kern w:val="0"/>
          <w:sz w:val="32"/>
          <w:szCs w:val="32"/>
        </w:rPr>
        <w:t>3</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所有项目都实现了支出，根据评分标准，本部门该项指标得3分。</w:t>
      </w:r>
    </w:p>
    <w:p w14:paraId="6A883A44">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③</w:t>
      </w:r>
      <w:r>
        <w:rPr>
          <w:rFonts w:hint="eastAsia" w:ascii="方正仿宋_GBK" w:hAnsi="微软雅黑" w:eastAsia="方正仿宋_GBK" w:cs="宋体"/>
          <w:b/>
          <w:bCs/>
          <w:kern w:val="0"/>
          <w:sz w:val="32"/>
          <w:szCs w:val="32"/>
          <w:lang w:eastAsia="zh-CN"/>
        </w:rPr>
        <w:t>“三公”经费</w:t>
      </w:r>
      <w:r>
        <w:rPr>
          <w:rFonts w:hint="eastAsia" w:ascii="方正仿宋_GBK" w:hAnsi="微软雅黑" w:eastAsia="方正仿宋_GBK" w:cs="宋体"/>
          <w:b/>
          <w:bCs/>
          <w:kern w:val="0"/>
          <w:sz w:val="32"/>
          <w:szCs w:val="32"/>
        </w:rPr>
        <w:t>控制率（</w:t>
      </w: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2020度本部门</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实际支出数为2.2万元，三公经费年初预算数2.2万元，</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控制率＝（</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实际支出数÷</w:t>
      </w:r>
      <w:r>
        <w:rPr>
          <w:rFonts w:hint="eastAsia" w:ascii="Times New Roman" w:hAnsi="Times New Roman" w:eastAsia="方正仿宋_GBK"/>
          <w:spacing w:val="-2"/>
          <w:kern w:val="0"/>
          <w:sz w:val="32"/>
          <w:szCs w:val="32"/>
          <w:lang w:eastAsia="zh-CN"/>
        </w:rPr>
        <w:t>“三公”经费</w:t>
      </w:r>
      <w:r>
        <w:rPr>
          <w:rFonts w:hint="eastAsia" w:ascii="Times New Roman" w:hAnsi="Times New Roman" w:eastAsia="方正仿宋_GBK"/>
          <w:spacing w:val="-2"/>
          <w:kern w:val="0"/>
          <w:sz w:val="32"/>
          <w:szCs w:val="32"/>
        </w:rPr>
        <w:t>预算安排数）×100%＝100%，未超过年初预算数。根据评分标准，本部门该项指标得满分2分。</w:t>
      </w:r>
    </w:p>
    <w:p w14:paraId="4B7F040E">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④指标或资金收回（</w:t>
      </w:r>
      <w:r>
        <w:rPr>
          <w:rFonts w:ascii="方正仿宋_GBK" w:hAnsi="微软雅黑" w:eastAsia="方正仿宋_GBK" w:cs="宋体"/>
          <w:b/>
          <w:bCs/>
          <w:kern w:val="0"/>
          <w:sz w:val="32"/>
          <w:szCs w:val="32"/>
        </w:rPr>
        <w:t>3</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2020年年底无指标或资金被收回。根据评分标准，本部门该项指标得3分。</w:t>
      </w:r>
    </w:p>
    <w:p w14:paraId="34DA096C">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）预算管理</w:t>
      </w:r>
    </w:p>
    <w:p w14:paraId="00BA38F0">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①管理制度健全性（</w:t>
      </w:r>
      <w:r>
        <w:rPr>
          <w:rFonts w:ascii="方正仿宋_GBK" w:hAnsi="微软雅黑" w:eastAsia="方正仿宋_GBK" w:cs="宋体"/>
          <w:b/>
          <w:bCs/>
          <w:kern w:val="0"/>
          <w:sz w:val="32"/>
          <w:szCs w:val="32"/>
        </w:rPr>
        <w:t>1.5</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本部门制定了内部财务管理制度、会计核算制度、公务接待制度、出差管理办法、公车管理、会议制度、厉行节约制度等制度，相关管理制度合法、合规、完整，相关管理制度得到有效执行，根据评分标准，本部门该项指标得满分1.5分。</w:t>
      </w:r>
    </w:p>
    <w:p w14:paraId="2D43D452">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②资金使用合规（</w:t>
      </w: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本部门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根据评分标准，本部门该项指标得满分3分。</w:t>
      </w:r>
    </w:p>
    <w:p w14:paraId="16FD35A8">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③预决算信息公开性（</w:t>
      </w:r>
      <w:r>
        <w:rPr>
          <w:rFonts w:ascii="方正仿宋_GBK" w:hAnsi="微软雅黑" w:eastAsia="方正仿宋_GBK" w:cs="宋体"/>
          <w:b/>
          <w:bCs/>
          <w:kern w:val="0"/>
          <w:sz w:val="32"/>
          <w:szCs w:val="32"/>
        </w:rPr>
        <w:t>2.5</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本部门2019年度决算及2020年度预算信息已按要求公开（对于按保密规定不作公开部分不予公开），单位基础数据信息和会计信息资料真实、完整，基础数据信息和汇集信息资料准确。根据评分标准，本部门该项指标得满分2.5分。</w:t>
      </w:r>
    </w:p>
    <w:p w14:paraId="49B193EE">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④公务卡刷卡率（</w:t>
      </w: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本部门出差有部分支出未使用公务卡结算，故公务卡刷卡率未达到为100%。根据评分标准，本部门该项指标得满分2分。</w:t>
      </w:r>
    </w:p>
    <w:p w14:paraId="08880496">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kern w:val="0"/>
          <w:sz w:val="32"/>
          <w:szCs w:val="32"/>
        </w:rPr>
        <w:t>⑤公务卡刷卡率（</w:t>
      </w:r>
      <w:r>
        <w:rPr>
          <w:rFonts w:ascii="方正仿宋_GBK" w:hAnsi="微软雅黑" w:eastAsia="方正仿宋_GBK" w:cs="宋体"/>
          <w:b/>
          <w:kern w:val="0"/>
          <w:sz w:val="32"/>
          <w:szCs w:val="32"/>
        </w:rPr>
        <w:t>2</w:t>
      </w:r>
      <w:r>
        <w:rPr>
          <w:rFonts w:hint="eastAsia" w:ascii="方正仿宋_GBK" w:hAnsi="微软雅黑" w:eastAsia="方正仿宋_GBK" w:cs="宋体"/>
          <w:b/>
          <w:kern w:val="0"/>
          <w:sz w:val="32"/>
          <w:szCs w:val="32"/>
        </w:rPr>
        <w:t>分）</w:t>
      </w:r>
      <w:r>
        <w:rPr>
          <w:rFonts w:hint="eastAsia" w:ascii="方正仿宋_GBK" w:hAnsi="微软雅黑" w:eastAsia="方正仿宋_GBK" w:cs="宋体"/>
          <w:kern w:val="0"/>
          <w:sz w:val="32"/>
          <w:szCs w:val="32"/>
        </w:rPr>
        <w:t>。</w:t>
      </w:r>
      <w:r>
        <w:rPr>
          <w:rFonts w:hint="eastAsia" w:ascii="Times New Roman" w:hAnsi="Times New Roman" w:eastAsia="方正仿宋_GBK"/>
          <w:spacing w:val="-2"/>
          <w:kern w:val="0"/>
          <w:sz w:val="32"/>
          <w:szCs w:val="32"/>
        </w:rPr>
        <w:t>本单位共计职工14人，均开通制定的公务卡，公务卡刷卡率达到90%以上，按照评分标准，本部门该项指标得满分2分。</w:t>
      </w:r>
    </w:p>
    <w:p w14:paraId="2818AD45">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3</w:t>
      </w:r>
      <w:r>
        <w:rPr>
          <w:rFonts w:hint="eastAsia" w:ascii="方正仿宋_GBK" w:hAnsi="微软雅黑" w:eastAsia="方正仿宋_GBK" w:cs="宋体"/>
          <w:b/>
          <w:bCs/>
          <w:kern w:val="0"/>
          <w:sz w:val="32"/>
          <w:szCs w:val="32"/>
        </w:rPr>
        <w:t>）资产管理</w:t>
      </w:r>
    </w:p>
    <w:p w14:paraId="586B044D">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①资产管理制度健全性（</w:t>
      </w: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本部门为加强资产管理、规范资产管理行为，制定了合法、合规、完整的资产管理制度，相关资产管理制度得到有效执行，促进了职责履行和绩效目标任务完成。根据评分标准，本部门该项指标得2分。</w:t>
      </w:r>
    </w:p>
    <w:p w14:paraId="5C8760A1">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②资产管理安全性（</w:t>
      </w:r>
      <w:r>
        <w:rPr>
          <w:rFonts w:ascii="方正仿宋_GBK" w:hAnsi="微软雅黑" w:eastAsia="方正仿宋_GBK" w:cs="宋体"/>
          <w:b/>
          <w:bCs/>
          <w:kern w:val="0"/>
          <w:sz w:val="32"/>
          <w:szCs w:val="32"/>
        </w:rPr>
        <w:t>2</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本部门的资产保存完整、使用合规、配置合理、处置规范、收入及时足额上缴，资产账务管理合规，账实相符。根据评分标准，本部门该项指标得2分。</w:t>
      </w:r>
    </w:p>
    <w:p w14:paraId="79EFB43C">
      <w:pPr>
        <w:widowControl/>
        <w:shd w:val="clear" w:color="auto" w:fill="FFFFFF"/>
        <w:spacing w:line="570" w:lineRule="exact"/>
        <w:ind w:firstLine="640" w:firstLineChars="200"/>
        <w:jc w:val="left"/>
        <w:rPr>
          <w:rFonts w:ascii="Times New Roman" w:hAnsi="Times New Roman" w:eastAsia="方正仿宋_GBK"/>
          <w:spacing w:val="-2"/>
          <w:kern w:val="0"/>
          <w:sz w:val="32"/>
          <w:szCs w:val="32"/>
        </w:rPr>
      </w:pPr>
      <w:r>
        <w:rPr>
          <w:rFonts w:hint="eastAsia" w:ascii="方正仿宋_GBK" w:hAnsi="微软雅黑" w:eastAsia="方正仿宋_GBK" w:cs="宋体"/>
          <w:b/>
          <w:bCs/>
          <w:kern w:val="0"/>
          <w:sz w:val="32"/>
          <w:szCs w:val="32"/>
        </w:rPr>
        <w:t>③固定资产利用率（</w:t>
      </w:r>
      <w:r>
        <w:rPr>
          <w:rFonts w:ascii="方正仿宋_GBK" w:hAnsi="微软雅黑" w:eastAsia="方正仿宋_GBK" w:cs="宋体"/>
          <w:b/>
          <w:bCs/>
          <w:kern w:val="0"/>
          <w:sz w:val="32"/>
          <w:szCs w:val="32"/>
        </w:rPr>
        <w:t>1</w:t>
      </w:r>
      <w:r>
        <w:rPr>
          <w:rFonts w:hint="eastAsia" w:ascii="方正仿宋_GBK" w:hAnsi="微软雅黑" w:eastAsia="方正仿宋_GBK" w:cs="宋体"/>
          <w:b/>
          <w:bCs/>
          <w:kern w:val="0"/>
          <w:sz w:val="32"/>
          <w:szCs w:val="32"/>
        </w:rPr>
        <w:t>分）</w:t>
      </w:r>
      <w:r>
        <w:rPr>
          <w:rFonts w:hint="eastAsia" w:ascii="Times New Roman" w:hAnsi="Times New Roman" w:eastAsia="方正仿宋_GBK"/>
          <w:spacing w:val="-2"/>
          <w:kern w:val="0"/>
          <w:sz w:val="32"/>
          <w:szCs w:val="32"/>
        </w:rPr>
        <w:t>本部门2020年实际在用固定资产总额为15.25万元，固定资产利用总额为15.25万元，固定资产利用率=（实际在用固定资产总额/所有固定资产总额）×100%=100%，根据评分标准，本部门该项指标得1分。</w:t>
      </w:r>
    </w:p>
    <w:p w14:paraId="72008B3D">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ascii="方正仿宋_GBK" w:hAnsi="微软雅黑" w:eastAsia="方正仿宋_GBK" w:cs="宋体"/>
          <w:b/>
          <w:bCs/>
          <w:kern w:val="0"/>
          <w:sz w:val="32"/>
          <w:szCs w:val="32"/>
        </w:rPr>
        <w:t>3</w:t>
      </w:r>
      <w:r>
        <w:rPr>
          <w:rFonts w:hint="eastAsia" w:ascii="方正仿宋_GBK" w:hAnsi="微软雅黑" w:eastAsia="方正仿宋_GBK" w:cs="宋体"/>
          <w:b/>
          <w:bCs/>
          <w:kern w:val="0"/>
          <w:sz w:val="32"/>
          <w:szCs w:val="32"/>
        </w:rPr>
        <w:t>、产出</w:t>
      </w:r>
    </w:p>
    <w:p w14:paraId="53D858C9">
      <w:pPr>
        <w:widowControl/>
        <w:shd w:val="clear" w:color="auto" w:fill="FFFFFF"/>
        <w:spacing w:line="570" w:lineRule="exact"/>
        <w:ind w:firstLine="640" w:firstLineChars="200"/>
        <w:jc w:val="left"/>
        <w:rPr>
          <w:rFonts w:ascii="方正仿宋_GBK" w:hAnsi="微软雅黑" w:eastAsia="方正仿宋_GBK" w:cs="宋体"/>
          <w:b/>
          <w:bCs/>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1</w:t>
      </w:r>
      <w:r>
        <w:rPr>
          <w:rFonts w:hint="eastAsia" w:ascii="方正仿宋_GBK" w:hAnsi="微软雅黑" w:eastAsia="方正仿宋_GBK" w:cs="宋体"/>
          <w:b/>
          <w:bCs/>
          <w:kern w:val="0"/>
          <w:sz w:val="32"/>
          <w:szCs w:val="32"/>
        </w:rPr>
        <w:t>）职责履行情况（</w:t>
      </w:r>
      <w:r>
        <w:rPr>
          <w:rFonts w:ascii="方正仿宋_GBK" w:hAnsi="微软雅黑" w:eastAsia="方正仿宋_GBK" w:cs="宋体"/>
          <w:b/>
          <w:bCs/>
          <w:kern w:val="0"/>
          <w:sz w:val="32"/>
          <w:szCs w:val="32"/>
        </w:rPr>
        <w:t xml:space="preserve"> 55</w:t>
      </w:r>
      <w:r>
        <w:rPr>
          <w:rFonts w:hint="eastAsia" w:ascii="方正仿宋_GBK" w:hAnsi="微软雅黑" w:eastAsia="方正仿宋_GBK" w:cs="宋体"/>
          <w:b/>
          <w:bCs/>
          <w:kern w:val="0"/>
          <w:sz w:val="32"/>
          <w:szCs w:val="32"/>
        </w:rPr>
        <w:t>分）</w:t>
      </w:r>
    </w:p>
    <w:p w14:paraId="6ECF70A8">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 xml:space="preserve">①引导全区民营企业参与“万企帮万村”工作。目前，全区255家民营企业与38个镇乡的153个村结对帮扶，共帮扶贫困人口1.8万人，产业扶贫项目209个，投资1.5亿元。开展消费扶贫通过采购贫困村农特产品助力消费扶贫金额超过200万元。做实做深走马镇熊家村、凉风村脱贫攻坚帮扶工作，落实帮扶资金44.10万元。（8分）     </w:t>
      </w:r>
      <w:r>
        <w:rPr>
          <w:rFonts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rPr>
        <w:t xml:space="preserve">              </w:t>
      </w:r>
      <w:r>
        <w:rPr>
          <w:rFonts w:hint="eastAsia" w:ascii="Times New Roman" w:hAnsi="Times New Roman" w:eastAsia="方正仿宋_GBK"/>
          <w:spacing w:val="-2"/>
          <w:kern w:val="0"/>
          <w:sz w:val="32"/>
          <w:szCs w:val="32"/>
        </w:rPr>
        <w:t xml:space="preserve">                                        </w:t>
      </w:r>
    </w:p>
    <w:p w14:paraId="04944997">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②建立“万商会馆”微信公众号，开设“今日万州”专栏，对万州区情及万州招商信息进行广泛宣传。开展招商引资恳谈活动，组织温州、成都、昆明、江苏、上海等地万州商会200多名企业家参加万州区招商引资恳谈会，邀请山东、浙江、四川、广东等地企业家7批200余人次来万考察，实现签约项目1亿元、到位资金3000万元。（8分）</w:t>
      </w:r>
    </w:p>
    <w:p w14:paraId="14CDA427">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③深入开展民营经济人士理想信念教育实践活动，组织政策宣讲、专题报告、集中辅导5场次，举办培训班4期、研讨会4次。（3分）</w:t>
      </w:r>
    </w:p>
    <w:p w14:paraId="13A21091">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④加大政策宣传力度。通过专题学习会、政银企对接会以及网络、微信、QQ群等途径，共发布涉企法规、减税降费、党组织建设、商会改革等相关信息265条。（4分）</w:t>
      </w:r>
    </w:p>
    <w:p w14:paraId="4B54128D">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⑤坚持区领导联系民营企业制度，35位区领导与40个民营企业和民营经济人士建立定期走访服务机制。坚持非公有制经济工作联席会议制度，召开联席会议3次。落实民营经济人士接待日制度,3名区领导共帮助企业化解重难点困难问题29个。（4分）</w:t>
      </w:r>
    </w:p>
    <w:p w14:paraId="18D5664F">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⑥坚持政银企对接制度，搭建政银企交流平台，深化与工商银行、建设银行等8家金融机构的长期合作机制，新发展合作银行1家，畅通融资供需信息交流渠道，开展5次政银企恳谈活动，为3000多家企业协调融资14.7亿元。（3分）</w:t>
      </w:r>
    </w:p>
    <w:p w14:paraId="6DB686C4">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⑦深化民营企业困难问题办理制度，对民营企业日常反映的困难问题按照收集审核、分类交办、限时办理、办结反馈等“闭环式”办理程序，共交办问题56件，办结55件，报送信息专报10期，反映企业诉求和意见建议33条。开展“抓‘六稳’促‘六保’民营企业百日大走访”活动，共走访民营企业1234家，召开座谈会869场次。（3分）</w:t>
      </w:r>
    </w:p>
    <w:p w14:paraId="1F5D90AC">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⑧大力开展法律培训，开展“送法进企”活动35次、“法律体检”16次，开展法治宣传活动12场次、发放宣传资料近2500份，开展法治培训讲座14次、培训近500余人，帮助9家企业协调解决劳动争议、合同和侵权案件13件，涉案金额达3000多万元，结案率86%。（3分）</w:t>
      </w:r>
    </w:p>
    <w:p w14:paraId="732818B1">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⑨举办非公党组织入党积极分子培训班，培训入党积极分子12名。新发展党员10名，预备党员转正10名。指导9个党组织按期完成换届，转接党组织关系23人。培训党组织书记、党务工作者70余人次，发放《非公党建工作实务指南》《党支部工作手册》《发展党员工作手册》等业务书籍248册。（2分）</w:t>
      </w:r>
    </w:p>
    <w:p w14:paraId="33E40343">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⑩目前共建基层商会67个,与9家行业协会建立协作机制，协助建立上海市万州企业联合会、广东省重庆市万州商会。万州区青年商会、万州区温州商会被认定为2019-2020年度市级“四好”商会。会员总数达到4879户，其中企业会员3984户，会员总数居全市第四位。（4分）</w:t>
      </w:r>
    </w:p>
    <w:p w14:paraId="4838D9C7">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⑪着力调研建言献策。开展提升金融服务能力促进民营经济发展、民营企业运行状况、商会改革发展、优化营商环境、民营企业上规模、履行社会责任、政策落实情况、复工复产等专题调研8次，组织召开3次民营企业座谈会，组织提交政协集体提案7件、个人提案19件，其中3件被列为区领导牵头督办的重点提案。（5分）</w:t>
      </w:r>
    </w:p>
    <w:p w14:paraId="1D46D027">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⑫加强自身建设,推进领导班子建设。深化“不忘初心、牢记使命”主题教育，持续推进“两学一做”学习教育常态化制度化，开展党组中心组学习12次、专题学习讨论12次、上党课5次，撰写心得体会12篇。（5分）</w:t>
      </w:r>
    </w:p>
    <w:p w14:paraId="33B2CBAE">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⑬成立万州区民营经济服务中心，加强对民营经济服务工作的统筹、协调。推进“五好”县级工商联建设。（3分）</w:t>
      </w:r>
    </w:p>
    <w:p w14:paraId="3D87E912">
      <w:pPr>
        <w:widowControl/>
        <w:shd w:val="clear" w:color="auto" w:fill="FFFFFF"/>
        <w:spacing w:line="570" w:lineRule="exact"/>
        <w:ind w:firstLine="632" w:firstLineChars="200"/>
        <w:jc w:val="left"/>
        <w:rPr>
          <w:rFonts w:ascii="方正仿宋_GBK" w:hAnsi="方正仿宋_GBK" w:eastAsia="方正仿宋_GBK" w:cs="方正仿宋_GBK"/>
          <w:b/>
          <w:bCs/>
          <w:spacing w:val="-2"/>
          <w:kern w:val="0"/>
          <w:sz w:val="32"/>
          <w:szCs w:val="32"/>
        </w:rPr>
      </w:pPr>
      <w:r>
        <w:rPr>
          <w:rFonts w:hint="eastAsia" w:ascii="方正仿宋_GBK" w:hAnsi="方正仿宋_GBK" w:eastAsia="方正仿宋_GBK" w:cs="方正仿宋_GBK"/>
          <w:b/>
          <w:bCs/>
          <w:spacing w:val="-2"/>
          <w:kern w:val="0"/>
          <w:sz w:val="32"/>
          <w:szCs w:val="32"/>
        </w:rPr>
        <w:t>（2）产出效益（ 13分）</w:t>
      </w:r>
    </w:p>
    <w:p w14:paraId="3190F2C2">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①经济效益（2分）。助推全区经济社会发展。根据评分标准，本部门该项指标得2分。</w:t>
      </w:r>
    </w:p>
    <w:p w14:paraId="1F569442">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②社会效益（5分）。2020年区工商联获全国“五好”工商联称号，获重庆市“万企帮万村”精准扶贫行动组织工作先进单位。根据评分标准，本部门该项指标得4分。</w:t>
      </w:r>
    </w:p>
    <w:p w14:paraId="028E5970">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③生态效益（2分）。本部门不涉及此项指标，根据评分标准，本部门该项指标得2分。</w:t>
      </w:r>
    </w:p>
    <w:p w14:paraId="53EAB91D">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④社会公众或服务对象满意度（5分）。本次绩效自评，我们向本部门内部员工、服务对象、社会群众发放问卷调查96份（本部门员工16份、服务对象50份、社会群众30份），从收回的问卷调查了解，社会公众对本部门的工作现状评价、深入基层调查研究、掌握真实、准确情况，促进科普事业发展，依法办事、依法行政，杜绝不作为和乱作为，改革和完善机关办事制度，缩短办事时间，提高工作效率，厉行节约、制止奢侈浪费行为等各方面均给予了满意的评价，满意度分别为：部门内部员工为98%、服务对象为98%、社会群众96%，社会公众或服务对象综合满意度＝（部门内部员工满意度×10%+服务对象满意度×50%+社会公众满意度×40%）为97.2%，因此，根据评分标准，本部门该项指标得5分。</w:t>
      </w:r>
    </w:p>
    <w:p w14:paraId="319CA1F4">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5、绩效评价结论</w:t>
      </w:r>
    </w:p>
    <w:p w14:paraId="3CA27D0C">
      <w:pPr>
        <w:widowControl/>
        <w:shd w:val="clear" w:color="auto" w:fill="FFFFFF"/>
        <w:spacing w:line="570" w:lineRule="exact"/>
        <w:ind w:firstLine="632" w:firstLineChars="200"/>
        <w:jc w:val="left"/>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根据评价指标体系测算。本部门2020年度部门整体支出绩效评价得分是：投入绩效为5分，过程绩效为24分，产出绩效为55分，效果绩效13分，总绩效为97分。评价结果等次为“优”。</w:t>
      </w:r>
    </w:p>
    <w:p w14:paraId="412A2C9B">
      <w:pPr>
        <w:pStyle w:val="15"/>
        <w:shd w:val="clear" w:color="auto" w:fill="FFFFFF"/>
        <w:spacing w:before="0" w:beforeAutospacing="0" w:after="0" w:afterAutospacing="0" w:line="504" w:lineRule="atLeast"/>
        <w:ind w:firstLine="648"/>
        <w:rPr>
          <w:rFonts w:ascii="方正黑体_GBK" w:hAnsi="微软雅黑" w:eastAsia="方正黑体_GBK"/>
          <w:b/>
          <w:sz w:val="20"/>
          <w:szCs w:val="20"/>
        </w:rPr>
      </w:pPr>
      <w:r>
        <w:rPr>
          <w:rStyle w:val="10"/>
          <w:rFonts w:hint="eastAsia" w:ascii="方正黑体_GBK" w:eastAsia="方正黑体_GBK" w:cs="宋体"/>
          <w:b w:val="0"/>
          <w:sz w:val="32"/>
          <w:szCs w:val="32"/>
        </w:rPr>
        <w:t>七、存在的主要问题及下一步改进措施</w:t>
      </w:r>
    </w:p>
    <w:p w14:paraId="35DC7EE7">
      <w:pPr>
        <w:pStyle w:val="15"/>
        <w:shd w:val="clear" w:color="auto" w:fill="FFFFFF"/>
        <w:spacing w:before="0" w:beforeAutospacing="0" w:after="0" w:afterAutospacing="0" w:line="504" w:lineRule="atLeast"/>
        <w:ind w:firstLine="648"/>
        <w:rPr>
          <w:rFonts w:ascii="方正楷体_GBK" w:hAnsi="微软雅黑" w:eastAsia="方正楷体_GBK"/>
          <w:b/>
          <w:sz w:val="20"/>
          <w:szCs w:val="20"/>
        </w:rPr>
      </w:pPr>
      <w:r>
        <w:rPr>
          <w:rStyle w:val="10"/>
          <w:rFonts w:hint="eastAsia" w:ascii="方正楷体_GBK" w:hAnsi="微软雅黑" w:eastAsia="方正楷体_GBK" w:cs="宋体"/>
          <w:b w:val="0"/>
          <w:sz w:val="32"/>
          <w:szCs w:val="32"/>
        </w:rPr>
        <w:t>（一）存在主要问题：</w:t>
      </w:r>
    </w:p>
    <w:p w14:paraId="0548E6A6">
      <w:pPr>
        <w:pStyle w:val="15"/>
        <w:shd w:val="clear" w:color="auto" w:fill="FFFFFF"/>
        <w:spacing w:before="0" w:beforeAutospacing="0" w:after="0" w:afterAutospacing="0" w:line="504" w:lineRule="atLeast"/>
        <w:ind w:firstLine="634"/>
        <w:rPr>
          <w:rFonts w:ascii="仿宋" w:hAnsi="仿宋" w:eastAsia="仿宋"/>
          <w:sz w:val="32"/>
          <w:szCs w:val="32"/>
        </w:rPr>
      </w:pPr>
      <w:r>
        <w:rPr>
          <w:rFonts w:hint="eastAsia" w:ascii="Times New Roman" w:hAnsi="Times New Roman" w:eastAsia="方正仿宋_GBK" w:cs="Times New Roman"/>
          <w:spacing w:val="-2"/>
          <w:sz w:val="32"/>
          <w:szCs w:val="32"/>
        </w:rPr>
        <w:t>1.</w:t>
      </w:r>
      <w:r>
        <w:rPr>
          <w:rFonts w:hint="eastAsia" w:ascii="方正仿宋_GBK" w:eastAsia="方正仿宋_GBK"/>
          <w:sz w:val="32"/>
          <w:szCs w:val="32"/>
        </w:rPr>
        <w:t>落实财务管理制度上还有差距，</w:t>
      </w:r>
      <w:r>
        <w:rPr>
          <w:rFonts w:hint="eastAsia" w:ascii="仿宋" w:hAnsi="仿宋" w:eastAsia="仿宋"/>
          <w:sz w:val="32"/>
          <w:szCs w:val="32"/>
        </w:rPr>
        <w:t>虽制定了《万州区工商联资产管理制度》，明确了资产管理的职能部室及具体</w:t>
      </w:r>
      <w:r>
        <w:rPr>
          <w:rFonts w:hint="eastAsia" w:ascii="仿宋" w:hAnsi="仿宋" w:eastAsia="仿宋"/>
          <w:vanish/>
          <w:sz w:val="32"/>
          <w:szCs w:val="32"/>
        </w:rPr>
        <w:t>具体《中共重庆市万州区委统战部交管理办法》，明确了资产管理的职级</w:t>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ascii="仿宋" w:hAnsi="仿宋" w:eastAsia="仿宋"/>
          <w:vanish/>
          <w:sz w:val="32"/>
          <w:szCs w:val="32"/>
        </w:rPr>
        <w:pgNum/>
      </w:r>
      <w:r>
        <w:rPr>
          <w:rFonts w:hint="eastAsia" w:ascii="仿宋" w:hAnsi="仿宋" w:eastAsia="仿宋"/>
          <w:sz w:val="32"/>
          <w:szCs w:val="32"/>
        </w:rPr>
        <w:t>管理人员，因单位人员较少，未设专职财务人员，导致在资产采购、管理等方面未及时健全完善固定资产台账，出现漏登固定资产的现象。</w:t>
      </w:r>
      <w:r>
        <w:rPr>
          <w:rFonts w:ascii="仿宋" w:hAnsi="仿宋" w:eastAsia="仿宋"/>
          <w:sz w:val="32"/>
          <w:szCs w:val="32"/>
        </w:rPr>
        <w:t xml:space="preserve"> </w:t>
      </w:r>
    </w:p>
    <w:p w14:paraId="1F9D8F38">
      <w:pPr>
        <w:pStyle w:val="15"/>
        <w:shd w:val="clear" w:color="auto" w:fill="FFFFFF"/>
        <w:spacing w:before="0" w:beforeAutospacing="0" w:after="0" w:afterAutospacing="0" w:line="504" w:lineRule="atLeast"/>
        <w:rPr>
          <w:rFonts w:ascii="Times New Roman" w:hAnsi="Times New Roman" w:eastAsia="方正仿宋_GBK" w:cs="Times New Roman"/>
          <w:spacing w:val="-2"/>
          <w:sz w:val="32"/>
          <w:szCs w:val="32"/>
        </w:rPr>
      </w:pPr>
      <w:r>
        <w:rPr>
          <w:rFonts w:ascii="方正仿宋_GBK" w:eastAsia="方正仿宋_GBK"/>
          <w:sz w:val="32"/>
          <w:szCs w:val="32"/>
        </w:rPr>
        <w:t xml:space="preserve">    </w:t>
      </w:r>
      <w:r>
        <w:rPr>
          <w:rFonts w:hint="eastAsia" w:ascii="Times New Roman" w:hAnsi="Times New Roman" w:eastAsia="方正仿宋_GBK" w:cs="Times New Roman"/>
          <w:spacing w:val="-2"/>
          <w:sz w:val="32"/>
          <w:szCs w:val="32"/>
        </w:rPr>
        <w:t>2.财务人员业务知识不够精准。财务人员较少参加相关业务知识培训，导致财务知识比较欠缺，对财务政策和相关规定不熟悉、不精深，需要加强日常财务知识的学习和培训。在预决算编制方面没有严格按规定执行。</w:t>
      </w:r>
    </w:p>
    <w:p w14:paraId="19CCE221">
      <w:pPr>
        <w:pStyle w:val="15"/>
        <w:shd w:val="clear" w:color="auto" w:fill="FFFFFF"/>
        <w:spacing w:before="0" w:beforeAutospacing="0" w:after="0" w:afterAutospacing="0" w:line="504" w:lineRule="atLeast"/>
        <w:ind w:firstLine="648"/>
        <w:rPr>
          <w:rFonts w:ascii="方正楷体_GBK" w:hAnsi="微软雅黑" w:eastAsia="方正楷体_GBK"/>
          <w:b/>
          <w:sz w:val="20"/>
          <w:szCs w:val="20"/>
        </w:rPr>
      </w:pPr>
      <w:r>
        <w:rPr>
          <w:rStyle w:val="10"/>
          <w:rFonts w:hint="eastAsia" w:ascii="方正楷体_GBK" w:hAnsi="微软雅黑" w:eastAsia="方正楷体_GBK" w:cs="宋体"/>
          <w:b w:val="0"/>
          <w:sz w:val="32"/>
          <w:szCs w:val="32"/>
        </w:rPr>
        <w:t>（二）改进措施：</w:t>
      </w:r>
    </w:p>
    <w:p w14:paraId="3D2C9E0F">
      <w:pPr>
        <w:ind w:firstLine="316" w:firstLineChars="100"/>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  一是加强财务队伍建设。组织财会人员学习相关财会专业知识，抓好业务技能培训，强化思想训练，提高财会人员的政策水平，思想素质和业务素质。    </w:t>
      </w:r>
    </w:p>
    <w:p w14:paraId="05094349">
      <w:pPr>
        <w:ind w:firstLine="316" w:firstLineChars="100"/>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   二是加强预决算执行。严格按照《预算法》的规定编制预算，坚决杜绝虚列财政收入和支出，坚持先有预算后有支出，未列入预算的经费一律不得支出。对于往来收入（专储资金），区工商联积极加强与财政、审计联系，认真规范编制决算收支报表。</w:t>
      </w:r>
    </w:p>
    <w:p w14:paraId="5D388A36">
      <w:pPr>
        <w:ind w:firstLine="316" w:firstLineChars="100"/>
        <w:rPr>
          <w:rFonts w:ascii="Times New Roman" w:hAnsi="Times New Roman" w:eastAsia="方正仿宋_GBK"/>
          <w:spacing w:val="-2"/>
          <w:kern w:val="0"/>
          <w:sz w:val="32"/>
          <w:szCs w:val="32"/>
        </w:rPr>
      </w:pPr>
      <w:r>
        <w:rPr>
          <w:rFonts w:hint="eastAsia" w:ascii="Times New Roman" w:hAnsi="Times New Roman" w:eastAsia="方正仿宋_GBK"/>
          <w:spacing w:val="-2"/>
          <w:kern w:val="0"/>
          <w:sz w:val="32"/>
          <w:szCs w:val="32"/>
        </w:rPr>
        <w:t>   三是加强财务管理。严格按照《会计法》和《行政单位会计制度》的规定，进一步加强会计工作的规范化，建立健全财务内部管理制度，按规定设置会计科目，进行</w:t>
      </w:r>
      <w:r>
        <w:rPr>
          <w:rFonts w:hint="eastAsia" w:ascii="Times New Roman" w:hAnsi="Times New Roman" w:eastAsia="方正仿宋_GBK"/>
          <w:spacing w:val="-2"/>
          <w:kern w:val="0"/>
          <w:sz w:val="32"/>
          <w:szCs w:val="32"/>
          <w:lang w:val="en-US" w:eastAsia="zh-CN"/>
        </w:rPr>
        <w:t>账</w:t>
      </w:r>
      <w:r>
        <w:rPr>
          <w:rFonts w:hint="eastAsia" w:ascii="Times New Roman" w:hAnsi="Times New Roman" w:eastAsia="方正仿宋_GBK"/>
          <w:spacing w:val="-2"/>
          <w:kern w:val="0"/>
          <w:sz w:val="32"/>
          <w:szCs w:val="32"/>
        </w:rPr>
        <w:t>务处</w:t>
      </w:r>
      <w:bookmarkStart w:id="1" w:name="_GoBack"/>
      <w:bookmarkEnd w:id="1"/>
      <w:r>
        <w:rPr>
          <w:rFonts w:hint="eastAsia" w:ascii="Times New Roman" w:hAnsi="Times New Roman" w:eastAsia="方正仿宋_GBK"/>
          <w:spacing w:val="-2"/>
          <w:kern w:val="0"/>
          <w:sz w:val="32"/>
          <w:szCs w:val="32"/>
        </w:rPr>
        <w:t>理；建立健全固定资产相关账簿，强化对固定资产的管理；建立和完善财务支出管理有关制度，从严控制招待费、车辆费用、办公费等开支。</w:t>
      </w:r>
    </w:p>
    <w:p w14:paraId="5C04E53B">
      <w:pPr>
        <w:pStyle w:val="15"/>
        <w:shd w:val="clear" w:color="auto" w:fill="FFFFFF"/>
        <w:spacing w:before="0" w:beforeAutospacing="0" w:after="0" w:afterAutospacing="0" w:line="504" w:lineRule="atLeast"/>
        <w:ind w:firstLine="648"/>
        <w:rPr>
          <w:rFonts w:ascii="方正黑体_GBK" w:hAnsi="微软雅黑" w:eastAsia="方正黑体_GBK"/>
          <w:b/>
          <w:sz w:val="20"/>
          <w:szCs w:val="20"/>
        </w:rPr>
      </w:pPr>
      <w:r>
        <w:rPr>
          <w:rStyle w:val="10"/>
          <w:rFonts w:hint="eastAsia" w:ascii="方正黑体_GBK" w:eastAsia="方正黑体_GBK" w:cs="宋体"/>
          <w:b w:val="0"/>
          <w:sz w:val="32"/>
          <w:szCs w:val="32"/>
        </w:rPr>
        <w:t>八、绩效自评结果拟应用和公开情况</w:t>
      </w:r>
    </w:p>
    <w:p w14:paraId="4DE2B0E8">
      <w:pPr>
        <w:pStyle w:val="15"/>
        <w:shd w:val="clear" w:color="auto" w:fill="FFFFFF"/>
        <w:spacing w:before="0" w:beforeAutospacing="0" w:after="0" w:afterAutospacing="0" w:line="504" w:lineRule="atLeast"/>
        <w:ind w:firstLine="634"/>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本绩效评价完成后，绩效自评结果将在本部门网站上进行信息公开，接受社会监督。</w:t>
      </w:r>
    </w:p>
    <w:p w14:paraId="46A5DC4D">
      <w:pPr>
        <w:pStyle w:val="15"/>
        <w:shd w:val="clear" w:color="auto" w:fill="FFFFFF"/>
        <w:spacing w:before="0" w:beforeAutospacing="0" w:after="0" w:afterAutospacing="0" w:line="504" w:lineRule="atLeast"/>
        <w:ind w:firstLine="648"/>
        <w:rPr>
          <w:rFonts w:ascii="方正黑体_GBK" w:hAnsi="微软雅黑" w:eastAsia="方正黑体_GBK"/>
          <w:b/>
          <w:sz w:val="32"/>
          <w:szCs w:val="32"/>
        </w:rPr>
      </w:pPr>
      <w:r>
        <w:rPr>
          <w:rFonts w:hint="eastAsia"/>
        </w:rPr>
        <w:fldChar w:fldCharType="begin"/>
      </w:r>
      <w:r>
        <w:instrText xml:space="preserve"> HYPERLINK "http://zjj.xxz.gov.cn/zwgk_159/fdzdgknr/czxx/202006/t20200630_1698329.html" \l "__RefHeading___Toc44226888" </w:instrText>
      </w:r>
      <w:r>
        <w:rPr>
          <w:rFonts w:hint="eastAsia"/>
        </w:rPr>
        <w:fldChar w:fldCharType="separate"/>
      </w:r>
      <w:r>
        <w:rPr>
          <w:rStyle w:val="10"/>
          <w:rFonts w:hint="eastAsia" w:ascii="方正黑体_GBK" w:eastAsia="方正黑体_GBK" w:cs="宋体"/>
          <w:b w:val="0"/>
          <w:sz w:val="32"/>
          <w:szCs w:val="32"/>
        </w:rPr>
        <w:t>九、其他需要说明的情况</w:t>
      </w:r>
      <w:r>
        <w:rPr>
          <w:rStyle w:val="10"/>
          <w:rFonts w:hint="eastAsia" w:ascii="方正黑体_GBK" w:eastAsia="方正黑体_GBK" w:cs="宋体"/>
          <w:b w:val="0"/>
          <w:sz w:val="32"/>
          <w:szCs w:val="32"/>
        </w:rPr>
        <w:fldChar w:fldCharType="end"/>
      </w:r>
    </w:p>
    <w:p w14:paraId="5F09A713">
      <w:pPr>
        <w:pStyle w:val="7"/>
        <w:spacing w:before="0" w:beforeAutospacing="0" w:after="0" w:afterAutospacing="0" w:line="570" w:lineRule="exact"/>
        <w:jc w:val="both"/>
        <w:rPr>
          <w:rFonts w:ascii="方正仿宋_GBK" w:hAnsi="方正仿宋_GBK" w:eastAsia="方正仿宋_GBK" w:cs="方正仿宋_GBK"/>
          <w:sz w:val="32"/>
          <w:szCs w:val="32"/>
        </w:rPr>
        <w:sectPr>
          <w:footerReference r:id="rId3" w:type="default"/>
          <w:footerReference r:id="rId4" w:type="even"/>
          <w:pgSz w:w="11906" w:h="16838"/>
          <w:pgMar w:top="1701" w:right="776" w:bottom="1701" w:left="1701" w:header="851" w:footer="992" w:gutter="0"/>
          <w:cols w:space="425" w:num="1"/>
          <w:docGrid w:type="lines" w:linePitch="312" w:charSpace="0"/>
        </w:sectPr>
      </w:pPr>
    </w:p>
    <w:p w14:paraId="2DE0C25C">
      <w:pPr>
        <w:widowControl/>
        <w:shd w:val="clear" w:color="auto" w:fill="FFFFFF"/>
        <w:spacing w:line="570" w:lineRule="exact"/>
        <w:ind w:left="640"/>
        <w:jc w:val="left"/>
        <w:rPr>
          <w:rFonts w:ascii="方正仿宋_GBK" w:hAnsi="微软雅黑" w:eastAsia="方正仿宋_GBK" w:cs="宋体"/>
          <w:b/>
          <w:kern w:val="0"/>
          <w:sz w:val="32"/>
          <w:szCs w:val="32"/>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5480">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28AA04A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7B52B">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A5BE1C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FC881"/>
    <w:multiLevelType w:val="singleLevel"/>
    <w:tmpl w:val="825FC881"/>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793E5A"/>
    <w:rsid w:val="00013DC4"/>
    <w:rsid w:val="000174DD"/>
    <w:rsid w:val="000329C3"/>
    <w:rsid w:val="000606BB"/>
    <w:rsid w:val="000672FB"/>
    <w:rsid w:val="00095FE6"/>
    <w:rsid w:val="000A0778"/>
    <w:rsid w:val="000B1BBB"/>
    <w:rsid w:val="000C74F9"/>
    <w:rsid w:val="000F6A97"/>
    <w:rsid w:val="0010397A"/>
    <w:rsid w:val="00105841"/>
    <w:rsid w:val="00141D10"/>
    <w:rsid w:val="00150804"/>
    <w:rsid w:val="00161DEF"/>
    <w:rsid w:val="001740B7"/>
    <w:rsid w:val="001B166C"/>
    <w:rsid w:val="001B1DDE"/>
    <w:rsid w:val="001C11B3"/>
    <w:rsid w:val="001C46BC"/>
    <w:rsid w:val="001D73B9"/>
    <w:rsid w:val="001F0B83"/>
    <w:rsid w:val="001F597B"/>
    <w:rsid w:val="00214B4C"/>
    <w:rsid w:val="0022026C"/>
    <w:rsid w:val="00225717"/>
    <w:rsid w:val="00232DD1"/>
    <w:rsid w:val="0025319C"/>
    <w:rsid w:val="002556E6"/>
    <w:rsid w:val="00261924"/>
    <w:rsid w:val="002737DD"/>
    <w:rsid w:val="00274B49"/>
    <w:rsid w:val="002C22F5"/>
    <w:rsid w:val="002C7E43"/>
    <w:rsid w:val="002E78C5"/>
    <w:rsid w:val="002F7F5B"/>
    <w:rsid w:val="003135B6"/>
    <w:rsid w:val="00315993"/>
    <w:rsid w:val="00330E18"/>
    <w:rsid w:val="003415B4"/>
    <w:rsid w:val="0035603C"/>
    <w:rsid w:val="0035604B"/>
    <w:rsid w:val="00395C5C"/>
    <w:rsid w:val="003A2FEC"/>
    <w:rsid w:val="003A47C9"/>
    <w:rsid w:val="003A6938"/>
    <w:rsid w:val="003D0632"/>
    <w:rsid w:val="003F09CA"/>
    <w:rsid w:val="003F49E4"/>
    <w:rsid w:val="0040121F"/>
    <w:rsid w:val="00410C11"/>
    <w:rsid w:val="00422005"/>
    <w:rsid w:val="00426935"/>
    <w:rsid w:val="00434185"/>
    <w:rsid w:val="004532E7"/>
    <w:rsid w:val="00457CE4"/>
    <w:rsid w:val="00460B72"/>
    <w:rsid w:val="0047653F"/>
    <w:rsid w:val="004A1AD0"/>
    <w:rsid w:val="004C3BD8"/>
    <w:rsid w:val="004C4067"/>
    <w:rsid w:val="004E5E93"/>
    <w:rsid w:val="00513D99"/>
    <w:rsid w:val="00521D98"/>
    <w:rsid w:val="00565461"/>
    <w:rsid w:val="00580070"/>
    <w:rsid w:val="0059122D"/>
    <w:rsid w:val="005A070F"/>
    <w:rsid w:val="005B56C7"/>
    <w:rsid w:val="005C0059"/>
    <w:rsid w:val="005C4020"/>
    <w:rsid w:val="005E3E7C"/>
    <w:rsid w:val="005F6F7F"/>
    <w:rsid w:val="006015B0"/>
    <w:rsid w:val="00613D81"/>
    <w:rsid w:val="006227F4"/>
    <w:rsid w:val="00640BC6"/>
    <w:rsid w:val="006464B9"/>
    <w:rsid w:val="00651702"/>
    <w:rsid w:val="00662D8A"/>
    <w:rsid w:val="00665552"/>
    <w:rsid w:val="0067118F"/>
    <w:rsid w:val="00682925"/>
    <w:rsid w:val="0069233E"/>
    <w:rsid w:val="006D1D42"/>
    <w:rsid w:val="00700492"/>
    <w:rsid w:val="00706B88"/>
    <w:rsid w:val="00762403"/>
    <w:rsid w:val="00776B46"/>
    <w:rsid w:val="00792334"/>
    <w:rsid w:val="00793E5A"/>
    <w:rsid w:val="007A2E10"/>
    <w:rsid w:val="007A6FE8"/>
    <w:rsid w:val="007B3F11"/>
    <w:rsid w:val="007B6662"/>
    <w:rsid w:val="007D1C90"/>
    <w:rsid w:val="007D688C"/>
    <w:rsid w:val="007F7164"/>
    <w:rsid w:val="0084253F"/>
    <w:rsid w:val="008525D9"/>
    <w:rsid w:val="00865CA3"/>
    <w:rsid w:val="008726D6"/>
    <w:rsid w:val="008729CD"/>
    <w:rsid w:val="008974B7"/>
    <w:rsid w:val="008A0524"/>
    <w:rsid w:val="008A4F3F"/>
    <w:rsid w:val="008A5A2F"/>
    <w:rsid w:val="008C225A"/>
    <w:rsid w:val="008D7753"/>
    <w:rsid w:val="00902533"/>
    <w:rsid w:val="00903147"/>
    <w:rsid w:val="00905E9C"/>
    <w:rsid w:val="009113B2"/>
    <w:rsid w:val="00924A41"/>
    <w:rsid w:val="009334A4"/>
    <w:rsid w:val="0094250F"/>
    <w:rsid w:val="00957A82"/>
    <w:rsid w:val="009640B3"/>
    <w:rsid w:val="009B119C"/>
    <w:rsid w:val="009B3192"/>
    <w:rsid w:val="009E6A3D"/>
    <w:rsid w:val="009F7002"/>
    <w:rsid w:val="00A038D4"/>
    <w:rsid w:val="00A227F7"/>
    <w:rsid w:val="00A336B0"/>
    <w:rsid w:val="00A41ACE"/>
    <w:rsid w:val="00A50BE3"/>
    <w:rsid w:val="00A5369B"/>
    <w:rsid w:val="00A85E68"/>
    <w:rsid w:val="00A9416A"/>
    <w:rsid w:val="00B132F4"/>
    <w:rsid w:val="00B13C6D"/>
    <w:rsid w:val="00B27481"/>
    <w:rsid w:val="00B56BF7"/>
    <w:rsid w:val="00B67F10"/>
    <w:rsid w:val="00B90557"/>
    <w:rsid w:val="00B9290E"/>
    <w:rsid w:val="00B95188"/>
    <w:rsid w:val="00BB687B"/>
    <w:rsid w:val="00BD2D51"/>
    <w:rsid w:val="00BD43BF"/>
    <w:rsid w:val="00BF1243"/>
    <w:rsid w:val="00BF46B1"/>
    <w:rsid w:val="00C05782"/>
    <w:rsid w:val="00C0775E"/>
    <w:rsid w:val="00C20782"/>
    <w:rsid w:val="00C34DF9"/>
    <w:rsid w:val="00C56634"/>
    <w:rsid w:val="00C61844"/>
    <w:rsid w:val="00C873F8"/>
    <w:rsid w:val="00CA6120"/>
    <w:rsid w:val="00CB2E00"/>
    <w:rsid w:val="00CB3747"/>
    <w:rsid w:val="00CB73A1"/>
    <w:rsid w:val="00CB79BE"/>
    <w:rsid w:val="00CC3681"/>
    <w:rsid w:val="00CC3CA9"/>
    <w:rsid w:val="00CC56D8"/>
    <w:rsid w:val="00CD0205"/>
    <w:rsid w:val="00CE445F"/>
    <w:rsid w:val="00CF2171"/>
    <w:rsid w:val="00CF5103"/>
    <w:rsid w:val="00D03566"/>
    <w:rsid w:val="00D262CC"/>
    <w:rsid w:val="00D306BC"/>
    <w:rsid w:val="00D339E2"/>
    <w:rsid w:val="00D467FF"/>
    <w:rsid w:val="00D67E50"/>
    <w:rsid w:val="00D86666"/>
    <w:rsid w:val="00DA7275"/>
    <w:rsid w:val="00DA7E6F"/>
    <w:rsid w:val="00DC4A73"/>
    <w:rsid w:val="00DD58FB"/>
    <w:rsid w:val="00E02610"/>
    <w:rsid w:val="00E035BF"/>
    <w:rsid w:val="00E21937"/>
    <w:rsid w:val="00E57F3B"/>
    <w:rsid w:val="00E73E8D"/>
    <w:rsid w:val="00E802FA"/>
    <w:rsid w:val="00ED5BA2"/>
    <w:rsid w:val="00EE4235"/>
    <w:rsid w:val="00F10E80"/>
    <w:rsid w:val="00F1732A"/>
    <w:rsid w:val="00F57FD4"/>
    <w:rsid w:val="00F60DC8"/>
    <w:rsid w:val="00F7783A"/>
    <w:rsid w:val="00FB7C99"/>
    <w:rsid w:val="00FC25EF"/>
    <w:rsid w:val="00FD1C57"/>
    <w:rsid w:val="00FD7497"/>
    <w:rsid w:val="00FF71BE"/>
    <w:rsid w:val="05D95FE2"/>
    <w:rsid w:val="0A0E0EE0"/>
    <w:rsid w:val="0B3A2B71"/>
    <w:rsid w:val="0B5F0CEF"/>
    <w:rsid w:val="18F72F93"/>
    <w:rsid w:val="198E577B"/>
    <w:rsid w:val="20692CB7"/>
    <w:rsid w:val="26D101BE"/>
    <w:rsid w:val="2D195A5D"/>
    <w:rsid w:val="344C0F51"/>
    <w:rsid w:val="37C9184C"/>
    <w:rsid w:val="3EC6438E"/>
    <w:rsid w:val="3FCE4C59"/>
    <w:rsid w:val="42430B3C"/>
    <w:rsid w:val="44471405"/>
    <w:rsid w:val="4B0F7733"/>
    <w:rsid w:val="52E72AFC"/>
    <w:rsid w:val="5A914FC0"/>
    <w:rsid w:val="5E494AEB"/>
    <w:rsid w:val="690E0E11"/>
    <w:rsid w:val="71EF2E6F"/>
    <w:rsid w:val="739D16CC"/>
    <w:rsid w:val="74A22F5D"/>
    <w:rsid w:val="7A7723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99"/>
    <w:pPr>
      <w:spacing w:line="590" w:lineRule="exact"/>
    </w:pPr>
    <w:rPr>
      <w:rFonts w:ascii="Times New Roman" w:hAnsi="Times New Roman" w:eastAsia="仿宋_GB2312"/>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Balloon Text"/>
    <w:basedOn w:val="1"/>
    <w:link w:val="18"/>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customStyle="1" w:styleId="12">
    <w:name w:val="正文文本 Char"/>
    <w:basedOn w:val="9"/>
    <w:link w:val="2"/>
    <w:qFormat/>
    <w:locked/>
    <w:uiPriority w:val="99"/>
    <w:rPr>
      <w:rFonts w:ascii="Times New Roman" w:hAnsi="Times New Roman" w:eastAsia="仿宋_GB2312" w:cs="Times New Roman"/>
      <w:sz w:val="24"/>
      <w:szCs w:val="24"/>
    </w:rPr>
  </w:style>
  <w:style w:type="character" w:customStyle="1" w:styleId="13">
    <w:name w:val="页脚 Char1"/>
    <w:basedOn w:val="9"/>
    <w:link w:val="5"/>
    <w:qFormat/>
    <w:locked/>
    <w:uiPriority w:val="99"/>
    <w:rPr>
      <w:rFonts w:cs="Times New Roman"/>
      <w:sz w:val="18"/>
      <w:szCs w:val="18"/>
    </w:rPr>
  </w:style>
  <w:style w:type="character" w:customStyle="1" w:styleId="14">
    <w:name w:val="页眉 Char"/>
    <w:basedOn w:val="9"/>
    <w:link w:val="6"/>
    <w:qFormat/>
    <w:locked/>
    <w:uiPriority w:val="99"/>
    <w:rPr>
      <w:rFonts w:cs="Times New Roman"/>
      <w:sz w:val="18"/>
      <w:szCs w:val="18"/>
    </w:rPr>
  </w:style>
  <w:style w:type="paragraph" w:customStyle="1" w:styleId="15">
    <w:name w:val="western"/>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List Paragraph"/>
    <w:basedOn w:val="1"/>
    <w:qFormat/>
    <w:uiPriority w:val="99"/>
    <w:pPr>
      <w:ind w:firstLine="420" w:firstLineChars="200"/>
    </w:pPr>
  </w:style>
  <w:style w:type="paragraph" w:customStyle="1" w:styleId="17">
    <w:name w:val="Char Char Char Char Char Char Char Char Char Char Char Char Char Char Char Char Char Char Char Char Char Char"/>
    <w:basedOn w:val="1"/>
    <w:qFormat/>
    <w:uiPriority w:val="99"/>
    <w:rPr>
      <w:rFonts w:ascii="宋体" w:hAnsi="宋体" w:cs="Courier New"/>
      <w:sz w:val="32"/>
      <w:szCs w:val="32"/>
    </w:rPr>
  </w:style>
  <w:style w:type="character" w:customStyle="1" w:styleId="18">
    <w:name w:val="批注框文本 Char"/>
    <w:basedOn w:val="9"/>
    <w:link w:val="4"/>
    <w:semiHidden/>
    <w:qFormat/>
    <w:locked/>
    <w:uiPriority w:val="99"/>
    <w:rPr>
      <w:rFonts w:cs="Times New Roman"/>
      <w:kern w:val="2"/>
      <w:sz w:val="18"/>
      <w:szCs w:val="18"/>
    </w:rPr>
  </w:style>
  <w:style w:type="paragraph" w:customStyle="1" w:styleId="19">
    <w:name w:val="Char1 Char Char Char"/>
    <w:basedOn w:val="1"/>
    <w:qFormat/>
    <w:uiPriority w:val="99"/>
    <w:pPr>
      <w:widowControl/>
      <w:spacing w:after="160" w:line="240" w:lineRule="exact"/>
      <w:jc w:val="left"/>
    </w:pPr>
    <w:rPr>
      <w:rFonts w:ascii="Verdana" w:hAnsi="Verdana" w:eastAsia="仿宋_GB2312"/>
      <w:kern w:val="0"/>
      <w:sz w:val="30"/>
      <w:szCs w:val="30"/>
      <w:lang w:eastAsia="en-US"/>
    </w:rPr>
  </w:style>
  <w:style w:type="character" w:customStyle="1" w:styleId="20">
    <w:name w:val="页脚 Char"/>
    <w:qFormat/>
    <w:uiPriority w:val="99"/>
    <w:rPr>
      <w:rFonts w:eastAsia="宋体"/>
      <w:sz w:val="18"/>
      <w:lang w:val="en-US" w:eastAsia="zh-CN"/>
    </w:rPr>
  </w:style>
  <w:style w:type="paragraph" w:customStyle="1" w:styleId="21">
    <w:name w:val="列出段落1"/>
    <w:basedOn w:val="1"/>
    <w:qFormat/>
    <w:uiPriority w:val="99"/>
    <w:pPr>
      <w:ind w:firstLine="420" w:firstLineChars="200"/>
    </w:pPr>
  </w:style>
  <w:style w:type="paragraph" w:customStyle="1" w:styleId="22">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33</Pages>
  <Words>18182</Words>
  <Characters>19238</Characters>
  <Lines>141</Lines>
  <Paragraphs>39</Paragraphs>
  <TotalTime>5</TotalTime>
  <ScaleCrop>false</ScaleCrop>
  <LinksUpToDate>false</LinksUpToDate>
  <CharactersWithSpaces>19446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2022-03-10T01:16:00Z</dcterms:created>
  <dc:creator>User</dc:creator>
  <cp:lastModifiedBy>WPS_1666744378</cp:lastModifiedBy>
  <dcterms:modified xsi:type="dcterms:W3CDTF">2024-12-26T04:02:49Z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BCBC7CC7E82549829127AB8B9455F6EB</vt:lpwstr>
  </property>
  <property fmtid="{D5CDD505-2E9C-101B-9397-08002B2CF9AE}" pid="4" name="KSOTemplateDocerSaveRecord">
    <vt:lpwstr>eyJoZGlkIjoiOTc3M2Y5NzIzMDFlZjAyY2Q4Njk5ODkyYjFjNzBiNTQiLCJ1c2VySWQiOiIxNDI1MjIxNTU5In0=</vt:lpwstr>
  </property>
</Properties>
</file>