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adjustRightInd w:val="0"/>
        <w:snapToGrid w:val="0"/>
        <w:spacing w:before="0" w:beforeAutospacing="0" w:after="0" w:afterAutospacing="0"/>
        <w:jc w:val="center"/>
        <w:textAlignment w:val="center"/>
        <w:outlineLvl w:val="0"/>
        <w:rPr>
          <w:rFonts w:hint="eastAsia" w:ascii="宋体" w:hAnsi="宋体" w:cs="宋体"/>
          <w:b/>
          <w:bCs/>
          <w:sz w:val="44"/>
          <w:szCs w:val="44"/>
        </w:rPr>
      </w:pPr>
      <w:r>
        <w:rPr>
          <w:rFonts w:hint="eastAsia" w:ascii="宋体" w:hAnsi="宋体" w:cs="宋体"/>
          <w:b/>
          <w:bCs/>
          <w:sz w:val="44"/>
          <w:szCs w:val="44"/>
        </w:rPr>
        <w:t>2019年度部门整体支出绩效评价自评报告</w:t>
      </w:r>
    </w:p>
    <w:p>
      <w:pPr>
        <w:pStyle w:val="4"/>
        <w:widowControl/>
        <w:adjustRightInd w:val="0"/>
        <w:snapToGrid w:val="0"/>
        <w:spacing w:before="0" w:beforeAutospacing="0" w:after="0" w:afterAutospacing="0"/>
        <w:jc w:val="center"/>
        <w:textAlignment w:val="center"/>
        <w:rPr>
          <w:rFonts w:ascii="Times New Roman" w:hAnsi="Times New Roman" w:eastAsia="黑体"/>
          <w:sz w:val="28"/>
          <w:szCs w:val="28"/>
        </w:rPr>
      </w:pPr>
    </w:p>
    <w:tbl>
      <w:tblPr>
        <w:tblStyle w:val="5"/>
        <w:tblW w:w="8159" w:type="dxa"/>
        <w:tblInd w:w="0" w:type="dxa"/>
        <w:tblLayout w:type="fixed"/>
        <w:tblCellMar>
          <w:top w:w="0" w:type="dxa"/>
          <w:left w:w="0" w:type="dxa"/>
          <w:bottom w:w="0" w:type="dxa"/>
          <w:right w:w="0" w:type="dxa"/>
        </w:tblCellMar>
      </w:tblPr>
      <w:tblGrid>
        <w:gridCol w:w="1183"/>
        <w:gridCol w:w="4068"/>
        <w:gridCol w:w="1204"/>
        <w:gridCol w:w="1704"/>
      </w:tblGrid>
      <w:tr>
        <w:tblPrEx>
          <w:tblLayout w:type="fixed"/>
          <w:tblCellMar>
            <w:top w:w="0" w:type="dxa"/>
            <w:left w:w="0" w:type="dxa"/>
            <w:bottom w:w="0" w:type="dxa"/>
            <w:right w:w="0" w:type="dxa"/>
          </w:tblCellMar>
        </w:tblPrEx>
        <w:trPr>
          <w:trHeight w:val="570" w:hRule="atLeast"/>
        </w:trPr>
        <w:tc>
          <w:tcPr>
            <w:tcW w:w="8159" w:type="dxa"/>
            <w:gridSpan w:val="4"/>
            <w:tcBorders>
              <w:top w:val="nil"/>
              <w:left w:val="nil"/>
              <w:bottom w:val="single" w:color="auto" w:sz="4" w:space="0"/>
              <w:right w:val="nil"/>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ascii="Times New Roman" w:hAnsi="Times New Roman"/>
              </w:rPr>
            </w:pPr>
            <w:r>
              <w:rPr>
                <w:rFonts w:ascii="Times New Roman" w:hAnsi="Times New Roman" w:eastAsia="黑体"/>
                <w:sz w:val="28"/>
                <w:szCs w:val="28"/>
              </w:rPr>
              <w:t>一、部门（单位）基本概况</w:t>
            </w:r>
          </w:p>
        </w:tc>
      </w:tr>
      <w:tr>
        <w:tblPrEx>
          <w:tblLayout w:type="fixed"/>
          <w:tblCellMar>
            <w:top w:w="0" w:type="dxa"/>
            <w:left w:w="0" w:type="dxa"/>
            <w:bottom w:w="0" w:type="dxa"/>
            <w:right w:w="0" w:type="dxa"/>
          </w:tblCellMar>
        </w:tblPrEx>
        <w:trPr>
          <w:trHeight w:val="570" w:hRule="atLeast"/>
        </w:trPr>
        <w:tc>
          <w:tcPr>
            <w:tcW w:w="1183" w:type="dxa"/>
            <w:tcBorders>
              <w:top w:val="single" w:color="auto" w:sz="4" w:space="0"/>
              <w:left w:val="single" w:color="auto" w:sz="4" w:space="0"/>
              <w:bottom w:val="single" w:color="auto" w:sz="4" w:space="0"/>
              <w:right w:val="single" w:color="auto" w:sz="4"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w:t>
            </w:r>
          </w:p>
        </w:tc>
        <w:tc>
          <w:tcPr>
            <w:tcW w:w="4068" w:type="dxa"/>
            <w:tcBorders>
              <w:top w:val="single" w:color="auto" w:sz="4" w:space="0"/>
              <w:left w:val="single" w:color="auto" w:sz="4" w:space="0"/>
              <w:bottom w:val="single" w:color="auto" w:sz="4" w:space="0"/>
              <w:right w:val="single" w:color="auto" w:sz="4"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倪侑铭</w:t>
            </w:r>
          </w:p>
        </w:tc>
        <w:tc>
          <w:tcPr>
            <w:tcW w:w="1204" w:type="dxa"/>
            <w:tcBorders>
              <w:top w:val="single" w:color="auto" w:sz="4" w:space="0"/>
              <w:left w:val="single" w:color="auto" w:sz="4" w:space="0"/>
              <w:bottom w:val="single" w:color="auto" w:sz="4" w:space="0"/>
              <w:right w:val="single" w:color="auto" w:sz="4"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1704" w:type="dxa"/>
            <w:tcBorders>
              <w:top w:val="single" w:color="auto" w:sz="4" w:space="0"/>
              <w:left w:val="single" w:color="auto" w:sz="4" w:space="0"/>
              <w:bottom w:val="single" w:color="auto" w:sz="4" w:space="0"/>
              <w:right w:val="single" w:color="auto" w:sz="4"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58256610</w:t>
            </w:r>
          </w:p>
        </w:tc>
      </w:tr>
      <w:tr>
        <w:tblPrEx>
          <w:tblLayout w:type="fixed"/>
          <w:tblCellMar>
            <w:top w:w="0" w:type="dxa"/>
            <w:left w:w="0" w:type="dxa"/>
            <w:bottom w:w="0" w:type="dxa"/>
            <w:right w:w="0" w:type="dxa"/>
          </w:tblCellMar>
        </w:tblPrEx>
        <w:trPr>
          <w:trHeight w:val="570" w:hRule="atLeast"/>
        </w:trPr>
        <w:tc>
          <w:tcPr>
            <w:tcW w:w="1183" w:type="dxa"/>
            <w:tcBorders>
              <w:top w:val="single" w:color="auto" w:sz="4" w:space="0"/>
              <w:left w:val="single" w:color="auto" w:sz="6"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人员编制</w:t>
            </w:r>
          </w:p>
        </w:tc>
        <w:tc>
          <w:tcPr>
            <w:tcW w:w="4068" w:type="dxa"/>
            <w:tcBorders>
              <w:top w:val="single" w:color="auto" w:sz="4" w:space="0"/>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22</w:t>
            </w:r>
          </w:p>
        </w:tc>
        <w:tc>
          <w:tcPr>
            <w:tcW w:w="1204" w:type="dxa"/>
            <w:tcBorders>
              <w:top w:val="single" w:color="auto" w:sz="4" w:space="0"/>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实有人数</w:t>
            </w:r>
          </w:p>
        </w:tc>
        <w:tc>
          <w:tcPr>
            <w:tcW w:w="1704" w:type="dxa"/>
            <w:tcBorders>
              <w:top w:val="single" w:color="auto" w:sz="4" w:space="0"/>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22人</w:t>
            </w:r>
          </w:p>
        </w:tc>
      </w:tr>
      <w:tr>
        <w:tblPrEx>
          <w:tblLayout w:type="fixed"/>
          <w:tblCellMar>
            <w:top w:w="0" w:type="dxa"/>
            <w:left w:w="0" w:type="dxa"/>
            <w:bottom w:w="0" w:type="dxa"/>
            <w:right w:w="0" w:type="dxa"/>
          </w:tblCellMar>
        </w:tblPrEx>
        <w:trPr>
          <w:trHeight w:val="90" w:hRule="atLeast"/>
        </w:trPr>
        <w:tc>
          <w:tcPr>
            <w:tcW w:w="1183" w:type="dxa"/>
            <w:tcBorders>
              <w:top w:val="nil"/>
              <w:left w:val="single" w:color="auto" w:sz="6" w:space="0"/>
              <w:bottom w:val="single" w:color="auto" w:sz="4"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职能职责概述</w:t>
            </w:r>
          </w:p>
        </w:tc>
        <w:tc>
          <w:tcPr>
            <w:tcW w:w="6976" w:type="dxa"/>
            <w:gridSpan w:val="3"/>
            <w:tcBorders>
              <w:top w:val="nil"/>
              <w:left w:val="nil"/>
              <w:bottom w:val="single" w:color="auto" w:sz="4" w:space="0"/>
              <w:right w:val="single" w:color="auto" w:sz="6" w:space="0"/>
            </w:tcBorders>
            <w:noWrap w:val="0"/>
            <w:tcMar>
              <w:left w:w="15" w:type="dxa"/>
              <w:right w:w="15" w:type="dxa"/>
            </w:tcMar>
            <w:vAlign w:val="center"/>
          </w:tcPr>
          <w:p>
            <w:pPr>
              <w:pStyle w:val="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残疾人联合会的宗旨是：弘扬人道主义，发展残疾人事业，保障残疾人平等地充分参与社会生活，共享社会物质文化成果。其主要任务是：</w:t>
            </w:r>
          </w:p>
          <w:p>
            <w:pPr>
              <w:pStyle w:val="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（1）、听取残疾人意见，反映残疾人需求，维护残疾人权益，为残疾人服务。 </w:t>
            </w:r>
          </w:p>
          <w:p>
            <w:pPr>
              <w:pStyle w:val="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（2）、团结教育残疾人遵守法律，履行应尽的义务；发扬乐观进取精神，自尊、自信、自强、自立，为社会主义建设贡献力量。 </w:t>
            </w:r>
          </w:p>
          <w:p>
            <w:pPr>
              <w:pStyle w:val="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（3）、弘扬人道主义，宣传残疾人事业，沟通政府、社会与残疾人之间的联系，动员社会理解、尊重、关心、帮助残疾人。 </w:t>
            </w:r>
          </w:p>
          <w:p>
            <w:pPr>
              <w:pStyle w:val="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（4）、开展残疾人康复、教育、劳动就业、文化、体育、科研、用品用具供应、福利、社会服务、无障碍设施和残疾预防工作，创造良好的环境和条件，扶助残疾人平等参与社会生活。 </w:t>
            </w:r>
          </w:p>
          <w:p>
            <w:pPr>
              <w:pStyle w:val="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（5）、协助政府研究、制定和实施残疾人事业的法规、政策、规划和计划，对有关业务领域进行指导和管理。 </w:t>
            </w:r>
          </w:p>
          <w:p>
            <w:pPr>
              <w:pStyle w:val="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（6）、承担政府残疾人工作协调委员会的日常工作，做好综合、组织、协调和服务。 </w:t>
            </w:r>
          </w:p>
          <w:p>
            <w:pPr>
              <w:pStyle w:val="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（7）、指导和管理各类残疾人社团组织。 </w:t>
            </w:r>
          </w:p>
          <w:p>
            <w:pPr>
              <w:pStyle w:val="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（8）、开展残疾人事业的国际交流与合作。 </w:t>
            </w:r>
          </w:p>
          <w:p>
            <w:pPr>
              <w:pStyle w:val="8"/>
              <w:ind w:firstLine="46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（9）、承担政府交办的其他工作。</w:t>
            </w:r>
          </w:p>
          <w:p>
            <w:pPr>
              <w:pStyle w:val="4"/>
              <w:widowControl/>
              <w:shd w:val="clear" w:color="auto" w:fill="FFFFFF"/>
              <w:adjustRightInd w:val="0"/>
              <w:snapToGrid w:val="0"/>
              <w:spacing w:before="0" w:beforeAutospacing="0" w:after="0" w:afterAutospacing="0"/>
              <w:textAlignment w:val="center"/>
              <w:rPr>
                <w:rFonts w:hint="eastAsia" w:ascii="方正仿宋_GBK" w:hAnsi="方正仿宋_GBK" w:eastAsia="方正仿宋_GBK" w:cs="方正仿宋_GBK"/>
                <w:sz w:val="28"/>
                <w:szCs w:val="28"/>
              </w:rPr>
            </w:pPr>
          </w:p>
        </w:tc>
      </w:tr>
      <w:tr>
        <w:tblPrEx>
          <w:tblLayout w:type="fixed"/>
          <w:tblCellMar>
            <w:top w:w="0" w:type="dxa"/>
            <w:left w:w="0" w:type="dxa"/>
            <w:bottom w:w="0" w:type="dxa"/>
            <w:right w:w="0" w:type="dxa"/>
          </w:tblCellMar>
        </w:tblPrEx>
        <w:trPr>
          <w:trHeight w:val="1270" w:hRule="atLeast"/>
        </w:trPr>
        <w:tc>
          <w:tcPr>
            <w:tcW w:w="1183" w:type="dxa"/>
            <w:tcBorders>
              <w:top w:val="single" w:color="auto" w:sz="4" w:space="0"/>
              <w:left w:val="single" w:color="auto" w:sz="4" w:space="0"/>
              <w:bottom w:val="single" w:color="auto" w:sz="4"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年度主要</w:t>
            </w:r>
          </w:p>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工作内容</w:t>
            </w:r>
          </w:p>
        </w:tc>
        <w:tc>
          <w:tcPr>
            <w:tcW w:w="6976" w:type="dxa"/>
            <w:gridSpan w:val="3"/>
            <w:tcBorders>
              <w:top w:val="single" w:color="auto" w:sz="4" w:space="0"/>
              <w:left w:val="nil"/>
              <w:bottom w:val="single" w:color="auto" w:sz="4" w:space="0"/>
              <w:right w:val="single" w:color="auto" w:sz="4" w:space="0"/>
            </w:tcBorders>
            <w:noWrap w:val="0"/>
            <w:tcMar>
              <w:left w:w="15" w:type="dxa"/>
              <w:right w:w="15" w:type="dxa"/>
            </w:tcMar>
            <w:vAlign w:val="center"/>
          </w:tcPr>
          <w:p>
            <w:pPr>
              <w:spacing w:line="59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2019年万州区残联工作总结如下：</w:t>
            </w:r>
          </w:p>
          <w:p>
            <w:pPr>
              <w:spacing w:line="59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（一）始终把政治建设摆在首位，不断加强党对残疾人事业的领导</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1、强化机关党建，认真落实全面从严治党；</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2、加强化党对意识形态工作的主导权，确保网络舆情风险管控与宣传教育工作落地见实；</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3、狠抓党风廉政建设责任制落实，强化干部职工廉洁从政意识；</w:t>
            </w:r>
          </w:p>
          <w:p>
            <w:pPr>
              <w:spacing w:line="59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w:t>
            </w:r>
            <w:r>
              <w:rPr>
                <w:rFonts w:hint="eastAsia" w:ascii="方正仿宋_GBK" w:hAnsi="方正仿宋_GBK" w:eastAsia="方正仿宋_GBK" w:cs="方正仿宋_GBK"/>
                <w:sz w:val="28"/>
                <w:szCs w:val="28"/>
                <w:shd w:val="clear" w:color="auto" w:fill="FFFFFF"/>
              </w:rPr>
              <w:t>牢牢把握群团改革的正确方向，</w:t>
            </w:r>
            <w:r>
              <w:rPr>
                <w:rFonts w:hint="eastAsia" w:ascii="方正仿宋_GBK" w:hAnsi="方正仿宋_GBK" w:eastAsia="方正仿宋_GBK" w:cs="方正仿宋_GBK"/>
                <w:sz w:val="28"/>
                <w:szCs w:val="28"/>
              </w:rPr>
              <w:t>深入推进残联专项改革</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1、深入推进残联专项改革；</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2、残疾人服务阵地建设上档升级；</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3、加大残疾人脱贫攻坚工作力度；</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4、狠抓区委巡察问题整改落实工作；</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3、大力促进残疾人职业培训和就业工作；</w:t>
            </w:r>
          </w:p>
          <w:p>
            <w:pPr>
              <w:spacing w:line="59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（三）着力提高残疾人生活质量，大力推动残疾人事业持续健康发展</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1、严格规范残保金征收工作</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2、残疾人受教育水平不断提升</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3、大力促进残疾人职业培训和就业工作</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4、提高残疾人社会保障水平</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5、大力开展残疾人康复服务工作</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6、加强残疾人文化宣传</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7、大力支持残疾人体育事业</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8、不断完善残疾人权益保障工作机制</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9、持续抓好残疾人组织联络工作</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10、扎实抓好残疾人福利基金会工作</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p>
        </w:tc>
      </w:tr>
      <w:tr>
        <w:tblPrEx>
          <w:tblLayout w:type="fixed"/>
          <w:tblCellMar>
            <w:top w:w="0" w:type="dxa"/>
            <w:left w:w="0" w:type="dxa"/>
            <w:bottom w:w="0" w:type="dxa"/>
            <w:right w:w="0" w:type="dxa"/>
          </w:tblCellMar>
        </w:tblPrEx>
        <w:trPr>
          <w:trHeight w:val="2265" w:hRule="atLeast"/>
        </w:trPr>
        <w:tc>
          <w:tcPr>
            <w:tcW w:w="1183" w:type="dxa"/>
            <w:tcBorders>
              <w:top w:val="single" w:color="auto" w:sz="4" w:space="0"/>
              <w:left w:val="single" w:color="auto" w:sz="6"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年度部门（单位）总体运行情况及取得的成绩</w:t>
            </w:r>
          </w:p>
        </w:tc>
        <w:tc>
          <w:tcPr>
            <w:tcW w:w="6976" w:type="dxa"/>
            <w:gridSpan w:val="3"/>
            <w:tcBorders>
              <w:top w:val="single" w:color="auto" w:sz="4" w:space="0"/>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ind w:firstLine="560" w:firstLineChars="20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2019年，在区委、区政府的坚强领导下和市残联的精心指导下，区残联全面贯彻落实党的十九大和十九届四中全会精神，坚持以习近平新时代中国特色社会主义思想为指导，认真贯彻落实中央重大决策部署和习近平总书记关于做好重庆当前工作的重要指示精神、视察重庆重要讲话精神，以及市委、市政府和区委、区政府的决议决定，通过不断深化残联专项改革，扎实开展“不忘初心、牢记使命”主题教育，进一步焕发残联系统工作活力，推动机关干部“走转改”，着力去“四化”、强“三性”，认真开展“两走一贴近”，进一步加快推进残疾人小康奔进程，有力地推动了全年残疾人各项工作目标任务的完成。</w:t>
            </w:r>
          </w:p>
          <w:p>
            <w:pPr>
              <w:pStyle w:val="4"/>
              <w:widowControl/>
              <w:adjustRightInd w:val="0"/>
              <w:snapToGrid w:val="0"/>
              <w:spacing w:before="0" w:beforeAutospacing="0" w:after="0" w:afterAutospacing="0"/>
              <w:ind w:firstLine="560" w:firstLineChars="20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取得成绩如下：</w:t>
            </w:r>
          </w:p>
          <w:p>
            <w:pPr>
              <w:pStyle w:val="4"/>
              <w:widowControl/>
              <w:adjustRightInd w:val="0"/>
              <w:snapToGrid w:val="0"/>
              <w:spacing w:before="0" w:beforeAutospacing="0" w:after="0" w:afterAutospacing="0"/>
              <w:ind w:firstLine="560" w:firstLineChars="20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制定了《万州区“一户多残”贫困残疾人家庭脱贫攻坚帮扶方案》，投入资金142万元，对“一户2残”以上的建档立卡贫困户和“一户4残”以上的残疾人家庭开展脱贫攻坚帮扶工作；编制了《重庆市万州区深度贫困镇残疾人脱贫攻坚帮扶方案》，安排第二批资金30万元从康复、社会保障、职业培训、障碍改造等项目上对龙驹镇的贫困残疾人开展脱贫工作；</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2、组织召开残疾人就业专场招聘会共2次，为残疾人求职者提供了100余个工作岗位</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积极协调配合出台了《关于做好2019年残疾人精准康复工作的通知》（万州残发〔2019〕52）和《关于印发重庆市万州区残疾人精准康复家庭医生签约服务工作实施方案的通知》（万州卫〔2019〕102号）等相关政策，全年为17151名残疾人进行了康复服务，完成率为166%，康复服务率为97.68%。</w:t>
            </w:r>
          </w:p>
          <w:p>
            <w:pPr>
              <w:pStyle w:val="4"/>
              <w:widowControl/>
              <w:adjustRightInd w:val="0"/>
              <w:snapToGrid w:val="0"/>
              <w:spacing w:before="0" w:beforeAutospacing="0" w:after="0" w:afterAutospacing="0"/>
              <w:ind w:firstLine="48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4、积极组织和参与市残联乒乓球、游泳以及特奥篮球项目的比赛，分别获得5.5金6银2.5铜、2银3铜、1金1银2铜的好成绩。</w:t>
            </w: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hint="eastAsia" w:ascii="宋体" w:hAnsi="宋体" w:cs="宋体"/>
          <w:b/>
          <w:bCs/>
          <w:sz w:val="32"/>
          <w:szCs w:val="32"/>
        </w:rPr>
      </w:pPr>
    </w:p>
    <w:tbl>
      <w:tblPr>
        <w:tblStyle w:val="5"/>
        <w:tblW w:w="8176" w:type="dxa"/>
        <w:tblInd w:w="0" w:type="dxa"/>
        <w:tblLayout w:type="fixed"/>
        <w:tblCellMar>
          <w:top w:w="0" w:type="dxa"/>
          <w:left w:w="0" w:type="dxa"/>
          <w:bottom w:w="0" w:type="dxa"/>
          <w:right w:w="0" w:type="dxa"/>
        </w:tblCellMar>
      </w:tblPr>
      <w:tblGrid>
        <w:gridCol w:w="1139"/>
        <w:gridCol w:w="1125"/>
        <w:gridCol w:w="917"/>
        <w:gridCol w:w="1049"/>
        <w:gridCol w:w="1092"/>
        <w:gridCol w:w="1616"/>
        <w:gridCol w:w="1238"/>
      </w:tblGrid>
      <w:tr>
        <w:tblPrEx>
          <w:tblLayout w:type="fixed"/>
          <w:tblCellMar>
            <w:top w:w="0" w:type="dxa"/>
            <w:left w:w="0" w:type="dxa"/>
            <w:bottom w:w="0" w:type="dxa"/>
            <w:right w:w="0" w:type="dxa"/>
          </w:tblCellMar>
        </w:tblPrEx>
        <w:trPr>
          <w:trHeight w:val="570" w:hRule="atLeast"/>
        </w:trPr>
        <w:tc>
          <w:tcPr>
            <w:tcW w:w="8176" w:type="dxa"/>
            <w:gridSpan w:val="7"/>
            <w:tcBorders>
              <w:top w:val="nil"/>
              <w:left w:val="nil"/>
              <w:bottom w:val="single" w:color="auto" w:sz="4" w:space="0"/>
              <w:right w:val="nil"/>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宋体" w:hAnsi="宋体" w:cs="宋体"/>
                <w:b/>
                <w:bCs/>
                <w:sz w:val="32"/>
                <w:szCs w:val="32"/>
              </w:rPr>
            </w:pPr>
            <w:r>
              <w:rPr>
                <w:rFonts w:hint="eastAsia" w:ascii="宋体" w:hAnsi="宋体" w:cs="宋体"/>
                <w:b/>
                <w:bCs/>
                <w:sz w:val="32"/>
                <w:szCs w:val="32"/>
              </w:rPr>
              <w:t>二、部门（单位）收支情况</w:t>
            </w:r>
          </w:p>
        </w:tc>
      </w:tr>
      <w:tr>
        <w:tblPrEx>
          <w:tblLayout w:type="fixed"/>
          <w:tblCellMar>
            <w:top w:w="0" w:type="dxa"/>
            <w:left w:w="0" w:type="dxa"/>
            <w:bottom w:w="0" w:type="dxa"/>
            <w:right w:w="0" w:type="dxa"/>
          </w:tblCellMar>
        </w:tblPrEx>
        <w:trPr>
          <w:trHeight w:val="570" w:hRule="atLeast"/>
        </w:trPr>
        <w:tc>
          <w:tcPr>
            <w:tcW w:w="8176" w:type="dxa"/>
            <w:gridSpan w:val="7"/>
            <w:tcBorders>
              <w:top w:val="single" w:color="auto" w:sz="4" w:space="0"/>
              <w:left w:val="single" w:color="auto" w:sz="4" w:space="0"/>
              <w:bottom w:val="single" w:color="auto" w:sz="4" w:space="0"/>
              <w:right w:val="single" w:color="auto" w:sz="4"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Style w:val="7"/>
                <w:rFonts w:ascii="Times New Roman" w:hAnsi="Times New Roman" w:eastAsia="仿宋_GB2312"/>
              </w:rPr>
            </w:pPr>
            <w:r>
              <w:rPr>
                <w:rStyle w:val="7"/>
                <w:rFonts w:ascii="Times New Roman" w:hAnsi="Times New Roman" w:eastAsia="仿宋_GB2312"/>
              </w:rPr>
              <w:t>年度收入情况（万元）</w:t>
            </w:r>
          </w:p>
        </w:tc>
      </w:tr>
      <w:tr>
        <w:tblPrEx>
          <w:tblLayout w:type="fixed"/>
          <w:tblCellMar>
            <w:top w:w="0" w:type="dxa"/>
            <w:left w:w="0" w:type="dxa"/>
            <w:bottom w:w="0" w:type="dxa"/>
            <w:right w:w="0" w:type="dxa"/>
          </w:tblCellMar>
        </w:tblPrEx>
        <w:trPr>
          <w:trHeight w:val="570" w:hRule="atLeast"/>
        </w:trPr>
        <w:tc>
          <w:tcPr>
            <w:tcW w:w="1139" w:type="dxa"/>
            <w:vMerge w:val="restart"/>
            <w:tcBorders>
              <w:top w:val="single" w:color="auto" w:sz="4" w:space="0"/>
              <w:left w:val="single" w:color="auto" w:sz="6" w:space="0"/>
              <w:bottom w:val="single" w:color="auto" w:sz="4"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机构名称</w:t>
            </w:r>
          </w:p>
        </w:tc>
        <w:tc>
          <w:tcPr>
            <w:tcW w:w="1125" w:type="dxa"/>
            <w:vMerge w:val="restart"/>
            <w:tcBorders>
              <w:top w:val="single" w:color="auto" w:sz="4" w:space="0"/>
              <w:left w:val="single" w:color="auto" w:sz="2" w:space="0"/>
              <w:bottom w:val="single" w:color="auto" w:sz="4"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收入合计</w:t>
            </w:r>
          </w:p>
        </w:tc>
        <w:tc>
          <w:tcPr>
            <w:tcW w:w="5912" w:type="dxa"/>
            <w:gridSpan w:val="5"/>
            <w:tcBorders>
              <w:top w:val="single" w:color="auto" w:sz="4" w:space="0"/>
              <w:left w:val="single" w:color="auto" w:sz="2" w:space="0"/>
              <w:bottom w:val="single" w:color="auto" w:sz="4"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其中：</w:t>
            </w:r>
          </w:p>
        </w:tc>
      </w:tr>
      <w:tr>
        <w:tblPrEx>
          <w:tblLayout w:type="fixed"/>
          <w:tblCellMar>
            <w:top w:w="0" w:type="dxa"/>
            <w:left w:w="0" w:type="dxa"/>
            <w:bottom w:w="0" w:type="dxa"/>
            <w:right w:w="0" w:type="dxa"/>
          </w:tblCellMar>
        </w:tblPrEx>
        <w:trPr>
          <w:trHeight w:val="810" w:hRule="atLeast"/>
        </w:trPr>
        <w:tc>
          <w:tcPr>
            <w:tcW w:w="1139" w:type="dxa"/>
            <w:vMerge w:val="continue"/>
            <w:tcBorders>
              <w:top w:val="single" w:color="auto" w:sz="4" w:space="0"/>
              <w:left w:val="single" w:color="auto" w:sz="6" w:space="0"/>
              <w:bottom w:val="single" w:color="auto" w:sz="6" w:space="0"/>
              <w:right w:val="single" w:color="auto" w:sz="6" w:space="0"/>
            </w:tcBorders>
            <w:noWrap w:val="0"/>
            <w:tcMar>
              <w:left w:w="15" w:type="dxa"/>
              <w:right w:w="15" w:type="dxa"/>
            </w:tcMar>
            <w:vAlign w:val="center"/>
          </w:tcPr>
          <w:p>
            <w:pPr>
              <w:adjustRightInd w:val="0"/>
              <w:snapToGrid w:val="0"/>
              <w:rPr>
                <w:rFonts w:hint="eastAsia" w:ascii="方正仿宋_GBK" w:hAnsi="方正仿宋_GBK" w:eastAsia="方正仿宋_GBK" w:cs="方正仿宋_GBK"/>
                <w:sz w:val="28"/>
                <w:szCs w:val="28"/>
              </w:rPr>
            </w:pPr>
          </w:p>
        </w:tc>
        <w:tc>
          <w:tcPr>
            <w:tcW w:w="1125" w:type="dxa"/>
            <w:vMerge w:val="continue"/>
            <w:tcBorders>
              <w:top w:val="single" w:color="auto" w:sz="4" w:space="0"/>
              <w:left w:val="single" w:color="auto" w:sz="2" w:space="0"/>
              <w:bottom w:val="single" w:color="auto" w:sz="6" w:space="0"/>
              <w:right w:val="single" w:color="auto" w:sz="6" w:space="0"/>
            </w:tcBorders>
            <w:noWrap w:val="0"/>
            <w:tcMar>
              <w:left w:w="15" w:type="dxa"/>
              <w:right w:w="15" w:type="dxa"/>
            </w:tcMar>
            <w:vAlign w:val="center"/>
          </w:tcPr>
          <w:p>
            <w:pPr>
              <w:adjustRightInd w:val="0"/>
              <w:snapToGrid w:val="0"/>
              <w:rPr>
                <w:rFonts w:hint="eastAsia" w:ascii="方正仿宋_GBK" w:hAnsi="方正仿宋_GBK" w:eastAsia="方正仿宋_GBK" w:cs="方正仿宋_GBK"/>
                <w:sz w:val="28"/>
                <w:szCs w:val="28"/>
              </w:rPr>
            </w:pPr>
          </w:p>
        </w:tc>
        <w:tc>
          <w:tcPr>
            <w:tcW w:w="917" w:type="dxa"/>
            <w:tcBorders>
              <w:top w:val="single" w:color="auto" w:sz="4" w:space="0"/>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上年结转</w:t>
            </w:r>
          </w:p>
        </w:tc>
        <w:tc>
          <w:tcPr>
            <w:tcW w:w="1049" w:type="dxa"/>
            <w:tcBorders>
              <w:top w:val="single" w:color="auto" w:sz="4" w:space="0"/>
              <w:left w:val="single" w:color="auto" w:sz="2"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公共财</w:t>
            </w:r>
          </w:p>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政拨款</w:t>
            </w:r>
          </w:p>
        </w:tc>
        <w:tc>
          <w:tcPr>
            <w:tcW w:w="1092" w:type="dxa"/>
            <w:tcBorders>
              <w:top w:val="single" w:color="auto" w:sz="4" w:space="0"/>
              <w:left w:val="single" w:color="auto" w:sz="2"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政府基金拨款</w:t>
            </w:r>
          </w:p>
        </w:tc>
        <w:tc>
          <w:tcPr>
            <w:tcW w:w="1616" w:type="dxa"/>
            <w:tcBorders>
              <w:top w:val="single" w:color="auto" w:sz="4" w:space="0"/>
              <w:left w:val="single" w:color="auto" w:sz="2"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纳入专户管理的非税收入拨款</w:t>
            </w:r>
          </w:p>
        </w:tc>
        <w:tc>
          <w:tcPr>
            <w:tcW w:w="1238" w:type="dxa"/>
            <w:tcBorders>
              <w:top w:val="single" w:color="auto" w:sz="4" w:space="0"/>
              <w:left w:val="single" w:color="auto" w:sz="2"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其他</w:t>
            </w:r>
          </w:p>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收入</w:t>
            </w:r>
          </w:p>
        </w:tc>
      </w:tr>
      <w:tr>
        <w:tblPrEx>
          <w:tblLayout w:type="fixed"/>
          <w:tblCellMar>
            <w:top w:w="0" w:type="dxa"/>
            <w:left w:w="0" w:type="dxa"/>
            <w:bottom w:w="0" w:type="dxa"/>
            <w:right w:w="0" w:type="dxa"/>
          </w:tblCellMar>
        </w:tblPrEx>
        <w:trPr>
          <w:trHeight w:val="645" w:hRule="atLeast"/>
        </w:trPr>
        <w:tc>
          <w:tcPr>
            <w:tcW w:w="1139" w:type="dxa"/>
            <w:tcBorders>
              <w:top w:val="nil"/>
              <w:left w:val="single" w:color="auto" w:sz="6"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重庆市万州区残疾人联合会</w:t>
            </w:r>
          </w:p>
        </w:tc>
        <w:tc>
          <w:tcPr>
            <w:tcW w:w="1125"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4895.25</w:t>
            </w:r>
          </w:p>
        </w:tc>
        <w:tc>
          <w:tcPr>
            <w:tcW w:w="917"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38.28</w:t>
            </w:r>
          </w:p>
        </w:tc>
        <w:tc>
          <w:tcPr>
            <w:tcW w:w="1049"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3866.43</w:t>
            </w:r>
          </w:p>
        </w:tc>
        <w:tc>
          <w:tcPr>
            <w:tcW w:w="1092" w:type="dxa"/>
            <w:tcBorders>
              <w:top w:val="nil"/>
              <w:left w:val="nil"/>
              <w:bottom w:val="single" w:color="auto" w:sz="6" w:space="0"/>
              <w:right w:val="single" w:color="auto" w:sz="6" w:space="0"/>
            </w:tcBorders>
            <w:noWrap w:val="0"/>
            <w:tcMar>
              <w:left w:w="15" w:type="dxa"/>
              <w:right w:w="15" w:type="dxa"/>
            </w:tcMar>
            <w:vAlign w:val="center"/>
          </w:tcPr>
          <w:p>
            <w:pPr>
              <w:widowControl/>
              <w:adjustRightInd w:val="0"/>
              <w:snapToGrid w:val="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407.75</w:t>
            </w:r>
          </w:p>
        </w:tc>
        <w:tc>
          <w:tcPr>
            <w:tcW w:w="1616"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p>
        </w:tc>
        <w:tc>
          <w:tcPr>
            <w:tcW w:w="1238"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582.79</w:t>
            </w:r>
          </w:p>
        </w:tc>
      </w:tr>
      <w:tr>
        <w:tblPrEx>
          <w:tblLayout w:type="fixed"/>
          <w:tblCellMar>
            <w:top w:w="0" w:type="dxa"/>
            <w:left w:w="0" w:type="dxa"/>
            <w:bottom w:w="0" w:type="dxa"/>
            <w:right w:w="0" w:type="dxa"/>
          </w:tblCellMar>
        </w:tblPrEx>
        <w:trPr>
          <w:trHeight w:val="820" w:hRule="atLeast"/>
        </w:trPr>
        <w:tc>
          <w:tcPr>
            <w:tcW w:w="1139" w:type="dxa"/>
            <w:tcBorders>
              <w:top w:val="nil"/>
              <w:left w:val="single" w:color="auto" w:sz="6"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重庆市万州区残疾人联合会（本级）</w:t>
            </w:r>
          </w:p>
        </w:tc>
        <w:tc>
          <w:tcPr>
            <w:tcW w:w="1125"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3817.09</w:t>
            </w:r>
          </w:p>
        </w:tc>
        <w:tc>
          <w:tcPr>
            <w:tcW w:w="917"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8.34</w:t>
            </w:r>
          </w:p>
        </w:tc>
        <w:tc>
          <w:tcPr>
            <w:tcW w:w="1049"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3377.25</w:t>
            </w:r>
          </w:p>
        </w:tc>
        <w:tc>
          <w:tcPr>
            <w:tcW w:w="1092" w:type="dxa"/>
            <w:tcBorders>
              <w:top w:val="nil"/>
              <w:left w:val="nil"/>
              <w:bottom w:val="single" w:color="auto" w:sz="6" w:space="0"/>
              <w:right w:val="single" w:color="auto" w:sz="6" w:space="0"/>
            </w:tcBorders>
            <w:noWrap w:val="0"/>
            <w:tcMar>
              <w:left w:w="15" w:type="dxa"/>
              <w:right w:w="15" w:type="dxa"/>
            </w:tcMar>
            <w:vAlign w:val="center"/>
          </w:tcPr>
          <w:p>
            <w:pPr>
              <w:widowControl/>
              <w:adjustRightInd w:val="0"/>
              <w:snapToGrid w:val="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407.75</w:t>
            </w:r>
          </w:p>
        </w:tc>
        <w:tc>
          <w:tcPr>
            <w:tcW w:w="1616"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p>
        </w:tc>
        <w:tc>
          <w:tcPr>
            <w:tcW w:w="1238"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23.75</w:t>
            </w:r>
          </w:p>
        </w:tc>
      </w:tr>
      <w:tr>
        <w:tblPrEx>
          <w:tblLayout w:type="fixed"/>
          <w:tblCellMar>
            <w:top w:w="0" w:type="dxa"/>
            <w:left w:w="0" w:type="dxa"/>
            <w:bottom w:w="0" w:type="dxa"/>
            <w:right w:w="0" w:type="dxa"/>
          </w:tblCellMar>
        </w:tblPrEx>
        <w:trPr>
          <w:trHeight w:val="846" w:hRule="atLeast"/>
        </w:trPr>
        <w:tc>
          <w:tcPr>
            <w:tcW w:w="1139" w:type="dxa"/>
            <w:tcBorders>
              <w:top w:val="nil"/>
              <w:left w:val="single" w:color="auto" w:sz="6"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重庆市万州区残疾人综合服务中心决算</w:t>
            </w:r>
          </w:p>
        </w:tc>
        <w:tc>
          <w:tcPr>
            <w:tcW w:w="1125"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1078.16</w:t>
            </w:r>
          </w:p>
        </w:tc>
        <w:tc>
          <w:tcPr>
            <w:tcW w:w="917"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29.94</w:t>
            </w:r>
          </w:p>
        </w:tc>
        <w:tc>
          <w:tcPr>
            <w:tcW w:w="1049"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489.18</w:t>
            </w:r>
          </w:p>
        </w:tc>
        <w:tc>
          <w:tcPr>
            <w:tcW w:w="1092" w:type="dxa"/>
            <w:tcBorders>
              <w:top w:val="nil"/>
              <w:left w:val="nil"/>
              <w:bottom w:val="single" w:color="auto" w:sz="6" w:space="0"/>
              <w:right w:val="single" w:color="auto" w:sz="6" w:space="0"/>
            </w:tcBorders>
            <w:noWrap w:val="0"/>
            <w:tcMar>
              <w:left w:w="15" w:type="dxa"/>
              <w:right w:w="15" w:type="dxa"/>
            </w:tcMar>
            <w:vAlign w:val="center"/>
          </w:tcPr>
          <w:p>
            <w:pPr>
              <w:widowControl/>
              <w:adjustRightInd w:val="0"/>
              <w:snapToGrid w:val="0"/>
              <w:jc w:val="left"/>
              <w:rPr>
                <w:rFonts w:hint="eastAsia" w:ascii="方正仿宋_GBK" w:hAnsi="方正仿宋_GBK" w:eastAsia="方正仿宋_GBK" w:cs="方正仿宋_GBK"/>
                <w:sz w:val="28"/>
                <w:szCs w:val="28"/>
              </w:rPr>
            </w:pPr>
          </w:p>
        </w:tc>
        <w:tc>
          <w:tcPr>
            <w:tcW w:w="1616" w:type="dxa"/>
            <w:tcBorders>
              <w:top w:val="nil"/>
              <w:left w:val="nil"/>
              <w:bottom w:val="single" w:color="auto" w:sz="6" w:space="0"/>
              <w:right w:val="single" w:color="auto" w:sz="6" w:space="0"/>
            </w:tcBorders>
            <w:noWrap w:val="0"/>
            <w:tcMar>
              <w:left w:w="15" w:type="dxa"/>
              <w:right w:w="15" w:type="dxa"/>
            </w:tcMar>
            <w:vAlign w:val="center"/>
          </w:tcPr>
          <w:p>
            <w:pPr>
              <w:widowControl/>
              <w:adjustRightInd w:val="0"/>
              <w:snapToGrid w:val="0"/>
              <w:jc w:val="left"/>
              <w:rPr>
                <w:rFonts w:hint="eastAsia" w:ascii="方正仿宋_GBK" w:hAnsi="方正仿宋_GBK" w:eastAsia="方正仿宋_GBK" w:cs="方正仿宋_GBK"/>
                <w:sz w:val="28"/>
                <w:szCs w:val="28"/>
              </w:rPr>
            </w:pPr>
          </w:p>
        </w:tc>
        <w:tc>
          <w:tcPr>
            <w:tcW w:w="1238"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559.04</w:t>
            </w:r>
          </w:p>
        </w:tc>
      </w:tr>
    </w:tbl>
    <w:p>
      <w:pPr>
        <w:jc w:val="center"/>
        <w:rPr>
          <w:rFonts w:ascii="Times New Roman" w:hAnsi="Times New Roman"/>
        </w:rPr>
      </w:pPr>
      <w:r>
        <w:rPr>
          <w:rFonts w:hint="eastAsia" w:ascii="方正仿宋_GBK" w:hAnsi="方正仿宋_GBK" w:eastAsia="方正仿宋_GBK" w:cs="方正仿宋_GBK"/>
          <w:sz w:val="28"/>
          <w:szCs w:val="28"/>
        </w:rPr>
        <w:br w:type="page"/>
      </w:r>
    </w:p>
    <w:tbl>
      <w:tblPr>
        <w:tblStyle w:val="5"/>
        <w:tblW w:w="8173" w:type="dxa"/>
        <w:tblInd w:w="0" w:type="dxa"/>
        <w:tblLayout w:type="fixed"/>
        <w:tblCellMar>
          <w:top w:w="0" w:type="dxa"/>
          <w:left w:w="0" w:type="dxa"/>
          <w:bottom w:w="0" w:type="dxa"/>
          <w:right w:w="0" w:type="dxa"/>
        </w:tblCellMar>
      </w:tblPr>
      <w:tblGrid>
        <w:gridCol w:w="1139"/>
        <w:gridCol w:w="1122"/>
        <w:gridCol w:w="917"/>
        <w:gridCol w:w="1049"/>
        <w:gridCol w:w="1092"/>
        <w:gridCol w:w="945"/>
        <w:gridCol w:w="963"/>
        <w:gridCol w:w="946"/>
      </w:tblGrid>
      <w:tr>
        <w:tblPrEx>
          <w:tblLayout w:type="fixed"/>
          <w:tblCellMar>
            <w:top w:w="0" w:type="dxa"/>
            <w:left w:w="0" w:type="dxa"/>
            <w:bottom w:w="0" w:type="dxa"/>
            <w:right w:w="0" w:type="dxa"/>
          </w:tblCellMar>
        </w:tblPrEx>
        <w:trPr>
          <w:trHeight w:val="630" w:hRule="atLeast"/>
        </w:trPr>
        <w:tc>
          <w:tcPr>
            <w:tcW w:w="8173" w:type="dxa"/>
            <w:gridSpan w:val="8"/>
            <w:tcBorders>
              <w:top w:val="single" w:color="auto" w:sz="4" w:space="0"/>
              <w:left w:val="single" w:color="auto" w:sz="4" w:space="0"/>
              <w:bottom w:val="single" w:color="auto" w:sz="4" w:space="0"/>
              <w:right w:val="single" w:color="auto" w:sz="4" w:space="0"/>
            </w:tcBorders>
            <w:noWrap w:val="0"/>
            <w:tcMar>
              <w:left w:w="15" w:type="dxa"/>
              <w:right w:w="15" w:type="dxa"/>
            </w:tcMar>
            <w:vAlign w:val="center"/>
          </w:tcPr>
          <w:p>
            <w:pPr>
              <w:jc w:val="center"/>
              <w:rPr>
                <w:rFonts w:ascii="Times New Roman" w:hAnsi="Times New Roman"/>
                <w:sz w:val="24"/>
              </w:rPr>
            </w:pPr>
            <w:r>
              <w:rPr>
                <w:rStyle w:val="7"/>
                <w:rFonts w:ascii="Times New Roman" w:hAnsi="Times New Roman" w:eastAsia="仿宋_GB2312"/>
                <w:sz w:val="24"/>
              </w:rPr>
              <w:t>部门（单位）年度支出和结余情况（万元）</w:t>
            </w:r>
          </w:p>
        </w:tc>
      </w:tr>
      <w:tr>
        <w:tblPrEx>
          <w:tblLayout w:type="fixed"/>
          <w:tblCellMar>
            <w:top w:w="0" w:type="dxa"/>
            <w:left w:w="0" w:type="dxa"/>
            <w:bottom w:w="0" w:type="dxa"/>
            <w:right w:w="0" w:type="dxa"/>
          </w:tblCellMar>
        </w:tblPrEx>
        <w:trPr>
          <w:trHeight w:val="446" w:hRule="atLeast"/>
        </w:trPr>
        <w:tc>
          <w:tcPr>
            <w:tcW w:w="1139" w:type="dxa"/>
            <w:vMerge w:val="restart"/>
            <w:tcBorders>
              <w:top w:val="single" w:color="auto" w:sz="4" w:space="0"/>
              <w:left w:val="single" w:color="auto" w:sz="4" w:space="0"/>
              <w:bottom w:val="single" w:color="auto" w:sz="4" w:space="0"/>
              <w:right w:val="single" w:color="auto" w:sz="4"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机构名称</w:t>
            </w:r>
          </w:p>
        </w:tc>
        <w:tc>
          <w:tcPr>
            <w:tcW w:w="1122" w:type="dxa"/>
            <w:vMerge w:val="restart"/>
            <w:tcBorders>
              <w:top w:val="single" w:color="auto" w:sz="4" w:space="0"/>
              <w:left w:val="single" w:color="auto" w:sz="4" w:space="0"/>
              <w:bottom w:val="single" w:color="auto" w:sz="4" w:space="0"/>
              <w:right w:val="single" w:color="auto" w:sz="4"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支出合计</w:t>
            </w:r>
          </w:p>
        </w:tc>
        <w:tc>
          <w:tcPr>
            <w:tcW w:w="4003" w:type="dxa"/>
            <w:gridSpan w:val="4"/>
            <w:tcBorders>
              <w:top w:val="single" w:color="auto" w:sz="4" w:space="0"/>
              <w:left w:val="single" w:color="auto" w:sz="4" w:space="0"/>
              <w:bottom w:val="single" w:color="auto" w:sz="4" w:space="0"/>
              <w:right w:val="single" w:color="auto" w:sz="4"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其中：</w:t>
            </w:r>
          </w:p>
        </w:tc>
        <w:tc>
          <w:tcPr>
            <w:tcW w:w="1909" w:type="dxa"/>
            <w:gridSpan w:val="2"/>
            <w:tcBorders>
              <w:top w:val="single" w:color="auto" w:sz="4" w:space="0"/>
              <w:left w:val="single" w:color="auto" w:sz="4" w:space="0"/>
              <w:bottom w:val="single" w:color="auto" w:sz="4" w:space="0"/>
              <w:right w:val="single" w:color="auto" w:sz="4"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结余</w:t>
            </w:r>
          </w:p>
        </w:tc>
      </w:tr>
      <w:tr>
        <w:tblPrEx>
          <w:tblLayout w:type="fixed"/>
          <w:tblCellMar>
            <w:top w:w="0" w:type="dxa"/>
            <w:left w:w="0" w:type="dxa"/>
            <w:bottom w:w="0" w:type="dxa"/>
            <w:right w:w="0" w:type="dxa"/>
          </w:tblCellMar>
        </w:tblPrEx>
        <w:trPr>
          <w:trHeight w:val="468" w:hRule="atLeast"/>
        </w:trPr>
        <w:tc>
          <w:tcPr>
            <w:tcW w:w="1139" w:type="dxa"/>
            <w:vMerge w:val="continue"/>
            <w:tcBorders>
              <w:top w:val="single" w:color="auto" w:sz="4" w:space="0"/>
              <w:left w:val="single" w:color="auto" w:sz="4" w:space="0"/>
              <w:bottom w:val="nil"/>
              <w:right w:val="single" w:color="auto" w:sz="6" w:space="0"/>
            </w:tcBorders>
            <w:noWrap w:val="0"/>
            <w:tcMar>
              <w:left w:w="15" w:type="dxa"/>
              <w:right w:w="15" w:type="dxa"/>
            </w:tcMar>
            <w:vAlign w:val="center"/>
          </w:tcPr>
          <w:p>
            <w:pPr>
              <w:adjustRightInd w:val="0"/>
              <w:snapToGrid w:val="0"/>
              <w:rPr>
                <w:rFonts w:hint="eastAsia" w:ascii="方正仿宋_GBK" w:hAnsi="方正仿宋_GBK" w:eastAsia="方正仿宋_GBK" w:cs="方正仿宋_GBK"/>
                <w:sz w:val="28"/>
                <w:szCs w:val="28"/>
              </w:rPr>
            </w:pPr>
          </w:p>
        </w:tc>
        <w:tc>
          <w:tcPr>
            <w:tcW w:w="1122" w:type="dxa"/>
            <w:vMerge w:val="continue"/>
            <w:tcBorders>
              <w:top w:val="single" w:color="auto" w:sz="4" w:space="0"/>
              <w:left w:val="single" w:color="auto" w:sz="2" w:space="0"/>
              <w:bottom w:val="nil"/>
              <w:right w:val="single" w:color="auto" w:sz="6" w:space="0"/>
            </w:tcBorders>
            <w:noWrap w:val="0"/>
            <w:tcMar>
              <w:left w:w="15" w:type="dxa"/>
              <w:right w:w="15" w:type="dxa"/>
            </w:tcMar>
            <w:vAlign w:val="center"/>
          </w:tcPr>
          <w:p>
            <w:pPr>
              <w:adjustRightInd w:val="0"/>
              <w:snapToGrid w:val="0"/>
              <w:rPr>
                <w:rFonts w:hint="eastAsia" w:ascii="方正仿宋_GBK" w:hAnsi="方正仿宋_GBK" w:eastAsia="方正仿宋_GBK" w:cs="方正仿宋_GBK"/>
                <w:sz w:val="28"/>
                <w:szCs w:val="28"/>
              </w:rPr>
            </w:pPr>
          </w:p>
        </w:tc>
        <w:tc>
          <w:tcPr>
            <w:tcW w:w="917" w:type="dxa"/>
            <w:vMerge w:val="restart"/>
            <w:tcBorders>
              <w:top w:val="single" w:color="auto" w:sz="4" w:space="0"/>
              <w:left w:val="nil"/>
              <w:bottom w:val="nil"/>
              <w:right w:val="single" w:color="auto" w:sz="4"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基本支出</w:t>
            </w:r>
          </w:p>
        </w:tc>
        <w:tc>
          <w:tcPr>
            <w:tcW w:w="2141" w:type="dxa"/>
            <w:gridSpan w:val="2"/>
            <w:tcBorders>
              <w:top w:val="single" w:color="auto" w:sz="4" w:space="0"/>
              <w:left w:val="single" w:color="auto" w:sz="4" w:space="0"/>
              <w:bottom w:val="single" w:color="auto" w:sz="4" w:space="0"/>
              <w:right w:val="single" w:color="auto" w:sz="4"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其中：</w:t>
            </w:r>
          </w:p>
        </w:tc>
        <w:tc>
          <w:tcPr>
            <w:tcW w:w="945" w:type="dxa"/>
            <w:tcBorders>
              <w:top w:val="single" w:color="auto" w:sz="4" w:space="0"/>
              <w:left w:val="single" w:color="auto" w:sz="4" w:space="0"/>
              <w:bottom w:val="nil"/>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项目支出</w:t>
            </w:r>
          </w:p>
        </w:tc>
        <w:tc>
          <w:tcPr>
            <w:tcW w:w="963" w:type="dxa"/>
            <w:tcBorders>
              <w:top w:val="single" w:color="auto" w:sz="4" w:space="0"/>
              <w:left w:val="single" w:color="auto" w:sz="2"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当年结余</w:t>
            </w:r>
          </w:p>
        </w:tc>
        <w:tc>
          <w:tcPr>
            <w:tcW w:w="946" w:type="dxa"/>
            <w:tcBorders>
              <w:top w:val="single" w:color="auto" w:sz="4" w:space="0"/>
              <w:left w:val="single" w:color="auto" w:sz="2"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累计结余</w:t>
            </w:r>
          </w:p>
        </w:tc>
      </w:tr>
      <w:tr>
        <w:tblPrEx>
          <w:tblLayout w:type="fixed"/>
          <w:tblCellMar>
            <w:top w:w="0" w:type="dxa"/>
            <w:left w:w="0" w:type="dxa"/>
            <w:bottom w:w="0" w:type="dxa"/>
            <w:right w:w="0" w:type="dxa"/>
          </w:tblCellMar>
        </w:tblPrEx>
        <w:trPr>
          <w:trHeight w:val="455" w:hRule="atLeast"/>
        </w:trPr>
        <w:tc>
          <w:tcPr>
            <w:tcW w:w="1139" w:type="dxa"/>
            <w:vMerge w:val="continue"/>
            <w:tcBorders>
              <w:top w:val="nil"/>
              <w:left w:val="single" w:color="auto" w:sz="4" w:space="0"/>
              <w:bottom w:val="single" w:color="auto" w:sz="6" w:space="0"/>
              <w:right w:val="single" w:color="auto" w:sz="6" w:space="0"/>
            </w:tcBorders>
            <w:noWrap w:val="0"/>
            <w:tcMar>
              <w:left w:w="15" w:type="dxa"/>
              <w:right w:w="15" w:type="dxa"/>
            </w:tcMar>
            <w:vAlign w:val="center"/>
          </w:tcPr>
          <w:p>
            <w:pPr>
              <w:adjustRightInd w:val="0"/>
              <w:snapToGrid w:val="0"/>
              <w:rPr>
                <w:rFonts w:hint="eastAsia" w:ascii="方正仿宋_GBK" w:hAnsi="方正仿宋_GBK" w:eastAsia="方正仿宋_GBK" w:cs="方正仿宋_GBK"/>
                <w:sz w:val="28"/>
                <w:szCs w:val="28"/>
              </w:rPr>
            </w:pPr>
          </w:p>
        </w:tc>
        <w:tc>
          <w:tcPr>
            <w:tcW w:w="1122" w:type="dxa"/>
            <w:vMerge w:val="continue"/>
            <w:tcBorders>
              <w:top w:val="nil"/>
              <w:left w:val="single" w:color="auto" w:sz="2" w:space="0"/>
              <w:bottom w:val="single" w:color="auto" w:sz="6" w:space="0"/>
              <w:right w:val="single" w:color="auto" w:sz="6" w:space="0"/>
            </w:tcBorders>
            <w:noWrap w:val="0"/>
            <w:tcMar>
              <w:left w:w="15" w:type="dxa"/>
              <w:right w:w="15" w:type="dxa"/>
            </w:tcMar>
            <w:vAlign w:val="center"/>
          </w:tcPr>
          <w:p>
            <w:pPr>
              <w:adjustRightInd w:val="0"/>
              <w:snapToGrid w:val="0"/>
              <w:rPr>
                <w:rFonts w:hint="eastAsia" w:ascii="方正仿宋_GBK" w:hAnsi="方正仿宋_GBK" w:eastAsia="方正仿宋_GBK" w:cs="方正仿宋_GBK"/>
                <w:sz w:val="28"/>
                <w:szCs w:val="28"/>
              </w:rPr>
            </w:pPr>
          </w:p>
        </w:tc>
        <w:tc>
          <w:tcPr>
            <w:tcW w:w="917" w:type="dxa"/>
            <w:vMerge w:val="continue"/>
            <w:tcBorders>
              <w:top w:val="nil"/>
              <w:left w:val="nil"/>
              <w:bottom w:val="single" w:color="auto" w:sz="6" w:space="0"/>
              <w:right w:val="single" w:color="auto" w:sz="4" w:space="0"/>
            </w:tcBorders>
            <w:noWrap w:val="0"/>
            <w:tcMar>
              <w:left w:w="15" w:type="dxa"/>
              <w:right w:w="15" w:type="dxa"/>
            </w:tcMar>
            <w:vAlign w:val="center"/>
          </w:tcPr>
          <w:p>
            <w:pPr>
              <w:adjustRightInd w:val="0"/>
              <w:snapToGrid w:val="0"/>
              <w:rPr>
                <w:rFonts w:hint="eastAsia" w:ascii="方正仿宋_GBK" w:hAnsi="方正仿宋_GBK" w:eastAsia="方正仿宋_GBK" w:cs="方正仿宋_GBK"/>
                <w:sz w:val="28"/>
                <w:szCs w:val="28"/>
              </w:rPr>
            </w:pPr>
          </w:p>
        </w:tc>
        <w:tc>
          <w:tcPr>
            <w:tcW w:w="1049" w:type="dxa"/>
            <w:tcBorders>
              <w:top w:val="single" w:color="auto" w:sz="4" w:space="0"/>
              <w:left w:val="single" w:color="auto" w:sz="4" w:space="0"/>
              <w:bottom w:val="single" w:color="auto" w:sz="4" w:space="0"/>
              <w:right w:val="single" w:color="auto" w:sz="4"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人员支出</w:t>
            </w:r>
          </w:p>
        </w:tc>
        <w:tc>
          <w:tcPr>
            <w:tcW w:w="1092" w:type="dxa"/>
            <w:tcBorders>
              <w:top w:val="single" w:color="auto" w:sz="4" w:space="0"/>
              <w:left w:val="single" w:color="auto" w:sz="4" w:space="0"/>
              <w:bottom w:val="single" w:color="auto" w:sz="4" w:space="0"/>
              <w:right w:val="single" w:color="auto" w:sz="4"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公用支出</w:t>
            </w:r>
          </w:p>
        </w:tc>
        <w:tc>
          <w:tcPr>
            <w:tcW w:w="945" w:type="dxa"/>
            <w:tcBorders>
              <w:top w:val="nil"/>
              <w:left w:val="single" w:color="auto" w:sz="4" w:space="0"/>
              <w:bottom w:val="single" w:color="auto" w:sz="6" w:space="0"/>
              <w:right w:val="single" w:color="auto" w:sz="6" w:space="0"/>
            </w:tcBorders>
            <w:noWrap w:val="0"/>
            <w:tcMar>
              <w:left w:w="15" w:type="dxa"/>
              <w:right w:w="15" w:type="dxa"/>
            </w:tcMar>
            <w:vAlign w:val="center"/>
          </w:tcPr>
          <w:p>
            <w:pPr>
              <w:adjustRightInd w:val="0"/>
              <w:snapToGrid w:val="0"/>
              <w:rPr>
                <w:rFonts w:hint="eastAsia" w:ascii="方正仿宋_GBK" w:hAnsi="方正仿宋_GBK" w:eastAsia="方正仿宋_GBK" w:cs="方正仿宋_GBK"/>
                <w:sz w:val="28"/>
                <w:szCs w:val="28"/>
              </w:rPr>
            </w:pPr>
          </w:p>
        </w:tc>
        <w:tc>
          <w:tcPr>
            <w:tcW w:w="963" w:type="dxa"/>
            <w:tcBorders>
              <w:top w:val="single" w:color="auto" w:sz="6" w:space="0"/>
              <w:left w:val="single" w:color="auto" w:sz="2" w:space="0"/>
              <w:bottom w:val="single" w:color="auto" w:sz="6" w:space="0"/>
              <w:right w:val="single" w:color="auto" w:sz="6" w:space="0"/>
            </w:tcBorders>
            <w:noWrap w:val="0"/>
            <w:tcMar>
              <w:left w:w="15" w:type="dxa"/>
              <w:right w:w="15" w:type="dxa"/>
            </w:tcMar>
            <w:vAlign w:val="center"/>
          </w:tcPr>
          <w:p>
            <w:pPr>
              <w:adjustRightInd w:val="0"/>
              <w:snapToGrid w:val="0"/>
              <w:rPr>
                <w:rFonts w:hint="eastAsia" w:ascii="方正仿宋_GBK" w:hAnsi="方正仿宋_GBK" w:eastAsia="方正仿宋_GBK" w:cs="方正仿宋_GBK"/>
                <w:sz w:val="28"/>
                <w:szCs w:val="28"/>
              </w:rPr>
            </w:pPr>
          </w:p>
        </w:tc>
        <w:tc>
          <w:tcPr>
            <w:tcW w:w="946" w:type="dxa"/>
            <w:tcBorders>
              <w:top w:val="single" w:color="auto" w:sz="6" w:space="0"/>
              <w:left w:val="single" w:color="auto" w:sz="2" w:space="0"/>
              <w:bottom w:val="single" w:color="auto" w:sz="6" w:space="0"/>
              <w:right w:val="single" w:color="auto" w:sz="6" w:space="0"/>
            </w:tcBorders>
            <w:noWrap w:val="0"/>
            <w:tcMar>
              <w:left w:w="15" w:type="dxa"/>
              <w:right w:w="15" w:type="dxa"/>
            </w:tcMar>
            <w:vAlign w:val="center"/>
          </w:tcPr>
          <w:p>
            <w:pPr>
              <w:adjustRightInd w:val="0"/>
              <w:snapToGrid w:val="0"/>
              <w:rPr>
                <w:rFonts w:hint="eastAsia" w:ascii="方正仿宋_GBK" w:hAnsi="方正仿宋_GBK" w:eastAsia="方正仿宋_GBK" w:cs="方正仿宋_GBK"/>
                <w:sz w:val="28"/>
                <w:szCs w:val="28"/>
              </w:rPr>
            </w:pPr>
          </w:p>
        </w:tc>
      </w:tr>
      <w:tr>
        <w:tblPrEx>
          <w:tblLayout w:type="fixed"/>
          <w:tblCellMar>
            <w:top w:w="0" w:type="dxa"/>
            <w:left w:w="0" w:type="dxa"/>
            <w:bottom w:w="0" w:type="dxa"/>
            <w:right w:w="0" w:type="dxa"/>
          </w:tblCellMar>
        </w:tblPrEx>
        <w:trPr>
          <w:trHeight w:val="870" w:hRule="atLeast"/>
        </w:trPr>
        <w:tc>
          <w:tcPr>
            <w:tcW w:w="1139" w:type="dxa"/>
            <w:tcBorders>
              <w:top w:val="nil"/>
              <w:left w:val="single" w:color="auto" w:sz="6"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重庆市万州区残疾人联合会</w:t>
            </w:r>
          </w:p>
        </w:tc>
        <w:tc>
          <w:tcPr>
            <w:tcW w:w="1122" w:type="dxa"/>
            <w:tcBorders>
              <w:top w:val="nil"/>
              <w:left w:val="nil"/>
              <w:bottom w:val="single" w:color="auto" w:sz="6" w:space="0"/>
              <w:right w:val="single" w:color="auto" w:sz="6" w:space="0"/>
            </w:tcBorders>
            <w:noWrap w:val="0"/>
            <w:tcMar>
              <w:left w:w="15" w:type="dxa"/>
              <w:right w:w="15" w:type="dxa"/>
            </w:tcMar>
            <w:vAlign w:val="center"/>
          </w:tcPr>
          <w:p>
            <w:pPr>
              <w:widowControl/>
              <w:jc w:val="right"/>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4855.49</w:t>
            </w:r>
          </w:p>
        </w:tc>
        <w:tc>
          <w:tcPr>
            <w:tcW w:w="917" w:type="dxa"/>
            <w:tcBorders>
              <w:top w:val="nil"/>
              <w:left w:val="nil"/>
              <w:bottom w:val="single" w:color="auto" w:sz="6" w:space="0"/>
              <w:right w:val="single" w:color="auto" w:sz="6" w:space="0"/>
            </w:tcBorders>
            <w:noWrap w:val="0"/>
            <w:tcMar>
              <w:left w:w="15" w:type="dxa"/>
              <w:right w:w="15" w:type="dxa"/>
            </w:tcMar>
            <w:vAlign w:val="center"/>
          </w:tcPr>
          <w:p>
            <w:pPr>
              <w:widowControl/>
              <w:jc w:val="right"/>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604.76</w:t>
            </w:r>
          </w:p>
        </w:tc>
        <w:tc>
          <w:tcPr>
            <w:tcW w:w="1049" w:type="dxa"/>
            <w:tcBorders>
              <w:top w:val="single" w:color="auto" w:sz="4" w:space="0"/>
              <w:left w:val="nil"/>
              <w:bottom w:val="single" w:color="auto" w:sz="6" w:space="0"/>
              <w:right w:val="single" w:color="auto" w:sz="6" w:space="0"/>
            </w:tcBorders>
            <w:noWrap w:val="0"/>
            <w:tcMar>
              <w:left w:w="15" w:type="dxa"/>
              <w:right w:w="15" w:type="dxa"/>
            </w:tcMar>
            <w:vAlign w:val="center"/>
          </w:tcPr>
          <w:p>
            <w:pPr>
              <w:widowControl/>
              <w:jc w:val="right"/>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394.82</w:t>
            </w:r>
          </w:p>
        </w:tc>
        <w:tc>
          <w:tcPr>
            <w:tcW w:w="1092" w:type="dxa"/>
            <w:tcBorders>
              <w:top w:val="single" w:color="auto" w:sz="4" w:space="0"/>
              <w:left w:val="nil"/>
              <w:bottom w:val="single" w:color="auto" w:sz="6" w:space="0"/>
              <w:right w:val="single" w:color="auto" w:sz="6" w:space="0"/>
            </w:tcBorders>
            <w:noWrap w:val="0"/>
            <w:tcMar>
              <w:left w:w="15" w:type="dxa"/>
              <w:right w:w="15" w:type="dxa"/>
            </w:tcMar>
            <w:vAlign w:val="center"/>
          </w:tcPr>
          <w:p>
            <w:pPr>
              <w:widowControl/>
              <w:jc w:val="right"/>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209.94</w:t>
            </w:r>
          </w:p>
        </w:tc>
        <w:tc>
          <w:tcPr>
            <w:tcW w:w="945" w:type="dxa"/>
            <w:tcBorders>
              <w:top w:val="nil"/>
              <w:left w:val="nil"/>
              <w:bottom w:val="single" w:color="auto" w:sz="6" w:space="0"/>
              <w:right w:val="single" w:color="auto" w:sz="6" w:space="0"/>
            </w:tcBorders>
            <w:noWrap w:val="0"/>
            <w:tcMar>
              <w:left w:w="15" w:type="dxa"/>
              <w:right w:w="15" w:type="dxa"/>
            </w:tcMar>
            <w:vAlign w:val="center"/>
          </w:tcPr>
          <w:p>
            <w:pPr>
              <w:widowControl/>
              <w:jc w:val="right"/>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4250.73</w:t>
            </w:r>
          </w:p>
        </w:tc>
        <w:tc>
          <w:tcPr>
            <w:tcW w:w="963" w:type="dxa"/>
            <w:tcBorders>
              <w:top w:val="nil"/>
              <w:left w:val="nil"/>
              <w:bottom w:val="single" w:color="auto" w:sz="6" w:space="0"/>
              <w:right w:val="single" w:color="auto" w:sz="6" w:space="0"/>
            </w:tcBorders>
            <w:noWrap w:val="0"/>
            <w:tcMar>
              <w:left w:w="15" w:type="dxa"/>
              <w:right w:w="15" w:type="dxa"/>
            </w:tcMar>
            <w:vAlign w:val="center"/>
          </w:tcPr>
          <w:p>
            <w:pPr>
              <w:widowControl/>
              <w:jc w:val="right"/>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39.75</w:t>
            </w:r>
          </w:p>
        </w:tc>
        <w:tc>
          <w:tcPr>
            <w:tcW w:w="946" w:type="dxa"/>
            <w:tcBorders>
              <w:top w:val="nil"/>
              <w:left w:val="nil"/>
              <w:bottom w:val="single" w:color="auto" w:sz="6" w:space="0"/>
              <w:right w:val="single" w:color="auto" w:sz="6" w:space="0"/>
            </w:tcBorders>
            <w:noWrap w:val="0"/>
            <w:tcMar>
              <w:left w:w="15" w:type="dxa"/>
              <w:right w:w="15" w:type="dxa"/>
            </w:tcMar>
            <w:vAlign w:val="center"/>
          </w:tcPr>
          <w:p>
            <w:pPr>
              <w:widowControl/>
              <w:jc w:val="right"/>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39.75</w:t>
            </w:r>
          </w:p>
        </w:tc>
      </w:tr>
      <w:tr>
        <w:tblPrEx>
          <w:tblLayout w:type="fixed"/>
          <w:tblCellMar>
            <w:top w:w="0" w:type="dxa"/>
            <w:left w:w="0" w:type="dxa"/>
            <w:bottom w:w="0" w:type="dxa"/>
            <w:right w:w="0" w:type="dxa"/>
          </w:tblCellMar>
        </w:tblPrEx>
        <w:trPr>
          <w:trHeight w:val="630" w:hRule="atLeast"/>
        </w:trPr>
        <w:tc>
          <w:tcPr>
            <w:tcW w:w="1139" w:type="dxa"/>
            <w:tcBorders>
              <w:top w:val="nil"/>
              <w:left w:val="single" w:color="auto" w:sz="6"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重庆市万州区残疾人联合会（本级）</w:t>
            </w:r>
          </w:p>
        </w:tc>
        <w:tc>
          <w:tcPr>
            <w:tcW w:w="1122"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3808.17</w:t>
            </w:r>
          </w:p>
        </w:tc>
        <w:tc>
          <w:tcPr>
            <w:tcW w:w="917"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391.62</w:t>
            </w:r>
          </w:p>
        </w:tc>
        <w:tc>
          <w:tcPr>
            <w:tcW w:w="1049"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219.99</w:t>
            </w:r>
          </w:p>
        </w:tc>
        <w:tc>
          <w:tcPr>
            <w:tcW w:w="1092"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171.63</w:t>
            </w:r>
          </w:p>
        </w:tc>
        <w:tc>
          <w:tcPr>
            <w:tcW w:w="945"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3416.55</w:t>
            </w:r>
          </w:p>
        </w:tc>
        <w:tc>
          <w:tcPr>
            <w:tcW w:w="963"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8.92</w:t>
            </w:r>
          </w:p>
        </w:tc>
        <w:tc>
          <w:tcPr>
            <w:tcW w:w="946"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8.92</w:t>
            </w:r>
          </w:p>
        </w:tc>
      </w:tr>
      <w:tr>
        <w:tblPrEx>
          <w:tblLayout w:type="fixed"/>
          <w:tblCellMar>
            <w:top w:w="0" w:type="dxa"/>
            <w:left w:w="0" w:type="dxa"/>
            <w:bottom w:w="0" w:type="dxa"/>
            <w:right w:w="0" w:type="dxa"/>
          </w:tblCellMar>
        </w:tblPrEx>
        <w:trPr>
          <w:trHeight w:val="630" w:hRule="atLeast"/>
        </w:trPr>
        <w:tc>
          <w:tcPr>
            <w:tcW w:w="1139" w:type="dxa"/>
            <w:tcBorders>
              <w:top w:val="nil"/>
              <w:left w:val="single" w:color="auto" w:sz="6"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重庆市万州区残疾人综合服务中心决算</w:t>
            </w:r>
          </w:p>
        </w:tc>
        <w:tc>
          <w:tcPr>
            <w:tcW w:w="1122"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1047.32</w:t>
            </w:r>
          </w:p>
        </w:tc>
        <w:tc>
          <w:tcPr>
            <w:tcW w:w="917"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213.14</w:t>
            </w:r>
          </w:p>
        </w:tc>
        <w:tc>
          <w:tcPr>
            <w:tcW w:w="1049"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174.83</w:t>
            </w:r>
          </w:p>
        </w:tc>
        <w:tc>
          <w:tcPr>
            <w:tcW w:w="1092"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38.31</w:t>
            </w:r>
          </w:p>
        </w:tc>
        <w:tc>
          <w:tcPr>
            <w:tcW w:w="945"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834.18</w:t>
            </w:r>
          </w:p>
        </w:tc>
        <w:tc>
          <w:tcPr>
            <w:tcW w:w="963"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30.83</w:t>
            </w:r>
          </w:p>
        </w:tc>
        <w:tc>
          <w:tcPr>
            <w:tcW w:w="946"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30.83</w:t>
            </w:r>
          </w:p>
        </w:tc>
      </w:tr>
      <w:tr>
        <w:tblPrEx>
          <w:tblLayout w:type="fixed"/>
          <w:tblCellMar>
            <w:top w:w="0" w:type="dxa"/>
            <w:left w:w="0" w:type="dxa"/>
            <w:bottom w:w="0" w:type="dxa"/>
            <w:right w:w="0" w:type="dxa"/>
          </w:tblCellMar>
        </w:tblPrEx>
        <w:trPr>
          <w:trHeight w:val="426" w:hRule="atLeast"/>
        </w:trPr>
        <w:tc>
          <w:tcPr>
            <w:tcW w:w="1139" w:type="dxa"/>
            <w:vMerge w:val="restart"/>
            <w:tcBorders>
              <w:top w:val="nil"/>
              <w:left w:val="single" w:color="auto" w:sz="6"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机构名称</w:t>
            </w:r>
          </w:p>
        </w:tc>
        <w:tc>
          <w:tcPr>
            <w:tcW w:w="1122" w:type="dxa"/>
            <w:vMerge w:val="restart"/>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三公经费</w:t>
            </w:r>
          </w:p>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合计</w:t>
            </w:r>
          </w:p>
        </w:tc>
        <w:tc>
          <w:tcPr>
            <w:tcW w:w="5912" w:type="dxa"/>
            <w:gridSpan w:val="6"/>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其中：</w:t>
            </w:r>
          </w:p>
        </w:tc>
      </w:tr>
      <w:tr>
        <w:tblPrEx>
          <w:tblLayout w:type="fixed"/>
          <w:tblCellMar>
            <w:top w:w="0" w:type="dxa"/>
            <w:left w:w="0" w:type="dxa"/>
            <w:bottom w:w="0" w:type="dxa"/>
            <w:right w:w="0" w:type="dxa"/>
          </w:tblCellMar>
        </w:tblPrEx>
        <w:trPr>
          <w:trHeight w:val="630" w:hRule="atLeast"/>
        </w:trPr>
        <w:tc>
          <w:tcPr>
            <w:tcW w:w="1139" w:type="dxa"/>
            <w:vMerge w:val="continue"/>
            <w:tcBorders>
              <w:top w:val="nil"/>
              <w:left w:val="single" w:color="auto" w:sz="6" w:space="0"/>
              <w:bottom w:val="single" w:color="auto" w:sz="6" w:space="0"/>
              <w:right w:val="single" w:color="auto" w:sz="6" w:space="0"/>
            </w:tcBorders>
            <w:noWrap w:val="0"/>
            <w:tcMar>
              <w:left w:w="15" w:type="dxa"/>
              <w:right w:w="15" w:type="dxa"/>
            </w:tcMar>
            <w:vAlign w:val="center"/>
          </w:tcPr>
          <w:p>
            <w:pPr>
              <w:adjustRightInd w:val="0"/>
              <w:snapToGrid w:val="0"/>
              <w:rPr>
                <w:rFonts w:hint="eastAsia" w:ascii="方正仿宋_GBK" w:hAnsi="方正仿宋_GBK" w:eastAsia="方正仿宋_GBK" w:cs="方正仿宋_GBK"/>
                <w:sz w:val="28"/>
                <w:szCs w:val="28"/>
              </w:rPr>
            </w:pPr>
          </w:p>
        </w:tc>
        <w:tc>
          <w:tcPr>
            <w:tcW w:w="1122" w:type="dxa"/>
            <w:vMerge w:val="continue"/>
            <w:tcBorders>
              <w:top w:val="nil"/>
              <w:left w:val="nil"/>
              <w:bottom w:val="single" w:color="auto" w:sz="6" w:space="0"/>
              <w:right w:val="single" w:color="auto" w:sz="6" w:space="0"/>
            </w:tcBorders>
            <w:noWrap w:val="0"/>
            <w:tcMar>
              <w:left w:w="15" w:type="dxa"/>
              <w:right w:w="15" w:type="dxa"/>
            </w:tcMar>
            <w:vAlign w:val="center"/>
          </w:tcPr>
          <w:p>
            <w:pPr>
              <w:adjustRightInd w:val="0"/>
              <w:snapToGrid w:val="0"/>
              <w:rPr>
                <w:rFonts w:hint="eastAsia" w:ascii="方正仿宋_GBK" w:hAnsi="方正仿宋_GBK" w:eastAsia="方正仿宋_GBK" w:cs="方正仿宋_GBK"/>
                <w:sz w:val="28"/>
                <w:szCs w:val="28"/>
              </w:rPr>
            </w:pPr>
          </w:p>
        </w:tc>
        <w:tc>
          <w:tcPr>
            <w:tcW w:w="917"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公务接待费</w:t>
            </w:r>
          </w:p>
        </w:tc>
        <w:tc>
          <w:tcPr>
            <w:tcW w:w="1049" w:type="dxa"/>
            <w:tcBorders>
              <w:top w:val="single" w:color="auto" w:sz="6" w:space="0"/>
              <w:left w:val="single" w:color="auto" w:sz="2"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公务用车运维费</w:t>
            </w:r>
          </w:p>
        </w:tc>
        <w:tc>
          <w:tcPr>
            <w:tcW w:w="2037" w:type="dxa"/>
            <w:gridSpan w:val="2"/>
            <w:tcBorders>
              <w:top w:val="single" w:color="auto" w:sz="6" w:space="0"/>
              <w:left w:val="single" w:color="auto" w:sz="2"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公务用车购置费</w:t>
            </w:r>
          </w:p>
        </w:tc>
        <w:tc>
          <w:tcPr>
            <w:tcW w:w="1909" w:type="dxa"/>
            <w:gridSpan w:val="2"/>
            <w:tcBorders>
              <w:top w:val="single" w:color="auto" w:sz="6" w:space="0"/>
              <w:left w:val="single" w:color="auto" w:sz="2"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因公出国出境费</w:t>
            </w:r>
          </w:p>
        </w:tc>
      </w:tr>
      <w:tr>
        <w:tblPrEx>
          <w:tblLayout w:type="fixed"/>
          <w:tblCellMar>
            <w:top w:w="0" w:type="dxa"/>
            <w:left w:w="0" w:type="dxa"/>
            <w:bottom w:w="0" w:type="dxa"/>
            <w:right w:w="0" w:type="dxa"/>
          </w:tblCellMar>
        </w:tblPrEx>
        <w:trPr>
          <w:trHeight w:val="945" w:hRule="atLeast"/>
        </w:trPr>
        <w:tc>
          <w:tcPr>
            <w:tcW w:w="1139" w:type="dxa"/>
            <w:tcBorders>
              <w:top w:val="nil"/>
              <w:left w:val="single" w:color="auto" w:sz="6"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重庆市万州区残疾人联合会</w:t>
            </w:r>
          </w:p>
        </w:tc>
        <w:tc>
          <w:tcPr>
            <w:tcW w:w="1122" w:type="dxa"/>
            <w:tcBorders>
              <w:top w:val="nil"/>
              <w:left w:val="nil"/>
              <w:bottom w:val="single" w:color="auto" w:sz="6" w:space="0"/>
              <w:right w:val="single" w:color="auto" w:sz="6" w:space="0"/>
            </w:tcBorders>
            <w:noWrap w:val="0"/>
            <w:tcMar>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27.86</w:t>
            </w:r>
          </w:p>
        </w:tc>
        <w:tc>
          <w:tcPr>
            <w:tcW w:w="917" w:type="dxa"/>
            <w:tcBorders>
              <w:top w:val="nil"/>
              <w:left w:val="nil"/>
              <w:bottom w:val="single" w:color="auto" w:sz="6" w:space="0"/>
              <w:right w:val="single" w:color="auto" w:sz="6" w:space="0"/>
            </w:tcBorders>
            <w:noWrap w:val="0"/>
            <w:tcMar>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2.04</w:t>
            </w:r>
          </w:p>
        </w:tc>
        <w:tc>
          <w:tcPr>
            <w:tcW w:w="1049" w:type="dxa"/>
            <w:tcBorders>
              <w:top w:val="nil"/>
              <w:left w:val="nil"/>
              <w:bottom w:val="single" w:color="auto" w:sz="6" w:space="0"/>
              <w:right w:val="single" w:color="auto" w:sz="6" w:space="0"/>
            </w:tcBorders>
            <w:noWrap w:val="0"/>
            <w:tcMar>
              <w:left w:w="15" w:type="dxa"/>
              <w:right w:w="15" w:type="dxa"/>
            </w:tcMar>
            <w:vAlign w:val="center"/>
          </w:tcPr>
          <w:p>
            <w:pPr>
              <w:widowControl/>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7.83</w:t>
            </w:r>
          </w:p>
        </w:tc>
        <w:tc>
          <w:tcPr>
            <w:tcW w:w="2037" w:type="dxa"/>
            <w:gridSpan w:val="2"/>
            <w:tcBorders>
              <w:top w:val="nil"/>
              <w:left w:val="nil"/>
              <w:bottom w:val="single" w:color="auto" w:sz="6" w:space="0"/>
              <w:right w:val="single" w:color="auto" w:sz="6" w:space="0"/>
            </w:tcBorders>
            <w:noWrap w:val="0"/>
            <w:tcMar>
              <w:left w:w="15" w:type="dxa"/>
              <w:right w:w="15" w:type="dxa"/>
            </w:tcMar>
            <w:vAlign w:val="center"/>
          </w:tcPr>
          <w:p>
            <w:pPr>
              <w:widowControl/>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17.98</w:t>
            </w:r>
          </w:p>
        </w:tc>
        <w:tc>
          <w:tcPr>
            <w:tcW w:w="1909" w:type="dxa"/>
            <w:gridSpan w:val="2"/>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p>
        </w:tc>
      </w:tr>
      <w:tr>
        <w:tblPrEx>
          <w:tblLayout w:type="fixed"/>
          <w:tblCellMar>
            <w:top w:w="0" w:type="dxa"/>
            <w:left w:w="0" w:type="dxa"/>
            <w:bottom w:w="0" w:type="dxa"/>
            <w:right w:w="0" w:type="dxa"/>
          </w:tblCellMar>
        </w:tblPrEx>
        <w:trPr>
          <w:trHeight w:val="840" w:hRule="atLeast"/>
        </w:trPr>
        <w:tc>
          <w:tcPr>
            <w:tcW w:w="1139" w:type="dxa"/>
            <w:tcBorders>
              <w:top w:val="nil"/>
              <w:left w:val="single" w:color="auto" w:sz="6"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重庆市万州区残疾人联合会（本级）</w:t>
            </w:r>
          </w:p>
        </w:tc>
        <w:tc>
          <w:tcPr>
            <w:tcW w:w="1122" w:type="dxa"/>
            <w:tcBorders>
              <w:top w:val="nil"/>
              <w:left w:val="nil"/>
              <w:bottom w:val="single" w:color="auto" w:sz="6" w:space="0"/>
              <w:right w:val="single" w:color="auto" w:sz="6" w:space="0"/>
            </w:tcBorders>
            <w:noWrap w:val="0"/>
            <w:tcMar>
              <w:left w:w="15" w:type="dxa"/>
              <w:right w:w="15" w:type="dxa"/>
            </w:tcMar>
            <w:vAlign w:val="center"/>
          </w:tcPr>
          <w:p>
            <w:pPr>
              <w:widowControl/>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27.15</w:t>
            </w:r>
          </w:p>
        </w:tc>
        <w:tc>
          <w:tcPr>
            <w:tcW w:w="917" w:type="dxa"/>
            <w:tcBorders>
              <w:top w:val="nil"/>
              <w:left w:val="nil"/>
              <w:bottom w:val="single" w:color="auto" w:sz="6" w:space="0"/>
              <w:right w:val="single" w:color="auto" w:sz="6" w:space="0"/>
            </w:tcBorders>
            <w:noWrap w:val="0"/>
            <w:tcMar>
              <w:left w:w="15" w:type="dxa"/>
              <w:right w:w="15" w:type="dxa"/>
            </w:tcMar>
            <w:vAlign w:val="center"/>
          </w:tcPr>
          <w:p>
            <w:pPr>
              <w:widowControl/>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1.91</w:t>
            </w:r>
          </w:p>
        </w:tc>
        <w:tc>
          <w:tcPr>
            <w:tcW w:w="1049" w:type="dxa"/>
            <w:tcBorders>
              <w:top w:val="nil"/>
              <w:left w:val="nil"/>
              <w:bottom w:val="single" w:color="auto" w:sz="6" w:space="0"/>
              <w:right w:val="single" w:color="auto" w:sz="6" w:space="0"/>
            </w:tcBorders>
            <w:noWrap w:val="0"/>
            <w:tcMar>
              <w:left w:w="15" w:type="dxa"/>
              <w:right w:w="15" w:type="dxa"/>
            </w:tcMar>
            <w:vAlign w:val="center"/>
          </w:tcPr>
          <w:p>
            <w:pPr>
              <w:widowControl/>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7.26</w:t>
            </w:r>
          </w:p>
        </w:tc>
        <w:tc>
          <w:tcPr>
            <w:tcW w:w="2037" w:type="dxa"/>
            <w:gridSpan w:val="2"/>
            <w:tcBorders>
              <w:top w:val="nil"/>
              <w:left w:val="nil"/>
              <w:bottom w:val="single" w:color="auto" w:sz="6" w:space="0"/>
              <w:right w:val="single" w:color="auto" w:sz="6" w:space="0"/>
            </w:tcBorders>
            <w:noWrap w:val="0"/>
            <w:tcMar>
              <w:left w:w="15" w:type="dxa"/>
              <w:right w:w="15" w:type="dxa"/>
            </w:tcMar>
            <w:vAlign w:val="center"/>
          </w:tcPr>
          <w:p>
            <w:pPr>
              <w:widowControl/>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17.98</w:t>
            </w:r>
          </w:p>
        </w:tc>
        <w:tc>
          <w:tcPr>
            <w:tcW w:w="1909" w:type="dxa"/>
            <w:gridSpan w:val="2"/>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p>
        </w:tc>
      </w:tr>
      <w:tr>
        <w:tblPrEx>
          <w:tblLayout w:type="fixed"/>
          <w:tblCellMar>
            <w:top w:w="0" w:type="dxa"/>
            <w:left w:w="0" w:type="dxa"/>
            <w:bottom w:w="0" w:type="dxa"/>
            <w:right w:w="0" w:type="dxa"/>
          </w:tblCellMar>
        </w:tblPrEx>
        <w:trPr>
          <w:trHeight w:val="564" w:hRule="atLeast"/>
        </w:trPr>
        <w:tc>
          <w:tcPr>
            <w:tcW w:w="1139" w:type="dxa"/>
            <w:tcBorders>
              <w:top w:val="nil"/>
              <w:left w:val="single" w:color="auto" w:sz="6"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重庆市万州区残疾人综合服务中心决算</w:t>
            </w:r>
          </w:p>
        </w:tc>
        <w:tc>
          <w:tcPr>
            <w:tcW w:w="1122" w:type="dxa"/>
            <w:tcBorders>
              <w:top w:val="nil"/>
              <w:left w:val="nil"/>
              <w:bottom w:val="single" w:color="auto" w:sz="6" w:space="0"/>
              <w:right w:val="single" w:color="auto" w:sz="6" w:space="0"/>
            </w:tcBorders>
            <w:noWrap w:val="0"/>
            <w:tcMar>
              <w:left w:w="15" w:type="dxa"/>
              <w:right w:w="15" w:type="dxa"/>
            </w:tcMar>
            <w:vAlign w:val="center"/>
          </w:tcPr>
          <w:p>
            <w:pPr>
              <w:widowControl/>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0.71</w:t>
            </w:r>
          </w:p>
        </w:tc>
        <w:tc>
          <w:tcPr>
            <w:tcW w:w="917" w:type="dxa"/>
            <w:tcBorders>
              <w:top w:val="nil"/>
              <w:left w:val="nil"/>
              <w:bottom w:val="single" w:color="auto" w:sz="6" w:space="0"/>
              <w:right w:val="single" w:color="auto" w:sz="6" w:space="0"/>
            </w:tcBorders>
            <w:noWrap w:val="0"/>
            <w:tcMar>
              <w:left w:w="15" w:type="dxa"/>
              <w:right w:w="15" w:type="dxa"/>
            </w:tcMar>
            <w:vAlign w:val="center"/>
          </w:tcPr>
          <w:p>
            <w:pPr>
              <w:widowControl/>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0.13</w:t>
            </w:r>
          </w:p>
        </w:tc>
        <w:tc>
          <w:tcPr>
            <w:tcW w:w="1049" w:type="dxa"/>
            <w:tcBorders>
              <w:top w:val="nil"/>
              <w:left w:val="nil"/>
              <w:bottom w:val="single" w:color="auto" w:sz="6" w:space="0"/>
              <w:right w:val="single" w:color="auto" w:sz="6" w:space="0"/>
            </w:tcBorders>
            <w:noWrap w:val="0"/>
            <w:tcMar>
              <w:left w:w="15" w:type="dxa"/>
              <w:right w:w="15" w:type="dxa"/>
            </w:tcMar>
            <w:vAlign w:val="center"/>
          </w:tcPr>
          <w:p>
            <w:pPr>
              <w:widowControl/>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0.57</w:t>
            </w:r>
          </w:p>
        </w:tc>
        <w:tc>
          <w:tcPr>
            <w:tcW w:w="2037" w:type="dxa"/>
            <w:gridSpan w:val="2"/>
            <w:tcBorders>
              <w:top w:val="nil"/>
              <w:left w:val="nil"/>
              <w:bottom w:val="single" w:color="auto" w:sz="6" w:space="0"/>
              <w:right w:val="single" w:color="auto" w:sz="6" w:space="0"/>
            </w:tcBorders>
            <w:noWrap w:val="0"/>
            <w:tcMar>
              <w:left w:w="15" w:type="dxa"/>
              <w:right w:w="15" w:type="dxa"/>
            </w:tcMar>
            <w:vAlign w:val="center"/>
          </w:tcPr>
          <w:p>
            <w:pPr>
              <w:jc w:val="center"/>
              <w:rPr>
                <w:rFonts w:hint="eastAsia" w:ascii="方正仿宋_GBK" w:hAnsi="方正仿宋_GBK" w:eastAsia="方正仿宋_GBK" w:cs="方正仿宋_GBK"/>
                <w:sz w:val="28"/>
                <w:szCs w:val="28"/>
              </w:rPr>
            </w:pPr>
          </w:p>
        </w:tc>
        <w:tc>
          <w:tcPr>
            <w:tcW w:w="1909" w:type="dxa"/>
            <w:gridSpan w:val="2"/>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p>
        </w:tc>
      </w:tr>
      <w:tr>
        <w:tblPrEx>
          <w:tblLayout w:type="fixed"/>
          <w:tblCellMar>
            <w:top w:w="0" w:type="dxa"/>
            <w:left w:w="0" w:type="dxa"/>
            <w:bottom w:w="0" w:type="dxa"/>
            <w:right w:w="0" w:type="dxa"/>
          </w:tblCellMar>
        </w:tblPrEx>
        <w:trPr>
          <w:trHeight w:val="630" w:hRule="atLeast"/>
        </w:trPr>
        <w:tc>
          <w:tcPr>
            <w:tcW w:w="1139" w:type="dxa"/>
            <w:vMerge w:val="restart"/>
            <w:tcBorders>
              <w:top w:val="single" w:color="auto" w:sz="4" w:space="0"/>
              <w:left w:val="single" w:color="auto" w:sz="6"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机构名称</w:t>
            </w:r>
          </w:p>
        </w:tc>
        <w:tc>
          <w:tcPr>
            <w:tcW w:w="1122" w:type="dxa"/>
            <w:vMerge w:val="restart"/>
            <w:tcBorders>
              <w:top w:val="single" w:color="auto" w:sz="4" w:space="0"/>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固定资产</w:t>
            </w:r>
          </w:p>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合计</w:t>
            </w:r>
          </w:p>
        </w:tc>
        <w:tc>
          <w:tcPr>
            <w:tcW w:w="4003" w:type="dxa"/>
            <w:gridSpan w:val="4"/>
            <w:tcBorders>
              <w:top w:val="single" w:color="auto" w:sz="4" w:space="0"/>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其中：</w:t>
            </w:r>
          </w:p>
        </w:tc>
        <w:tc>
          <w:tcPr>
            <w:tcW w:w="1909" w:type="dxa"/>
            <w:gridSpan w:val="2"/>
            <w:tcBorders>
              <w:top w:val="single" w:color="auto" w:sz="4" w:space="0"/>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其他</w:t>
            </w:r>
          </w:p>
        </w:tc>
      </w:tr>
      <w:tr>
        <w:tblPrEx>
          <w:tblLayout w:type="fixed"/>
          <w:tblCellMar>
            <w:top w:w="0" w:type="dxa"/>
            <w:left w:w="0" w:type="dxa"/>
            <w:bottom w:w="0" w:type="dxa"/>
            <w:right w:w="0" w:type="dxa"/>
          </w:tblCellMar>
        </w:tblPrEx>
        <w:trPr>
          <w:trHeight w:val="630" w:hRule="atLeast"/>
        </w:trPr>
        <w:tc>
          <w:tcPr>
            <w:tcW w:w="1139" w:type="dxa"/>
            <w:vMerge w:val="continue"/>
            <w:tcBorders>
              <w:top w:val="nil"/>
              <w:left w:val="single" w:color="auto" w:sz="6" w:space="0"/>
              <w:bottom w:val="single" w:color="auto" w:sz="6" w:space="0"/>
              <w:right w:val="single" w:color="auto" w:sz="6" w:space="0"/>
            </w:tcBorders>
            <w:noWrap w:val="0"/>
            <w:tcMar>
              <w:left w:w="15" w:type="dxa"/>
              <w:right w:w="15" w:type="dxa"/>
            </w:tcMar>
            <w:vAlign w:val="center"/>
          </w:tcPr>
          <w:p>
            <w:pPr>
              <w:adjustRightInd w:val="0"/>
              <w:snapToGrid w:val="0"/>
              <w:rPr>
                <w:rFonts w:hint="eastAsia" w:ascii="方正仿宋_GBK" w:hAnsi="方正仿宋_GBK" w:eastAsia="方正仿宋_GBK" w:cs="方正仿宋_GBK"/>
                <w:sz w:val="28"/>
                <w:szCs w:val="28"/>
              </w:rPr>
            </w:pPr>
          </w:p>
        </w:tc>
        <w:tc>
          <w:tcPr>
            <w:tcW w:w="1122" w:type="dxa"/>
            <w:vMerge w:val="continue"/>
            <w:tcBorders>
              <w:top w:val="nil"/>
              <w:left w:val="nil"/>
              <w:bottom w:val="single" w:color="auto" w:sz="6" w:space="0"/>
              <w:right w:val="single" w:color="auto" w:sz="6" w:space="0"/>
            </w:tcBorders>
            <w:noWrap w:val="0"/>
            <w:tcMar>
              <w:left w:w="15" w:type="dxa"/>
              <w:right w:w="15" w:type="dxa"/>
            </w:tcMar>
            <w:vAlign w:val="center"/>
          </w:tcPr>
          <w:p>
            <w:pPr>
              <w:adjustRightInd w:val="0"/>
              <w:snapToGrid w:val="0"/>
              <w:rPr>
                <w:rFonts w:hint="eastAsia" w:ascii="方正仿宋_GBK" w:hAnsi="方正仿宋_GBK" w:eastAsia="方正仿宋_GBK" w:cs="方正仿宋_GBK"/>
                <w:sz w:val="28"/>
                <w:szCs w:val="28"/>
              </w:rPr>
            </w:pPr>
          </w:p>
        </w:tc>
        <w:tc>
          <w:tcPr>
            <w:tcW w:w="1966" w:type="dxa"/>
            <w:gridSpan w:val="2"/>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在用固定资产</w:t>
            </w:r>
          </w:p>
        </w:tc>
        <w:tc>
          <w:tcPr>
            <w:tcW w:w="2037" w:type="dxa"/>
            <w:gridSpan w:val="2"/>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出租固定资产</w:t>
            </w:r>
          </w:p>
        </w:tc>
        <w:tc>
          <w:tcPr>
            <w:tcW w:w="1909" w:type="dxa"/>
            <w:gridSpan w:val="2"/>
            <w:tcBorders>
              <w:top w:val="nil"/>
              <w:left w:val="nil"/>
              <w:bottom w:val="single" w:color="auto" w:sz="6" w:space="0"/>
              <w:right w:val="single" w:color="auto" w:sz="6" w:space="0"/>
            </w:tcBorders>
            <w:noWrap w:val="0"/>
            <w:tcMar>
              <w:left w:w="15" w:type="dxa"/>
              <w:right w:w="15" w:type="dxa"/>
            </w:tcMar>
            <w:vAlign w:val="center"/>
          </w:tcPr>
          <w:p>
            <w:pPr>
              <w:adjustRightInd w:val="0"/>
              <w:snapToGrid w:val="0"/>
              <w:rPr>
                <w:rFonts w:hint="eastAsia" w:ascii="方正仿宋_GBK" w:hAnsi="方正仿宋_GBK" w:eastAsia="方正仿宋_GBK" w:cs="方正仿宋_GBK"/>
                <w:sz w:val="28"/>
                <w:szCs w:val="28"/>
              </w:rPr>
            </w:pPr>
          </w:p>
        </w:tc>
      </w:tr>
      <w:tr>
        <w:tblPrEx>
          <w:tblLayout w:type="fixed"/>
          <w:tblCellMar>
            <w:top w:w="0" w:type="dxa"/>
            <w:left w:w="0" w:type="dxa"/>
            <w:bottom w:w="0" w:type="dxa"/>
            <w:right w:w="0" w:type="dxa"/>
          </w:tblCellMar>
        </w:tblPrEx>
        <w:trPr>
          <w:trHeight w:val="930" w:hRule="atLeast"/>
        </w:trPr>
        <w:tc>
          <w:tcPr>
            <w:tcW w:w="1139" w:type="dxa"/>
            <w:tcBorders>
              <w:top w:val="nil"/>
              <w:left w:val="single" w:color="auto" w:sz="6"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重庆市万州区残疾人联合会</w:t>
            </w:r>
          </w:p>
        </w:tc>
        <w:tc>
          <w:tcPr>
            <w:tcW w:w="1122" w:type="dxa"/>
            <w:tcBorders>
              <w:top w:val="nil"/>
              <w:left w:val="nil"/>
              <w:bottom w:val="single" w:color="auto" w:sz="6" w:space="0"/>
              <w:right w:val="single" w:color="auto" w:sz="6" w:space="0"/>
            </w:tcBorders>
            <w:noWrap w:val="0"/>
            <w:tcMar>
              <w:left w:w="15" w:type="dxa"/>
              <w:right w:w="15" w:type="dxa"/>
            </w:tcMar>
            <w:vAlign w:val="center"/>
          </w:tcPr>
          <w:p>
            <w:pPr>
              <w:widowControl/>
              <w:jc w:val="right"/>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11294.56</w:t>
            </w:r>
          </w:p>
        </w:tc>
        <w:tc>
          <w:tcPr>
            <w:tcW w:w="1966" w:type="dxa"/>
            <w:gridSpan w:val="2"/>
            <w:tcBorders>
              <w:top w:val="nil"/>
              <w:left w:val="nil"/>
              <w:bottom w:val="single" w:color="auto" w:sz="6" w:space="0"/>
              <w:right w:val="single" w:color="auto" w:sz="6" w:space="0"/>
            </w:tcBorders>
            <w:noWrap w:val="0"/>
            <w:tcMar>
              <w:left w:w="15" w:type="dxa"/>
              <w:right w:w="15" w:type="dxa"/>
            </w:tcMar>
            <w:vAlign w:val="center"/>
          </w:tcPr>
          <w:p>
            <w:pPr>
              <w:widowControl/>
              <w:jc w:val="center"/>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11294.56</w:t>
            </w:r>
          </w:p>
        </w:tc>
        <w:tc>
          <w:tcPr>
            <w:tcW w:w="2037" w:type="dxa"/>
            <w:gridSpan w:val="2"/>
            <w:tcBorders>
              <w:top w:val="nil"/>
              <w:left w:val="nil"/>
              <w:bottom w:val="single" w:color="auto" w:sz="6" w:space="0"/>
              <w:right w:val="single" w:color="auto" w:sz="6" w:space="0"/>
            </w:tcBorders>
            <w:noWrap w:val="0"/>
            <w:tcMar>
              <w:left w:w="15" w:type="dxa"/>
              <w:right w:w="15" w:type="dxa"/>
            </w:tcMar>
            <w:vAlign w:val="center"/>
          </w:tcPr>
          <w:p>
            <w:pPr>
              <w:widowControl/>
              <w:adjustRightInd w:val="0"/>
              <w:snapToGrid w:val="0"/>
              <w:jc w:val="left"/>
              <w:rPr>
                <w:rFonts w:hint="eastAsia" w:ascii="方正仿宋_GBK" w:hAnsi="方正仿宋_GBK" w:eastAsia="方正仿宋_GBK" w:cs="方正仿宋_GBK"/>
                <w:sz w:val="28"/>
                <w:szCs w:val="28"/>
              </w:rPr>
            </w:pPr>
          </w:p>
        </w:tc>
        <w:tc>
          <w:tcPr>
            <w:tcW w:w="1909" w:type="dxa"/>
            <w:gridSpan w:val="2"/>
            <w:tcBorders>
              <w:top w:val="nil"/>
              <w:left w:val="nil"/>
              <w:bottom w:val="single" w:color="auto" w:sz="6" w:space="0"/>
              <w:right w:val="single" w:color="auto" w:sz="6" w:space="0"/>
            </w:tcBorders>
            <w:noWrap w:val="0"/>
            <w:tcMar>
              <w:left w:w="15" w:type="dxa"/>
              <w:right w:w="15" w:type="dxa"/>
            </w:tcMar>
            <w:vAlign w:val="center"/>
          </w:tcPr>
          <w:p>
            <w:pPr>
              <w:widowControl/>
              <w:adjustRightInd w:val="0"/>
              <w:snapToGrid w:val="0"/>
              <w:jc w:val="left"/>
              <w:rPr>
                <w:rFonts w:hint="eastAsia" w:ascii="方正仿宋_GBK" w:hAnsi="方正仿宋_GBK" w:eastAsia="方正仿宋_GBK" w:cs="方正仿宋_GBK"/>
                <w:sz w:val="28"/>
                <w:szCs w:val="28"/>
              </w:rPr>
            </w:pPr>
          </w:p>
        </w:tc>
      </w:tr>
      <w:tr>
        <w:tblPrEx>
          <w:tblLayout w:type="fixed"/>
          <w:tblCellMar>
            <w:top w:w="0" w:type="dxa"/>
            <w:left w:w="0" w:type="dxa"/>
            <w:bottom w:w="0" w:type="dxa"/>
            <w:right w:w="0" w:type="dxa"/>
          </w:tblCellMar>
        </w:tblPrEx>
        <w:trPr>
          <w:trHeight w:val="869" w:hRule="atLeast"/>
        </w:trPr>
        <w:tc>
          <w:tcPr>
            <w:tcW w:w="1139" w:type="dxa"/>
            <w:tcBorders>
              <w:top w:val="nil"/>
              <w:left w:val="single" w:color="auto" w:sz="6"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重庆市万州区残疾人联合会（本级）</w:t>
            </w:r>
          </w:p>
        </w:tc>
        <w:tc>
          <w:tcPr>
            <w:tcW w:w="1122"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10657.49</w:t>
            </w:r>
          </w:p>
        </w:tc>
        <w:tc>
          <w:tcPr>
            <w:tcW w:w="1966" w:type="dxa"/>
            <w:gridSpan w:val="2"/>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10657.49</w:t>
            </w:r>
          </w:p>
        </w:tc>
        <w:tc>
          <w:tcPr>
            <w:tcW w:w="2037" w:type="dxa"/>
            <w:gridSpan w:val="2"/>
            <w:tcBorders>
              <w:top w:val="nil"/>
              <w:left w:val="nil"/>
              <w:bottom w:val="single" w:color="auto" w:sz="6" w:space="0"/>
              <w:right w:val="single" w:color="auto" w:sz="6" w:space="0"/>
            </w:tcBorders>
            <w:noWrap w:val="0"/>
            <w:tcMar>
              <w:left w:w="15" w:type="dxa"/>
              <w:right w:w="15" w:type="dxa"/>
            </w:tcMar>
            <w:vAlign w:val="center"/>
          </w:tcPr>
          <w:p>
            <w:pPr>
              <w:widowControl/>
              <w:adjustRightInd w:val="0"/>
              <w:snapToGrid w:val="0"/>
              <w:jc w:val="left"/>
              <w:rPr>
                <w:rFonts w:hint="eastAsia" w:ascii="方正仿宋_GBK" w:hAnsi="方正仿宋_GBK" w:eastAsia="方正仿宋_GBK" w:cs="方正仿宋_GBK"/>
                <w:sz w:val="28"/>
                <w:szCs w:val="28"/>
              </w:rPr>
            </w:pPr>
          </w:p>
        </w:tc>
        <w:tc>
          <w:tcPr>
            <w:tcW w:w="1909" w:type="dxa"/>
            <w:gridSpan w:val="2"/>
            <w:tcBorders>
              <w:top w:val="nil"/>
              <w:left w:val="nil"/>
              <w:bottom w:val="single" w:color="auto" w:sz="6" w:space="0"/>
              <w:right w:val="single" w:color="auto" w:sz="6" w:space="0"/>
            </w:tcBorders>
            <w:noWrap w:val="0"/>
            <w:tcMar>
              <w:left w:w="15" w:type="dxa"/>
              <w:right w:w="15" w:type="dxa"/>
            </w:tcMar>
            <w:vAlign w:val="center"/>
          </w:tcPr>
          <w:p>
            <w:pPr>
              <w:widowControl/>
              <w:adjustRightInd w:val="0"/>
              <w:snapToGrid w:val="0"/>
              <w:jc w:val="left"/>
              <w:rPr>
                <w:rFonts w:hint="eastAsia" w:ascii="方正仿宋_GBK" w:hAnsi="方正仿宋_GBK" w:eastAsia="方正仿宋_GBK" w:cs="方正仿宋_GBK"/>
                <w:sz w:val="28"/>
                <w:szCs w:val="28"/>
              </w:rPr>
            </w:pPr>
          </w:p>
        </w:tc>
      </w:tr>
      <w:tr>
        <w:tblPrEx>
          <w:tblLayout w:type="fixed"/>
          <w:tblCellMar>
            <w:top w:w="0" w:type="dxa"/>
            <w:left w:w="0" w:type="dxa"/>
            <w:bottom w:w="0" w:type="dxa"/>
            <w:right w:w="0" w:type="dxa"/>
          </w:tblCellMar>
        </w:tblPrEx>
        <w:trPr>
          <w:trHeight w:val="891" w:hRule="atLeast"/>
        </w:trPr>
        <w:tc>
          <w:tcPr>
            <w:tcW w:w="1139" w:type="dxa"/>
            <w:tcBorders>
              <w:top w:val="nil"/>
              <w:left w:val="single" w:color="auto" w:sz="6"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重庆市万州区残疾人综合服务中心决算</w:t>
            </w:r>
          </w:p>
        </w:tc>
        <w:tc>
          <w:tcPr>
            <w:tcW w:w="1122" w:type="dxa"/>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637.07</w:t>
            </w:r>
          </w:p>
        </w:tc>
        <w:tc>
          <w:tcPr>
            <w:tcW w:w="1966" w:type="dxa"/>
            <w:gridSpan w:val="2"/>
            <w:tcBorders>
              <w:top w:val="nil"/>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637.07</w:t>
            </w:r>
          </w:p>
        </w:tc>
        <w:tc>
          <w:tcPr>
            <w:tcW w:w="2037" w:type="dxa"/>
            <w:gridSpan w:val="2"/>
            <w:tcBorders>
              <w:top w:val="nil"/>
              <w:left w:val="nil"/>
              <w:bottom w:val="single" w:color="auto" w:sz="6" w:space="0"/>
              <w:right w:val="single" w:color="auto" w:sz="6" w:space="0"/>
            </w:tcBorders>
            <w:noWrap w:val="0"/>
            <w:tcMar>
              <w:left w:w="15" w:type="dxa"/>
              <w:right w:w="15" w:type="dxa"/>
            </w:tcMar>
            <w:vAlign w:val="center"/>
          </w:tcPr>
          <w:p>
            <w:pPr>
              <w:widowControl/>
              <w:adjustRightInd w:val="0"/>
              <w:snapToGrid w:val="0"/>
              <w:jc w:val="left"/>
              <w:rPr>
                <w:rFonts w:hint="eastAsia" w:ascii="方正仿宋_GBK" w:hAnsi="方正仿宋_GBK" w:eastAsia="方正仿宋_GBK" w:cs="方正仿宋_GBK"/>
                <w:sz w:val="28"/>
                <w:szCs w:val="28"/>
              </w:rPr>
            </w:pPr>
          </w:p>
        </w:tc>
        <w:tc>
          <w:tcPr>
            <w:tcW w:w="1909" w:type="dxa"/>
            <w:gridSpan w:val="2"/>
            <w:tcBorders>
              <w:top w:val="nil"/>
              <w:left w:val="nil"/>
              <w:bottom w:val="single" w:color="auto" w:sz="6" w:space="0"/>
              <w:right w:val="single" w:color="auto" w:sz="6" w:space="0"/>
            </w:tcBorders>
            <w:noWrap w:val="0"/>
            <w:tcMar>
              <w:left w:w="15" w:type="dxa"/>
              <w:right w:w="15" w:type="dxa"/>
            </w:tcMar>
            <w:vAlign w:val="center"/>
          </w:tcPr>
          <w:p>
            <w:pPr>
              <w:widowControl/>
              <w:adjustRightInd w:val="0"/>
              <w:snapToGrid w:val="0"/>
              <w:jc w:val="left"/>
              <w:rPr>
                <w:rFonts w:hint="eastAsia" w:ascii="方正仿宋_GBK" w:hAnsi="方正仿宋_GBK" w:eastAsia="方正仿宋_GBK" w:cs="方正仿宋_GBK"/>
                <w:sz w:val="28"/>
                <w:szCs w:val="28"/>
              </w:rPr>
            </w:pPr>
          </w:p>
        </w:tc>
      </w:tr>
    </w:tbl>
    <w:p>
      <w:pPr>
        <w:rPr>
          <w:rFonts w:ascii="Times New Roman" w:hAnsi="Times New Roman"/>
        </w:rPr>
      </w:pPr>
    </w:p>
    <w:p>
      <w:pPr>
        <w:rPr>
          <w:rFonts w:ascii="Times New Roman" w:hAnsi="Times New Roman"/>
        </w:rPr>
      </w:pPr>
      <w:r>
        <w:rPr>
          <w:rFonts w:ascii="Times New Roman" w:hAnsi="Times New Roman"/>
        </w:rPr>
        <w:br w:type="page"/>
      </w:r>
    </w:p>
    <w:tbl>
      <w:tblPr>
        <w:tblStyle w:val="5"/>
        <w:tblW w:w="11319" w:type="dxa"/>
        <w:tblInd w:w="-1198" w:type="dxa"/>
        <w:tblLayout w:type="fixed"/>
        <w:tblCellMar>
          <w:top w:w="0" w:type="dxa"/>
          <w:left w:w="0" w:type="dxa"/>
          <w:bottom w:w="0" w:type="dxa"/>
          <w:right w:w="0" w:type="dxa"/>
        </w:tblCellMar>
      </w:tblPr>
      <w:tblGrid>
        <w:gridCol w:w="2238"/>
        <w:gridCol w:w="1716"/>
        <w:gridCol w:w="3014"/>
        <w:gridCol w:w="3845"/>
        <w:gridCol w:w="506"/>
      </w:tblGrid>
      <w:tr>
        <w:tblPrEx>
          <w:tblLayout w:type="fixed"/>
          <w:tblCellMar>
            <w:top w:w="0" w:type="dxa"/>
            <w:left w:w="0" w:type="dxa"/>
            <w:bottom w:w="0" w:type="dxa"/>
            <w:right w:w="0" w:type="dxa"/>
          </w:tblCellMar>
        </w:tblPrEx>
        <w:trPr>
          <w:trHeight w:val="570" w:hRule="atLeast"/>
        </w:trPr>
        <w:tc>
          <w:tcPr>
            <w:tcW w:w="11319" w:type="dxa"/>
            <w:gridSpan w:val="5"/>
            <w:tcBorders>
              <w:top w:val="nil"/>
              <w:left w:val="nil"/>
              <w:bottom w:val="single" w:color="auto" w:sz="4" w:space="0"/>
              <w:right w:val="nil"/>
            </w:tcBorders>
            <w:noWrap w:val="0"/>
            <w:tcMar>
              <w:left w:w="15" w:type="dxa"/>
              <w:right w:w="15" w:type="dxa"/>
            </w:tcMar>
            <w:vAlign w:val="center"/>
          </w:tcPr>
          <w:tbl>
            <w:tblPr>
              <w:tblStyle w:val="5"/>
              <w:tblpPr w:leftFromText="180" w:rightFromText="180" w:vertAnchor="text" w:horzAnchor="page" w:tblpX="-99" w:tblpY="430"/>
              <w:tblOverlap w:val="never"/>
              <w:tblW w:w="10808" w:type="dxa"/>
              <w:tblInd w:w="0" w:type="dxa"/>
              <w:tblLayout w:type="fixed"/>
              <w:tblCellMar>
                <w:top w:w="0" w:type="dxa"/>
                <w:left w:w="0" w:type="dxa"/>
                <w:bottom w:w="0" w:type="dxa"/>
                <w:right w:w="0" w:type="dxa"/>
              </w:tblCellMar>
            </w:tblPr>
            <w:tblGrid>
              <w:gridCol w:w="10808"/>
            </w:tblGrid>
            <w:tr>
              <w:tblPrEx>
                <w:tblLayout w:type="fixed"/>
                <w:tblCellMar>
                  <w:top w:w="0" w:type="dxa"/>
                  <w:left w:w="0" w:type="dxa"/>
                  <w:bottom w:w="0" w:type="dxa"/>
                  <w:right w:w="0" w:type="dxa"/>
                </w:tblCellMar>
              </w:tblPrEx>
              <w:trPr>
                <w:trHeight w:val="900" w:hRule="atLeast"/>
              </w:trPr>
              <w:tc>
                <w:tcPr>
                  <w:tcW w:w="10808"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333333"/>
                      <w:sz w:val="24"/>
                    </w:rPr>
                  </w:pPr>
                  <w:r>
                    <w:rPr>
                      <w:rFonts w:hint="eastAsia" w:ascii="宋体" w:hAnsi="宋体" w:cs="宋体"/>
                      <w:b/>
                      <w:color w:val="333333"/>
                      <w:kern w:val="0"/>
                      <w:sz w:val="32"/>
                      <w:szCs w:val="32"/>
                    </w:rPr>
                    <w:t>三、部门整体支出绩效自评情况</w:t>
                  </w:r>
                </w:p>
              </w:tc>
            </w:tr>
          </w:tbl>
          <w:p>
            <w:pPr>
              <w:pStyle w:val="4"/>
              <w:widowControl/>
              <w:adjustRightInd w:val="0"/>
              <w:snapToGrid w:val="0"/>
              <w:spacing w:before="0" w:beforeAutospacing="0" w:after="0" w:afterAutospacing="0"/>
              <w:jc w:val="center"/>
              <w:textAlignment w:val="center"/>
              <w:rPr>
                <w:rFonts w:hint="eastAsia" w:ascii="宋体" w:hAnsi="宋体" w:cs="宋体"/>
              </w:rPr>
            </w:pPr>
          </w:p>
        </w:tc>
      </w:tr>
      <w:tr>
        <w:tblPrEx>
          <w:tblLayout w:type="fixed"/>
          <w:tblCellMar>
            <w:top w:w="0" w:type="dxa"/>
            <w:left w:w="0" w:type="dxa"/>
            <w:bottom w:w="0" w:type="dxa"/>
            <w:right w:w="0" w:type="dxa"/>
          </w:tblCellMar>
        </w:tblPrEx>
        <w:trPr>
          <w:gridAfter w:val="1"/>
          <w:wAfter w:w="506" w:type="dxa"/>
          <w:trHeight w:val="428" w:hRule="atLeast"/>
        </w:trPr>
        <w:tc>
          <w:tcPr>
            <w:tcW w:w="10813" w:type="dxa"/>
            <w:gridSpan w:val="4"/>
            <w:tcBorders>
              <w:top w:val="single" w:color="auto" w:sz="4" w:space="0"/>
              <w:left w:val="nil"/>
              <w:bottom w:val="single" w:color="auto" w:sz="4" w:space="0"/>
              <w:right w:val="nil"/>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方正仿宋_GBK" w:hAnsi="方正仿宋_GBK" w:eastAsia="方正仿宋_GBK" w:cs="方正仿宋_GBK"/>
                <w:sz w:val="28"/>
                <w:szCs w:val="28"/>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tbl>
            <w:tblPr>
              <w:tblStyle w:val="5"/>
              <w:tblW w:w="10773" w:type="dxa"/>
              <w:tblInd w:w="0" w:type="dxa"/>
              <w:tblLayout w:type="fixed"/>
              <w:tblCellMar>
                <w:top w:w="0" w:type="dxa"/>
                <w:left w:w="0" w:type="dxa"/>
                <w:bottom w:w="0" w:type="dxa"/>
                <w:right w:w="0" w:type="dxa"/>
              </w:tblCellMar>
            </w:tblPr>
            <w:tblGrid>
              <w:gridCol w:w="1048"/>
              <w:gridCol w:w="1153"/>
              <w:gridCol w:w="1443"/>
              <w:gridCol w:w="3937"/>
              <w:gridCol w:w="664"/>
              <w:gridCol w:w="750"/>
              <w:gridCol w:w="1778"/>
            </w:tblGrid>
            <w:tr>
              <w:tblPrEx>
                <w:tblLayout w:type="fixed"/>
                <w:tblCellMar>
                  <w:top w:w="0" w:type="dxa"/>
                  <w:left w:w="0" w:type="dxa"/>
                  <w:bottom w:w="0" w:type="dxa"/>
                  <w:right w:w="0" w:type="dxa"/>
                </w:tblCellMar>
              </w:tblPrEx>
              <w:trPr>
                <w:trHeight w:val="702" w:hRule="atLeast"/>
              </w:trPr>
              <w:tc>
                <w:tcPr>
                  <w:tcW w:w="10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一级指标</w:t>
                  </w:r>
                </w:p>
              </w:tc>
              <w:tc>
                <w:tcPr>
                  <w:tcW w:w="11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二级指标</w:t>
                  </w: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三级指标</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评分标准</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分值</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自评得分</w:t>
                  </w:r>
                </w:p>
              </w:tc>
              <w:tc>
                <w:tcPr>
                  <w:tcW w:w="17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扣分原因和其他说明</w:t>
                  </w:r>
                </w:p>
              </w:tc>
            </w:tr>
            <w:tr>
              <w:tblPrEx>
                <w:tblLayout w:type="fixed"/>
                <w:tblCellMar>
                  <w:top w:w="0" w:type="dxa"/>
                  <w:left w:w="0" w:type="dxa"/>
                  <w:bottom w:w="0" w:type="dxa"/>
                  <w:right w:w="0" w:type="dxa"/>
                </w:tblCellMar>
              </w:tblPrEx>
              <w:trPr>
                <w:trHeight w:val="780" w:hRule="atLeast"/>
              </w:trPr>
              <w:tc>
                <w:tcPr>
                  <w:tcW w:w="1048"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投  入（15分）</w:t>
                  </w:r>
                </w:p>
              </w:tc>
              <w:tc>
                <w:tcPr>
                  <w:tcW w:w="1153"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预算配置（15分）</w:t>
                  </w: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财政供养人员</w:t>
                  </w:r>
                  <w:r>
                    <w:rPr>
                      <w:rFonts w:hint="eastAsia" w:ascii="方正仿宋_GBK" w:hAnsi="方正仿宋_GBK" w:eastAsia="方正仿宋_GBK" w:cs="方正仿宋_GBK"/>
                      <w:color w:val="333333"/>
                      <w:kern w:val="0"/>
                      <w:sz w:val="28"/>
                      <w:szCs w:val="28"/>
                    </w:rPr>
                    <w:br w:type="textWrapping"/>
                  </w:r>
                  <w:r>
                    <w:rPr>
                      <w:rFonts w:hint="eastAsia" w:ascii="方正仿宋_GBK" w:hAnsi="方正仿宋_GBK" w:eastAsia="方正仿宋_GBK" w:cs="方正仿宋_GBK"/>
                      <w:color w:val="333333"/>
                      <w:kern w:val="0"/>
                      <w:sz w:val="28"/>
                      <w:szCs w:val="28"/>
                    </w:rPr>
                    <w:t>控制率</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以100%为标准。在职人员控制率≦100%，计5分；每超过一个百分点扣0.5分，扣完为止。</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5</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5</w:t>
                  </w:r>
                </w:p>
              </w:tc>
              <w:tc>
                <w:tcPr>
                  <w:tcW w:w="17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120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“三公经费”变动率</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“三公经费”变动率≦0,计5分；</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5</w:t>
                  </w:r>
                </w:p>
              </w:tc>
              <w:tc>
                <w:tcPr>
                  <w:tcW w:w="177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132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“三公经费”＞0，每超过一个百分点扣0.5分，扣完为止（特殊事项除外）。</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78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重点支出</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重点支出安排率≥90%，计5分；80%（含）-90%，计4分；70%（含）-80%，计3分；60%（含）-70%，计2分；低于60%不得分。</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5</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5</w:t>
                  </w:r>
                </w:p>
              </w:tc>
              <w:tc>
                <w:tcPr>
                  <w:tcW w:w="17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822" w:hRule="atLeast"/>
              </w:trPr>
              <w:tc>
                <w:tcPr>
                  <w:tcW w:w="1048"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过  程（40分）</w:t>
                  </w:r>
                </w:p>
              </w:tc>
              <w:tc>
                <w:tcPr>
                  <w:tcW w:w="1153"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预算执行（15分）</w:t>
                  </w: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预算完成率</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预算完成率70-80%（含），计1分；80-90%（含），计2分；90%以上，记3分。</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3</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3</w:t>
                  </w:r>
                </w:p>
              </w:tc>
              <w:tc>
                <w:tcPr>
                  <w:tcW w:w="17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60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支付进度</w:t>
                  </w:r>
                </w:p>
              </w:tc>
              <w:tc>
                <w:tcPr>
                  <w:tcW w:w="3937"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每出现一个专项未按进度完成资金下达扣0.5分，扣完为止。</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3</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3</w:t>
                  </w:r>
                </w:p>
              </w:tc>
              <w:tc>
                <w:tcPr>
                  <w:tcW w:w="17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252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资金结余</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无结余，3分；有结余，但不超过上年结转，2分；结余超过上年结转，不得分。</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3</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0</w:t>
                  </w:r>
                </w:p>
              </w:tc>
              <w:tc>
                <w:tcPr>
                  <w:tcW w:w="17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2019年年初结转上年资金38.28万元，年底结余39.75万元比年初结转多1.47万元，原因是收款方提供账号出错，导致资金未实现支付</w:t>
                  </w:r>
                </w:p>
              </w:tc>
            </w:tr>
            <w:tr>
              <w:tblPrEx>
                <w:tblLayout w:type="fixed"/>
                <w:tblCellMar>
                  <w:top w:w="0" w:type="dxa"/>
                  <w:left w:w="0" w:type="dxa"/>
                  <w:bottom w:w="0" w:type="dxa"/>
                  <w:right w:w="0" w:type="dxa"/>
                </w:tblCellMar>
              </w:tblPrEx>
              <w:trPr>
                <w:trHeight w:val="60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“三公经费”控制率</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以100%为标准。三公经费控制率≦100%，计6分；每超过一个百分点扣1分，扣完为止。</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6</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6</w:t>
                  </w:r>
                </w:p>
              </w:tc>
              <w:tc>
                <w:tcPr>
                  <w:tcW w:w="17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60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预算管理（15分）</w:t>
                  </w: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管理制度</w:t>
                  </w:r>
                  <w:r>
                    <w:rPr>
                      <w:rFonts w:hint="eastAsia" w:ascii="方正仿宋_GBK" w:hAnsi="方正仿宋_GBK" w:eastAsia="方正仿宋_GBK" w:cs="方正仿宋_GBK"/>
                      <w:color w:val="333333"/>
                      <w:kern w:val="0"/>
                      <w:sz w:val="28"/>
                      <w:szCs w:val="28"/>
                    </w:rPr>
                    <w:br w:type="textWrapping"/>
                  </w:r>
                  <w:r>
                    <w:rPr>
                      <w:rFonts w:hint="eastAsia" w:ascii="方正仿宋_GBK" w:hAnsi="方正仿宋_GBK" w:eastAsia="方正仿宋_GBK" w:cs="方正仿宋_GBK"/>
                      <w:color w:val="333333"/>
                      <w:kern w:val="0"/>
                      <w:sz w:val="28"/>
                      <w:szCs w:val="28"/>
                    </w:rPr>
                    <w:t>健全性</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①已制定或具有预算资金管理办法，内部财务管理制度、会计核算制度等管理制度，1分；</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3</w:t>
                  </w:r>
                </w:p>
              </w:tc>
              <w:tc>
                <w:tcPr>
                  <w:tcW w:w="177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462"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②相关管理制度合法、合规、完整，1分；</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462"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③相关管理制度得到有效执行，1分。</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60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资金使用</w:t>
                  </w:r>
                  <w:r>
                    <w:rPr>
                      <w:rFonts w:hint="eastAsia" w:ascii="方正仿宋_GBK" w:hAnsi="方正仿宋_GBK" w:eastAsia="方正仿宋_GBK" w:cs="方正仿宋_GBK"/>
                      <w:color w:val="333333"/>
                      <w:kern w:val="0"/>
                      <w:sz w:val="28"/>
                      <w:szCs w:val="28"/>
                    </w:rPr>
                    <w:br w:type="textWrapping"/>
                  </w:r>
                  <w:r>
                    <w:rPr>
                      <w:rFonts w:hint="eastAsia" w:ascii="方正仿宋_GBK" w:hAnsi="方正仿宋_GBK" w:eastAsia="方正仿宋_GBK" w:cs="方正仿宋_GBK"/>
                      <w:color w:val="333333"/>
                      <w:kern w:val="0"/>
                      <w:sz w:val="28"/>
                      <w:szCs w:val="28"/>
                    </w:rPr>
                    <w:t>合规性</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①支出符合国家财经法规和财务管理制度规定以及有关专项资金管理办法的规定；</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3</w:t>
                  </w:r>
                </w:p>
              </w:tc>
              <w:tc>
                <w:tcPr>
                  <w:tcW w:w="177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42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②资金拨付有完整的审批程序和手续；</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42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③项目支出按规定经过评估论证；</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42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④支出符合部门预算批复的用途；</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60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⑤资金使用无截留、挤占、挪用、虚列支出等情况。</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60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以上情况每出现一例不符合要求的扣1分，扣完为止。</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60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预决算信息公开性和完善性</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①按规定内容公开预决算信息，1分；</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3</w:t>
                  </w:r>
                </w:p>
              </w:tc>
              <w:tc>
                <w:tcPr>
                  <w:tcW w:w="177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60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②按规定时限公开预决算信息，0.5分；</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60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③基础数据信息和会计信息资料真实，0.5分；</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60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④基础数据信息和会计信息资料完整，0.5分；</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60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⑤基础数据信息和汇集信息资料准确，0.5分。</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402"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公务卡</w:t>
                  </w:r>
                  <w:r>
                    <w:rPr>
                      <w:rFonts w:hint="eastAsia" w:ascii="方正仿宋_GBK" w:hAnsi="方正仿宋_GBK" w:eastAsia="方正仿宋_GBK" w:cs="方正仿宋_GBK"/>
                      <w:color w:val="333333"/>
                      <w:kern w:val="0"/>
                      <w:sz w:val="28"/>
                      <w:szCs w:val="28"/>
                    </w:rPr>
                    <w:br w:type="textWrapping"/>
                  </w:r>
                  <w:r>
                    <w:rPr>
                      <w:rFonts w:hint="eastAsia" w:ascii="方正仿宋_GBK" w:hAnsi="方正仿宋_GBK" w:eastAsia="方正仿宋_GBK" w:cs="方正仿宋_GBK"/>
                      <w:color w:val="333333"/>
                      <w:kern w:val="0"/>
                      <w:sz w:val="28"/>
                      <w:szCs w:val="28"/>
                    </w:rPr>
                    <w:t>刷卡率</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公务卡刷卡率达50％以上的，得6分。</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6</w:t>
                  </w:r>
                </w:p>
              </w:tc>
              <w:tc>
                <w:tcPr>
                  <w:tcW w:w="177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402"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每减少一个百分点，扣0.4分，扣完为止。</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60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资产管理</w:t>
                  </w:r>
                  <w:r>
                    <w:rPr>
                      <w:rFonts w:hint="eastAsia" w:ascii="方正仿宋_GBK" w:hAnsi="方正仿宋_GBK" w:eastAsia="方正仿宋_GBK" w:cs="方正仿宋_GBK"/>
                      <w:color w:val="333333"/>
                      <w:kern w:val="0"/>
                      <w:sz w:val="28"/>
                      <w:szCs w:val="28"/>
                    </w:rPr>
                    <w:br w:type="textWrapping"/>
                  </w:r>
                  <w:r>
                    <w:rPr>
                      <w:rFonts w:hint="eastAsia" w:ascii="方正仿宋_GBK" w:hAnsi="方正仿宋_GBK" w:eastAsia="方正仿宋_GBK" w:cs="方正仿宋_GBK"/>
                      <w:color w:val="333333"/>
                      <w:kern w:val="0"/>
                      <w:sz w:val="28"/>
                      <w:szCs w:val="28"/>
                    </w:rPr>
                    <w:t>（10分）</w:t>
                  </w: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管理制度</w:t>
                  </w:r>
                  <w:r>
                    <w:rPr>
                      <w:rFonts w:hint="eastAsia" w:ascii="方正仿宋_GBK" w:hAnsi="方正仿宋_GBK" w:eastAsia="方正仿宋_GBK" w:cs="方正仿宋_GBK"/>
                      <w:color w:val="333333"/>
                      <w:kern w:val="0"/>
                      <w:sz w:val="28"/>
                      <w:szCs w:val="28"/>
                    </w:rPr>
                    <w:br w:type="textWrapping"/>
                  </w:r>
                  <w:r>
                    <w:rPr>
                      <w:rFonts w:hint="eastAsia" w:ascii="方正仿宋_GBK" w:hAnsi="方正仿宋_GBK" w:eastAsia="方正仿宋_GBK" w:cs="方正仿宋_GBK"/>
                      <w:color w:val="333333"/>
                      <w:kern w:val="0"/>
                      <w:sz w:val="28"/>
                      <w:szCs w:val="28"/>
                    </w:rPr>
                    <w:t>健全性</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①已制定或具有资产管理制度，且相关资产管理制度合法、合规、完整，2分；</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3</w:t>
                  </w:r>
                </w:p>
              </w:tc>
              <w:tc>
                <w:tcPr>
                  <w:tcW w:w="177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439"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②相关资产管理制度得到有效执行，1分。</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439"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restart"/>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资产管理</w:t>
                  </w:r>
                  <w:r>
                    <w:rPr>
                      <w:rFonts w:hint="eastAsia" w:ascii="方正仿宋_GBK" w:hAnsi="方正仿宋_GBK" w:eastAsia="方正仿宋_GBK" w:cs="方正仿宋_GBK"/>
                      <w:color w:val="333333"/>
                      <w:kern w:val="0"/>
                      <w:sz w:val="28"/>
                      <w:szCs w:val="28"/>
                    </w:rPr>
                    <w:br w:type="textWrapping"/>
                  </w:r>
                  <w:r>
                    <w:rPr>
                      <w:rFonts w:hint="eastAsia" w:ascii="方正仿宋_GBK" w:hAnsi="方正仿宋_GBK" w:eastAsia="方正仿宋_GBK" w:cs="方正仿宋_GBK"/>
                      <w:color w:val="333333"/>
                      <w:kern w:val="0"/>
                      <w:sz w:val="28"/>
                      <w:szCs w:val="28"/>
                    </w:rPr>
                    <w:t>安全性</w:t>
                  </w:r>
                </w:p>
              </w:tc>
              <w:tc>
                <w:tcPr>
                  <w:tcW w:w="3937"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①资产保存完整；</w:t>
                  </w:r>
                </w:p>
              </w:tc>
              <w:tc>
                <w:tcPr>
                  <w:tcW w:w="664" w:type="dxa"/>
                  <w:vMerge w:val="restart"/>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4</w:t>
                  </w:r>
                </w:p>
              </w:tc>
              <w:tc>
                <w:tcPr>
                  <w:tcW w:w="177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439"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continue"/>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nil"/>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②资产配置合理；</w:t>
                  </w:r>
                </w:p>
              </w:tc>
              <w:tc>
                <w:tcPr>
                  <w:tcW w:w="664"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439"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continue"/>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nil"/>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③资产处置规范；</w:t>
                  </w:r>
                </w:p>
              </w:tc>
              <w:tc>
                <w:tcPr>
                  <w:tcW w:w="664"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439"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continue"/>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nil"/>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④资产账务管理合规，帐实相符；</w:t>
                  </w:r>
                </w:p>
              </w:tc>
              <w:tc>
                <w:tcPr>
                  <w:tcW w:w="664"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439"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continue"/>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nil"/>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⑤资产有偿使用及处置收入及时足额上缴；</w:t>
                  </w:r>
                </w:p>
              </w:tc>
              <w:tc>
                <w:tcPr>
                  <w:tcW w:w="664"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60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vMerge w:val="continue"/>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以上情况每出现一例不符合有关要求的扣1分，扣完为止。</w:t>
                  </w:r>
                </w:p>
              </w:tc>
              <w:tc>
                <w:tcPr>
                  <w:tcW w:w="664" w:type="dxa"/>
                  <w:vMerge w:val="continue"/>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60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固定资产</w:t>
                  </w:r>
                  <w:r>
                    <w:rPr>
                      <w:rFonts w:hint="eastAsia" w:ascii="方正仿宋_GBK" w:hAnsi="方正仿宋_GBK" w:eastAsia="方正仿宋_GBK" w:cs="方正仿宋_GBK"/>
                      <w:color w:val="333333"/>
                      <w:kern w:val="0"/>
                      <w:sz w:val="28"/>
                      <w:szCs w:val="28"/>
                    </w:rPr>
                    <w:br w:type="textWrapping"/>
                  </w:r>
                  <w:r>
                    <w:rPr>
                      <w:rFonts w:hint="eastAsia" w:ascii="方正仿宋_GBK" w:hAnsi="方正仿宋_GBK" w:eastAsia="方正仿宋_GBK" w:cs="方正仿宋_GBK"/>
                      <w:color w:val="333333"/>
                      <w:kern w:val="0"/>
                      <w:sz w:val="28"/>
                      <w:szCs w:val="28"/>
                    </w:rPr>
                    <w:t>利用率</w:t>
                  </w:r>
                </w:p>
              </w:tc>
              <w:tc>
                <w:tcPr>
                  <w:tcW w:w="3937"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每低于100%一个百分点扣0.1分，扣完为止。</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3</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3</w:t>
                  </w:r>
                </w:p>
              </w:tc>
              <w:tc>
                <w:tcPr>
                  <w:tcW w:w="17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2959"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产  出（25分）</w:t>
                  </w:r>
                </w:p>
              </w:tc>
              <w:tc>
                <w:tcPr>
                  <w:tcW w:w="1153"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职责履行</w:t>
                  </w:r>
                  <w:r>
                    <w:rPr>
                      <w:rFonts w:hint="eastAsia" w:ascii="方正仿宋_GBK" w:hAnsi="方正仿宋_GBK" w:eastAsia="方正仿宋_GBK" w:cs="方正仿宋_GBK"/>
                      <w:color w:val="333333"/>
                      <w:kern w:val="0"/>
                      <w:sz w:val="28"/>
                      <w:szCs w:val="28"/>
                    </w:rPr>
                    <w:br w:type="textWrapping"/>
                  </w:r>
                  <w:r>
                    <w:rPr>
                      <w:rFonts w:hint="eastAsia" w:ascii="方正仿宋_GBK" w:hAnsi="方正仿宋_GBK" w:eastAsia="方正仿宋_GBK" w:cs="方正仿宋_GBK"/>
                      <w:color w:val="333333"/>
                      <w:kern w:val="0"/>
                      <w:sz w:val="28"/>
                      <w:szCs w:val="28"/>
                    </w:rPr>
                    <w:t>（25分）</w:t>
                  </w: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残疾人康复工作完成情况</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1、保障15000名以上残疾人得到康复服务，康复服务率到达95%；                                         2、成立精准康复服务专家技术指导组，精神病人服药救助2000人，住院救助400人；                                              3、救助贫困残疾人白内障复明手术350人以上；                                    4、救助万州籍各类残疾儿童康复救助200名以上；                                  5、新建社区康复室30个，完成全区残疾人家庭医生签约5000家；                                       以上情况每出现一例不符合有关要求的扣1分，扣完为止。</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5</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5</w:t>
                  </w:r>
                </w:p>
              </w:tc>
              <w:tc>
                <w:tcPr>
                  <w:tcW w:w="17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342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残疾人教育宣传服务工作完成情况</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1、救助残疾大学生80名，发放入学救助和生活救助资金15万元，                                                      2、救助残疾人家庭子女20名，发放入学救助资金4万元，确保其不能因贫困而失学；                                                                        3、全面普及残疾儿童少年义务教育，加大力度发展残疾儿童学前教育                                      4、对600名贫困智力、精神和重度肢体残疾人提供居家服务，并采取政府购买服务的方式对300名残疾人提供上门服务；                                            5、教育引导全区广大残疾人提高思想认识，组织学习20次，教育培训12期，媒体宣传200次，开展活动20次                                                                                       6、实现全区残疾人生活补贴和护理补贴全覆盖                                    以上情况每出现一例不符合有关要求的扣1分，扣完为止。</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6</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6</w:t>
                  </w:r>
                </w:p>
              </w:tc>
              <w:tc>
                <w:tcPr>
                  <w:tcW w:w="17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3042"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残疾人职业技能培训工作完成情况</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1、组织残疾人就业专场招聘会2次；                            2、承接2019年重庆市盲人医疗按摩人员国家级、市级继续教育培训班；                                                      3、完成残疾人职业培训900人；                                4、对200名残疾人进行农村实用技术培训，同时开展残疾青壮年文盲开展扫盲工作；                                                 5、继续对6家盲人按摩机构中的27名盲人按摩师给予就业扶持；                                         以上情况每出现一例不符合有关要求的扣1分，扣完为止。</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5</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5</w:t>
                  </w:r>
                </w:p>
              </w:tc>
              <w:tc>
                <w:tcPr>
                  <w:tcW w:w="17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204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残疾人扶贫与社会保障工作完成情况</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1、扶持1个农村残疾人种养殖大户、1个扶贫基地                                 2、农村贫困残疾人危房改造投入资金500万元，对300户农村贫困残疾人D级危房进行改造；                                   3、“万州区残疾人康复就业指导中心”全面投入使用，建成集残疾人康复、教育、职业培训、宣传文化体育为一体的综合性服务机构                                               以上情况每出现一例不符合有关要求的扣2分，扣完为止。</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6</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6</w:t>
                  </w:r>
                </w:p>
              </w:tc>
              <w:tc>
                <w:tcPr>
                  <w:tcW w:w="17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1560" w:hRule="atLeast"/>
              </w:trPr>
              <w:tc>
                <w:tcPr>
                  <w:tcW w:w="1048"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tcBorders>
                    <w:top w:val="nil"/>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残疾人组织联络工作情况</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 xml:space="preserve">1、全面完成2019年全国残疾人基本服务状况和需求信息动态更新工作                                       2、投入资金70万元为全区近5万名持证残疾人购买了人身意外保险；                                      以上情况每出现一例不符合有关要求的扣1.5分，扣完为止。                                           </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3</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3</w:t>
                  </w:r>
                </w:p>
              </w:tc>
              <w:tc>
                <w:tcPr>
                  <w:tcW w:w="17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1080" w:hRule="atLeast"/>
              </w:trPr>
              <w:tc>
                <w:tcPr>
                  <w:tcW w:w="1048"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效  果(20分)</w:t>
                  </w:r>
                </w:p>
              </w:tc>
              <w:tc>
                <w:tcPr>
                  <w:tcW w:w="1153"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履职效益(20分)</w:t>
                  </w: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经济效益</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1、帮助残疾登记失业人员30人实现就业；                 2、残疾人保障金征收3500万元；                    以上情况每出现一例不符合有关要求的扣2.5分，扣完为止。</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5</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5</w:t>
                  </w:r>
                </w:p>
              </w:tc>
              <w:tc>
                <w:tcPr>
                  <w:tcW w:w="17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1182"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社会效益</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1、各类节假日残疾人慰问金50万元，慰问人数1000人；                            2、制定《万州区“一户多残”贫困残疾人家庭脱贫攻坚帮扶方案》，投入资金142万元；                      以上情况每出现一例不符合有关要求的扣2.5分，扣完为止。</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5</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5</w:t>
                  </w:r>
                </w:p>
              </w:tc>
              <w:tc>
                <w:tcPr>
                  <w:tcW w:w="17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66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生态效益</w:t>
                  </w: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扶持农村残疾人种养殖大户，扩大了林木种植面积，涵养水土，防止水土流失</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5</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5</w:t>
                  </w:r>
                </w:p>
              </w:tc>
              <w:tc>
                <w:tcPr>
                  <w:tcW w:w="17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r>
              <w:tblPrEx>
                <w:tblLayout w:type="fixed"/>
                <w:tblCellMar>
                  <w:top w:w="0" w:type="dxa"/>
                  <w:left w:w="0" w:type="dxa"/>
                  <w:bottom w:w="0" w:type="dxa"/>
                  <w:right w:w="0" w:type="dxa"/>
                </w:tblCellMar>
              </w:tblPrEx>
              <w:trPr>
                <w:trHeight w:val="1020" w:hRule="atLeast"/>
              </w:trPr>
              <w:tc>
                <w:tcPr>
                  <w:tcW w:w="1048"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153"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社会公众或服务对象满意度</w:t>
                  </w:r>
                </w:p>
              </w:tc>
              <w:tc>
                <w:tcPr>
                  <w:tcW w:w="3937"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95%（含）以上计5分；85%（含）-95%，计3分；75%（含）-85%，计1分；低于75%计0分。</w:t>
                  </w:r>
                </w:p>
              </w:tc>
              <w:tc>
                <w:tcPr>
                  <w:tcW w:w="664"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5</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3</w:t>
                  </w:r>
                </w:p>
              </w:tc>
              <w:tc>
                <w:tcPr>
                  <w:tcW w:w="17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综合得分为94.4%，低于95%的原因是群众认可度不够</w:t>
                  </w:r>
                </w:p>
              </w:tc>
            </w:tr>
            <w:tr>
              <w:tblPrEx>
                <w:tblLayout w:type="fixed"/>
                <w:tblCellMar>
                  <w:top w:w="0" w:type="dxa"/>
                  <w:left w:w="0" w:type="dxa"/>
                  <w:bottom w:w="0" w:type="dxa"/>
                  <w:right w:w="0" w:type="dxa"/>
                </w:tblCellMar>
              </w:tblPrEx>
              <w:trPr>
                <w:trHeight w:val="60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总 分</w:t>
                  </w:r>
                </w:p>
              </w:tc>
              <w:tc>
                <w:tcPr>
                  <w:tcW w:w="11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14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3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95</w:t>
                  </w:r>
                </w:p>
              </w:tc>
              <w:tc>
                <w:tcPr>
                  <w:tcW w:w="17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方正仿宋_GBK" w:hAnsi="方正仿宋_GBK" w:eastAsia="方正仿宋_GBK" w:cs="方正仿宋_GBK"/>
                      <w:color w:val="333333"/>
                      <w:sz w:val="28"/>
                      <w:szCs w:val="28"/>
                    </w:rPr>
                  </w:pPr>
                </w:p>
              </w:tc>
            </w:tr>
          </w:tbl>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rPr>
            </w:pPr>
          </w:p>
          <w:p>
            <w:pPr>
              <w:pStyle w:val="4"/>
              <w:widowControl/>
              <w:adjustRightInd w:val="0"/>
              <w:snapToGrid w:val="0"/>
              <w:spacing w:before="0" w:beforeAutospacing="0" w:after="0" w:afterAutospacing="0"/>
              <w:jc w:val="center"/>
              <w:textAlignment w:val="center"/>
              <w:rPr>
                <w:rFonts w:hint="eastAsia" w:ascii="宋体" w:hAnsi="宋体" w:cs="宋体"/>
                <w:b/>
                <w:bCs/>
                <w:sz w:val="32"/>
                <w:szCs w:val="32"/>
              </w:rPr>
            </w:pPr>
          </w:p>
          <w:p>
            <w:pPr>
              <w:pStyle w:val="4"/>
              <w:widowControl/>
              <w:adjustRightInd w:val="0"/>
              <w:snapToGrid w:val="0"/>
              <w:spacing w:before="0" w:beforeAutospacing="0" w:after="0" w:afterAutospacing="0"/>
              <w:jc w:val="center"/>
              <w:textAlignment w:val="center"/>
              <w:rPr>
                <w:rFonts w:hint="eastAsia" w:ascii="宋体" w:hAnsi="宋体" w:cs="宋体"/>
                <w:b/>
                <w:bCs/>
                <w:sz w:val="32"/>
                <w:szCs w:val="32"/>
              </w:rPr>
            </w:pPr>
          </w:p>
          <w:p>
            <w:pPr>
              <w:pStyle w:val="4"/>
              <w:widowControl/>
              <w:adjustRightInd w:val="0"/>
              <w:snapToGrid w:val="0"/>
              <w:spacing w:before="0" w:beforeAutospacing="0" w:after="0" w:afterAutospacing="0"/>
              <w:jc w:val="center"/>
              <w:textAlignment w:val="center"/>
              <w:rPr>
                <w:rFonts w:hint="eastAsia" w:ascii="宋体" w:hAnsi="宋体" w:cs="宋体"/>
                <w:b/>
                <w:bCs/>
                <w:sz w:val="32"/>
                <w:szCs w:val="32"/>
              </w:rPr>
            </w:pPr>
          </w:p>
          <w:p>
            <w:pPr>
              <w:pStyle w:val="4"/>
              <w:widowControl/>
              <w:adjustRightInd w:val="0"/>
              <w:snapToGrid w:val="0"/>
              <w:spacing w:before="0" w:beforeAutospacing="0" w:after="0" w:afterAutospacing="0"/>
              <w:jc w:val="center"/>
              <w:textAlignment w:val="center"/>
              <w:rPr>
                <w:rFonts w:hint="eastAsia" w:ascii="宋体" w:hAnsi="宋体" w:cs="宋体"/>
              </w:rPr>
            </w:pPr>
            <w:r>
              <w:rPr>
                <w:rFonts w:hint="eastAsia" w:ascii="宋体" w:hAnsi="宋体" w:cs="宋体"/>
                <w:b/>
                <w:bCs/>
                <w:sz w:val="32"/>
                <w:szCs w:val="32"/>
              </w:rPr>
              <w:t>评价人员</w:t>
            </w:r>
          </w:p>
        </w:tc>
      </w:tr>
      <w:tr>
        <w:tblPrEx>
          <w:tblLayout w:type="fixed"/>
          <w:tblCellMar>
            <w:top w:w="0" w:type="dxa"/>
            <w:left w:w="0" w:type="dxa"/>
            <w:bottom w:w="0" w:type="dxa"/>
            <w:right w:w="0" w:type="dxa"/>
          </w:tblCellMar>
        </w:tblPrEx>
        <w:trPr>
          <w:gridAfter w:val="1"/>
          <w:wAfter w:w="506" w:type="dxa"/>
          <w:trHeight w:val="347" w:hRule="atLeast"/>
        </w:trPr>
        <w:tc>
          <w:tcPr>
            <w:tcW w:w="2238" w:type="dxa"/>
            <w:tcBorders>
              <w:top w:val="single" w:color="auto" w:sz="4" w:space="0"/>
              <w:left w:val="single" w:color="auto" w:sz="4" w:space="0"/>
              <w:bottom w:val="single" w:color="auto" w:sz="4" w:space="0"/>
              <w:right w:val="single" w:color="auto" w:sz="4"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宋体" w:hAnsi="宋体" w:cs="宋体"/>
                <w:sz w:val="28"/>
                <w:szCs w:val="28"/>
              </w:rPr>
            </w:pPr>
            <w:r>
              <w:rPr>
                <w:rFonts w:hint="eastAsia" w:ascii="宋体" w:hAnsi="宋体" w:cs="宋体"/>
                <w:sz w:val="28"/>
                <w:szCs w:val="28"/>
              </w:rPr>
              <w:t>姓  名</w:t>
            </w:r>
          </w:p>
        </w:tc>
        <w:tc>
          <w:tcPr>
            <w:tcW w:w="1716" w:type="dxa"/>
            <w:tcBorders>
              <w:top w:val="single" w:color="auto" w:sz="4" w:space="0"/>
              <w:left w:val="single" w:color="auto" w:sz="4" w:space="0"/>
              <w:bottom w:val="single" w:color="auto" w:sz="4" w:space="0"/>
              <w:right w:val="single" w:color="auto" w:sz="4"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宋体" w:hAnsi="宋体" w:cs="宋体"/>
                <w:sz w:val="28"/>
                <w:szCs w:val="28"/>
              </w:rPr>
            </w:pPr>
            <w:r>
              <w:rPr>
                <w:rFonts w:hint="eastAsia" w:ascii="宋体" w:hAnsi="宋体" w:cs="宋体"/>
                <w:sz w:val="28"/>
                <w:szCs w:val="28"/>
              </w:rPr>
              <w:t>职务/职称</w:t>
            </w:r>
          </w:p>
        </w:tc>
        <w:tc>
          <w:tcPr>
            <w:tcW w:w="3014" w:type="dxa"/>
            <w:tcBorders>
              <w:top w:val="single" w:color="auto" w:sz="4" w:space="0"/>
              <w:left w:val="single" w:color="auto" w:sz="4" w:space="0"/>
              <w:bottom w:val="single" w:color="auto" w:sz="4" w:space="0"/>
              <w:right w:val="single" w:color="auto" w:sz="4"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宋体" w:hAnsi="宋体" w:cs="宋体"/>
                <w:sz w:val="28"/>
                <w:szCs w:val="28"/>
              </w:rPr>
            </w:pPr>
            <w:r>
              <w:rPr>
                <w:rFonts w:hint="eastAsia" w:ascii="宋体" w:hAnsi="宋体" w:cs="宋体"/>
                <w:sz w:val="28"/>
                <w:szCs w:val="28"/>
              </w:rPr>
              <w:t>单  位</w:t>
            </w:r>
          </w:p>
        </w:tc>
        <w:tc>
          <w:tcPr>
            <w:tcW w:w="3845" w:type="dxa"/>
            <w:tcBorders>
              <w:top w:val="single" w:color="auto" w:sz="4" w:space="0"/>
              <w:left w:val="single" w:color="auto" w:sz="4" w:space="0"/>
              <w:bottom w:val="single" w:color="auto" w:sz="4" w:space="0"/>
              <w:right w:val="single" w:color="auto" w:sz="4"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宋体" w:hAnsi="宋体" w:cs="宋体"/>
                <w:sz w:val="28"/>
                <w:szCs w:val="28"/>
              </w:rPr>
            </w:pPr>
            <w:r>
              <w:rPr>
                <w:rFonts w:hint="eastAsia" w:ascii="宋体" w:hAnsi="宋体" w:cs="宋体"/>
                <w:sz w:val="28"/>
                <w:szCs w:val="28"/>
              </w:rPr>
              <w:t>签  字</w:t>
            </w:r>
          </w:p>
        </w:tc>
      </w:tr>
      <w:tr>
        <w:tblPrEx>
          <w:tblLayout w:type="fixed"/>
          <w:tblCellMar>
            <w:top w:w="0" w:type="dxa"/>
            <w:left w:w="0" w:type="dxa"/>
            <w:bottom w:w="0" w:type="dxa"/>
            <w:right w:w="0" w:type="dxa"/>
          </w:tblCellMar>
        </w:tblPrEx>
        <w:trPr>
          <w:gridAfter w:val="1"/>
          <w:wAfter w:w="506" w:type="dxa"/>
          <w:trHeight w:val="420" w:hRule="atLeast"/>
        </w:trPr>
        <w:tc>
          <w:tcPr>
            <w:tcW w:w="2238" w:type="dxa"/>
            <w:tcBorders>
              <w:top w:val="single" w:color="auto" w:sz="4" w:space="0"/>
              <w:left w:val="single" w:color="auto" w:sz="6" w:space="0"/>
              <w:bottom w:val="single" w:color="auto" w:sz="6" w:space="0"/>
              <w:right w:val="single" w:color="auto" w:sz="6" w:space="0"/>
            </w:tcBorders>
            <w:noWrap w:val="0"/>
            <w:tcMar>
              <w:left w:w="15" w:type="dxa"/>
              <w:right w:w="15" w:type="dxa"/>
            </w:tcMar>
            <w:vAlign w:val="center"/>
          </w:tcPr>
          <w:p>
            <w:pPr>
              <w:widowControl/>
              <w:adjustRightInd w:val="0"/>
              <w:snapToGrid w:val="0"/>
              <w:jc w:val="center"/>
              <w:textAlignment w:val="center"/>
              <w:rPr>
                <w:rFonts w:hint="eastAsia" w:ascii="宋体" w:hAnsi="宋体" w:cs="宋体"/>
                <w:sz w:val="28"/>
                <w:szCs w:val="28"/>
              </w:rPr>
            </w:pPr>
            <w:r>
              <w:rPr>
                <w:rFonts w:hint="eastAsia" w:ascii="宋体" w:hAnsi="宋体" w:cs="宋体"/>
                <w:sz w:val="28"/>
                <w:szCs w:val="28"/>
              </w:rPr>
              <w:t>张光平（组长）</w:t>
            </w:r>
          </w:p>
        </w:tc>
        <w:tc>
          <w:tcPr>
            <w:tcW w:w="1716" w:type="dxa"/>
            <w:tcBorders>
              <w:top w:val="single" w:color="auto" w:sz="4" w:space="0"/>
              <w:left w:val="nil"/>
              <w:bottom w:val="single" w:color="auto" w:sz="6" w:space="0"/>
              <w:right w:val="single" w:color="auto" w:sz="6" w:space="0"/>
            </w:tcBorders>
            <w:noWrap w:val="0"/>
            <w:tcMar>
              <w:left w:w="15" w:type="dxa"/>
              <w:right w:w="15" w:type="dxa"/>
            </w:tcMar>
            <w:vAlign w:val="center"/>
          </w:tcPr>
          <w:p>
            <w:pPr>
              <w:widowControl/>
              <w:adjustRightInd w:val="0"/>
              <w:snapToGrid w:val="0"/>
              <w:jc w:val="center"/>
              <w:textAlignment w:val="center"/>
              <w:rPr>
                <w:rFonts w:hint="eastAsia" w:ascii="宋体" w:hAnsi="宋体" w:cs="宋体"/>
                <w:sz w:val="28"/>
                <w:szCs w:val="28"/>
              </w:rPr>
            </w:pPr>
            <w:r>
              <w:rPr>
                <w:rFonts w:hint="eastAsia" w:ascii="宋体" w:hAnsi="宋体" w:cs="宋体"/>
                <w:sz w:val="28"/>
                <w:szCs w:val="28"/>
              </w:rPr>
              <w:t>党组书记、理事长</w:t>
            </w:r>
          </w:p>
        </w:tc>
        <w:tc>
          <w:tcPr>
            <w:tcW w:w="3014" w:type="dxa"/>
            <w:tcBorders>
              <w:top w:val="single" w:color="auto" w:sz="4" w:space="0"/>
              <w:left w:val="nil"/>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jc w:val="center"/>
              <w:textAlignment w:val="center"/>
              <w:rPr>
                <w:rFonts w:hint="eastAsia" w:ascii="宋体" w:hAnsi="宋体" w:cs="宋体"/>
                <w:sz w:val="28"/>
                <w:szCs w:val="28"/>
              </w:rPr>
            </w:pPr>
            <w:r>
              <w:rPr>
                <w:rFonts w:hint="eastAsia" w:ascii="宋体" w:hAnsi="宋体" w:cs="宋体"/>
                <w:sz w:val="28"/>
                <w:szCs w:val="28"/>
              </w:rPr>
              <w:t>重庆市万州区残疾人联合会</w:t>
            </w:r>
          </w:p>
        </w:tc>
        <w:tc>
          <w:tcPr>
            <w:tcW w:w="3845" w:type="dxa"/>
            <w:tcBorders>
              <w:top w:val="single" w:color="auto" w:sz="4" w:space="0"/>
              <w:left w:val="nil"/>
              <w:bottom w:val="single" w:color="auto" w:sz="6" w:space="0"/>
              <w:right w:val="single" w:color="auto" w:sz="6" w:space="0"/>
            </w:tcBorders>
            <w:noWrap w:val="0"/>
            <w:tcMar>
              <w:left w:w="15" w:type="dxa"/>
              <w:right w:w="15" w:type="dxa"/>
            </w:tcMar>
            <w:vAlign w:val="center"/>
          </w:tcPr>
          <w:p>
            <w:pPr>
              <w:widowControl/>
              <w:adjustRightInd w:val="0"/>
              <w:snapToGrid w:val="0"/>
              <w:jc w:val="left"/>
              <w:rPr>
                <w:rFonts w:hint="eastAsia" w:ascii="宋体" w:hAnsi="宋体" w:cs="宋体"/>
                <w:sz w:val="28"/>
                <w:szCs w:val="28"/>
              </w:rPr>
            </w:pPr>
          </w:p>
        </w:tc>
      </w:tr>
      <w:tr>
        <w:tblPrEx>
          <w:tblLayout w:type="fixed"/>
          <w:tblCellMar>
            <w:top w:w="0" w:type="dxa"/>
            <w:left w:w="0" w:type="dxa"/>
            <w:bottom w:w="0" w:type="dxa"/>
            <w:right w:w="0" w:type="dxa"/>
          </w:tblCellMar>
        </w:tblPrEx>
        <w:trPr>
          <w:gridAfter w:val="1"/>
          <w:wAfter w:w="506" w:type="dxa"/>
          <w:trHeight w:val="420" w:hRule="atLeast"/>
        </w:trPr>
        <w:tc>
          <w:tcPr>
            <w:tcW w:w="2238" w:type="dxa"/>
            <w:tcBorders>
              <w:top w:val="nil"/>
              <w:left w:val="single" w:color="auto" w:sz="6" w:space="0"/>
              <w:bottom w:val="single" w:color="auto" w:sz="6" w:space="0"/>
              <w:right w:val="single" w:color="auto" w:sz="6" w:space="0"/>
            </w:tcBorders>
            <w:noWrap w:val="0"/>
            <w:tcMar>
              <w:left w:w="15" w:type="dxa"/>
              <w:right w:w="15" w:type="dxa"/>
            </w:tcMar>
            <w:vAlign w:val="center"/>
          </w:tcPr>
          <w:p>
            <w:pPr>
              <w:widowControl/>
              <w:adjustRightInd w:val="0"/>
              <w:snapToGrid w:val="0"/>
              <w:jc w:val="center"/>
              <w:textAlignment w:val="center"/>
              <w:rPr>
                <w:rFonts w:hint="eastAsia" w:ascii="宋体" w:hAnsi="宋体" w:cs="宋体"/>
                <w:sz w:val="28"/>
                <w:szCs w:val="28"/>
              </w:rPr>
            </w:pPr>
            <w:r>
              <w:rPr>
                <w:rFonts w:hint="eastAsia" w:ascii="宋体" w:hAnsi="宋体" w:cs="宋体"/>
                <w:sz w:val="28"/>
                <w:szCs w:val="28"/>
              </w:rPr>
              <w:t>余春燕（副组长）</w:t>
            </w:r>
          </w:p>
        </w:tc>
        <w:tc>
          <w:tcPr>
            <w:tcW w:w="1716" w:type="dxa"/>
            <w:tcBorders>
              <w:top w:val="nil"/>
              <w:left w:val="nil"/>
              <w:bottom w:val="single" w:color="auto" w:sz="6" w:space="0"/>
              <w:right w:val="single" w:color="auto" w:sz="6" w:space="0"/>
            </w:tcBorders>
            <w:noWrap w:val="0"/>
            <w:tcMar>
              <w:left w:w="15" w:type="dxa"/>
              <w:right w:w="15" w:type="dxa"/>
            </w:tcMar>
            <w:vAlign w:val="center"/>
          </w:tcPr>
          <w:p>
            <w:pPr>
              <w:widowControl/>
              <w:adjustRightInd w:val="0"/>
              <w:snapToGrid w:val="0"/>
              <w:jc w:val="center"/>
              <w:textAlignment w:val="center"/>
              <w:rPr>
                <w:rFonts w:hint="eastAsia" w:ascii="宋体" w:hAnsi="宋体" w:cs="宋体"/>
                <w:sz w:val="28"/>
                <w:szCs w:val="28"/>
              </w:rPr>
            </w:pPr>
            <w:r>
              <w:rPr>
                <w:rFonts w:hint="eastAsia" w:ascii="宋体" w:hAnsi="宋体" w:cs="宋体"/>
                <w:sz w:val="28"/>
                <w:szCs w:val="28"/>
              </w:rPr>
              <w:t>党组成员、副理事长</w:t>
            </w:r>
          </w:p>
        </w:tc>
        <w:tc>
          <w:tcPr>
            <w:tcW w:w="3014" w:type="dxa"/>
            <w:tcBorders>
              <w:top w:val="nil"/>
              <w:left w:val="nil"/>
              <w:bottom w:val="single" w:color="auto" w:sz="6" w:space="0"/>
              <w:right w:val="single" w:color="auto" w:sz="6" w:space="0"/>
            </w:tcBorders>
            <w:noWrap w:val="0"/>
            <w:tcMar>
              <w:left w:w="15" w:type="dxa"/>
              <w:right w:w="15" w:type="dxa"/>
            </w:tcMar>
            <w:vAlign w:val="center"/>
          </w:tcPr>
          <w:p>
            <w:pPr>
              <w:widowControl/>
              <w:adjustRightInd w:val="0"/>
              <w:snapToGrid w:val="0"/>
              <w:jc w:val="center"/>
              <w:textAlignment w:val="center"/>
              <w:rPr>
                <w:rFonts w:hint="eastAsia" w:ascii="宋体" w:hAnsi="宋体" w:cs="宋体"/>
                <w:sz w:val="28"/>
                <w:szCs w:val="28"/>
              </w:rPr>
            </w:pPr>
            <w:r>
              <w:rPr>
                <w:rFonts w:hint="eastAsia" w:ascii="宋体" w:hAnsi="宋体" w:cs="宋体"/>
                <w:sz w:val="28"/>
                <w:szCs w:val="28"/>
              </w:rPr>
              <w:t>重庆市万州区残疾人联合会</w:t>
            </w:r>
          </w:p>
        </w:tc>
        <w:tc>
          <w:tcPr>
            <w:tcW w:w="3845" w:type="dxa"/>
            <w:tcBorders>
              <w:top w:val="nil"/>
              <w:left w:val="nil"/>
              <w:bottom w:val="single" w:color="auto" w:sz="6" w:space="0"/>
              <w:right w:val="single" w:color="auto" w:sz="6" w:space="0"/>
            </w:tcBorders>
            <w:noWrap w:val="0"/>
            <w:tcMar>
              <w:left w:w="15" w:type="dxa"/>
              <w:right w:w="15" w:type="dxa"/>
            </w:tcMar>
            <w:vAlign w:val="center"/>
          </w:tcPr>
          <w:p>
            <w:pPr>
              <w:widowControl/>
              <w:adjustRightInd w:val="0"/>
              <w:snapToGrid w:val="0"/>
              <w:jc w:val="left"/>
              <w:rPr>
                <w:rFonts w:hint="eastAsia" w:ascii="宋体" w:hAnsi="宋体" w:cs="宋体"/>
                <w:sz w:val="28"/>
                <w:szCs w:val="28"/>
              </w:rPr>
            </w:pPr>
          </w:p>
        </w:tc>
      </w:tr>
      <w:tr>
        <w:tblPrEx>
          <w:tblLayout w:type="fixed"/>
          <w:tblCellMar>
            <w:top w:w="0" w:type="dxa"/>
            <w:left w:w="0" w:type="dxa"/>
            <w:bottom w:w="0" w:type="dxa"/>
            <w:right w:w="0" w:type="dxa"/>
          </w:tblCellMar>
        </w:tblPrEx>
        <w:trPr>
          <w:gridAfter w:val="1"/>
          <w:wAfter w:w="506" w:type="dxa"/>
          <w:trHeight w:val="270" w:hRule="atLeast"/>
        </w:trPr>
        <w:tc>
          <w:tcPr>
            <w:tcW w:w="2238" w:type="dxa"/>
            <w:tcBorders>
              <w:top w:val="nil"/>
              <w:left w:val="single" w:color="auto" w:sz="6" w:space="0"/>
              <w:bottom w:val="single" w:color="auto" w:sz="6" w:space="0"/>
              <w:right w:val="single" w:color="auto" w:sz="6" w:space="0"/>
            </w:tcBorders>
            <w:noWrap w:val="0"/>
            <w:tcMar>
              <w:left w:w="15" w:type="dxa"/>
              <w:right w:w="15" w:type="dxa"/>
            </w:tcMar>
            <w:vAlign w:val="center"/>
          </w:tcPr>
          <w:p>
            <w:pPr>
              <w:widowControl/>
              <w:adjustRightInd w:val="0"/>
              <w:snapToGrid w:val="0"/>
              <w:jc w:val="center"/>
              <w:textAlignment w:val="center"/>
              <w:rPr>
                <w:rFonts w:hint="eastAsia" w:ascii="宋体" w:hAnsi="宋体" w:cs="宋体"/>
                <w:sz w:val="28"/>
                <w:szCs w:val="28"/>
              </w:rPr>
            </w:pPr>
            <w:r>
              <w:rPr>
                <w:rFonts w:hint="eastAsia" w:ascii="宋体" w:hAnsi="宋体" w:cs="宋体"/>
                <w:sz w:val="28"/>
                <w:szCs w:val="28"/>
              </w:rPr>
              <w:t>余海波（副组长）</w:t>
            </w:r>
          </w:p>
        </w:tc>
        <w:tc>
          <w:tcPr>
            <w:tcW w:w="1716" w:type="dxa"/>
            <w:tcBorders>
              <w:top w:val="nil"/>
              <w:left w:val="nil"/>
              <w:bottom w:val="single" w:color="auto" w:sz="6" w:space="0"/>
              <w:right w:val="single" w:color="auto" w:sz="6" w:space="0"/>
            </w:tcBorders>
            <w:noWrap w:val="0"/>
            <w:tcMar>
              <w:left w:w="15" w:type="dxa"/>
              <w:right w:w="15" w:type="dxa"/>
            </w:tcMar>
            <w:vAlign w:val="center"/>
          </w:tcPr>
          <w:p>
            <w:pPr>
              <w:widowControl/>
              <w:adjustRightInd w:val="0"/>
              <w:snapToGrid w:val="0"/>
              <w:jc w:val="center"/>
              <w:textAlignment w:val="center"/>
              <w:rPr>
                <w:rFonts w:hint="eastAsia" w:ascii="宋体" w:hAnsi="宋体" w:cs="宋体"/>
                <w:sz w:val="28"/>
                <w:szCs w:val="28"/>
              </w:rPr>
            </w:pPr>
            <w:r>
              <w:rPr>
                <w:rFonts w:hint="eastAsia" w:ascii="宋体" w:hAnsi="宋体" w:cs="宋体"/>
                <w:sz w:val="28"/>
                <w:szCs w:val="28"/>
              </w:rPr>
              <w:t>党组成员、副理事长</w:t>
            </w:r>
          </w:p>
        </w:tc>
        <w:tc>
          <w:tcPr>
            <w:tcW w:w="3014" w:type="dxa"/>
            <w:tcBorders>
              <w:top w:val="nil"/>
              <w:left w:val="nil"/>
              <w:bottom w:val="single" w:color="auto" w:sz="6" w:space="0"/>
              <w:right w:val="single" w:color="auto" w:sz="6" w:space="0"/>
            </w:tcBorders>
            <w:noWrap w:val="0"/>
            <w:tcMar>
              <w:left w:w="15" w:type="dxa"/>
              <w:right w:w="15" w:type="dxa"/>
            </w:tcMar>
            <w:vAlign w:val="top"/>
          </w:tcPr>
          <w:p>
            <w:pPr>
              <w:widowControl/>
              <w:adjustRightInd w:val="0"/>
              <w:snapToGrid w:val="0"/>
              <w:jc w:val="center"/>
              <w:textAlignment w:val="center"/>
              <w:rPr>
                <w:rFonts w:hint="eastAsia" w:ascii="宋体" w:hAnsi="宋体" w:cs="宋体"/>
                <w:sz w:val="28"/>
                <w:szCs w:val="28"/>
              </w:rPr>
            </w:pPr>
            <w:r>
              <w:rPr>
                <w:rFonts w:hint="eastAsia" w:ascii="宋体" w:hAnsi="宋体" w:cs="宋体"/>
                <w:sz w:val="28"/>
                <w:szCs w:val="28"/>
              </w:rPr>
              <w:t>重庆市万州区残疾人联合会</w:t>
            </w:r>
          </w:p>
        </w:tc>
        <w:tc>
          <w:tcPr>
            <w:tcW w:w="3845" w:type="dxa"/>
            <w:tcBorders>
              <w:top w:val="nil"/>
              <w:left w:val="nil"/>
              <w:bottom w:val="single" w:color="auto" w:sz="6" w:space="0"/>
              <w:right w:val="single" w:color="auto" w:sz="6" w:space="0"/>
            </w:tcBorders>
            <w:noWrap w:val="0"/>
            <w:tcMar>
              <w:left w:w="15" w:type="dxa"/>
              <w:right w:w="15" w:type="dxa"/>
            </w:tcMar>
            <w:vAlign w:val="center"/>
          </w:tcPr>
          <w:p>
            <w:pPr>
              <w:widowControl/>
              <w:adjustRightInd w:val="0"/>
              <w:snapToGrid w:val="0"/>
              <w:jc w:val="left"/>
              <w:rPr>
                <w:rFonts w:hint="eastAsia" w:ascii="宋体" w:hAnsi="宋体" w:cs="宋体"/>
                <w:sz w:val="28"/>
                <w:szCs w:val="28"/>
              </w:rPr>
            </w:pPr>
          </w:p>
        </w:tc>
      </w:tr>
      <w:tr>
        <w:tblPrEx>
          <w:tblLayout w:type="fixed"/>
          <w:tblCellMar>
            <w:top w:w="0" w:type="dxa"/>
            <w:left w:w="0" w:type="dxa"/>
            <w:bottom w:w="0" w:type="dxa"/>
            <w:right w:w="0" w:type="dxa"/>
          </w:tblCellMar>
        </w:tblPrEx>
        <w:trPr>
          <w:gridAfter w:val="1"/>
          <w:wAfter w:w="506" w:type="dxa"/>
          <w:trHeight w:val="240" w:hRule="atLeast"/>
        </w:trPr>
        <w:tc>
          <w:tcPr>
            <w:tcW w:w="2238" w:type="dxa"/>
            <w:tcBorders>
              <w:top w:val="nil"/>
              <w:left w:val="single" w:color="auto" w:sz="6" w:space="0"/>
              <w:bottom w:val="single" w:color="auto" w:sz="6" w:space="0"/>
              <w:right w:val="single" w:color="auto" w:sz="6" w:space="0"/>
            </w:tcBorders>
            <w:noWrap w:val="0"/>
            <w:tcMar>
              <w:left w:w="15" w:type="dxa"/>
              <w:right w:w="15" w:type="dxa"/>
            </w:tcMar>
            <w:vAlign w:val="center"/>
          </w:tcPr>
          <w:p>
            <w:pPr>
              <w:widowControl/>
              <w:adjustRightInd w:val="0"/>
              <w:snapToGrid w:val="0"/>
              <w:jc w:val="center"/>
              <w:textAlignment w:val="center"/>
              <w:rPr>
                <w:rFonts w:hint="eastAsia" w:ascii="宋体" w:hAnsi="宋体" w:cs="宋体"/>
                <w:sz w:val="28"/>
                <w:szCs w:val="28"/>
              </w:rPr>
            </w:pPr>
            <w:r>
              <w:rPr>
                <w:rFonts w:hint="eastAsia" w:ascii="宋体" w:hAnsi="宋体" w:cs="宋体"/>
                <w:sz w:val="28"/>
                <w:szCs w:val="28"/>
              </w:rPr>
              <w:t>段贤彬</w:t>
            </w:r>
          </w:p>
        </w:tc>
        <w:tc>
          <w:tcPr>
            <w:tcW w:w="1716" w:type="dxa"/>
            <w:tcBorders>
              <w:top w:val="nil"/>
              <w:left w:val="nil"/>
              <w:bottom w:val="single" w:color="auto" w:sz="6" w:space="0"/>
              <w:right w:val="single" w:color="auto" w:sz="6" w:space="0"/>
            </w:tcBorders>
            <w:noWrap w:val="0"/>
            <w:tcMar>
              <w:left w:w="15" w:type="dxa"/>
              <w:right w:w="15" w:type="dxa"/>
            </w:tcMar>
            <w:vAlign w:val="center"/>
          </w:tcPr>
          <w:p>
            <w:pPr>
              <w:widowControl/>
              <w:adjustRightInd w:val="0"/>
              <w:snapToGrid w:val="0"/>
              <w:jc w:val="center"/>
              <w:textAlignment w:val="center"/>
              <w:rPr>
                <w:rFonts w:hint="eastAsia" w:ascii="宋体" w:hAnsi="宋体" w:cs="宋体"/>
                <w:sz w:val="28"/>
                <w:szCs w:val="28"/>
              </w:rPr>
            </w:pPr>
            <w:r>
              <w:rPr>
                <w:rFonts w:hint="eastAsia" w:ascii="宋体" w:hAnsi="宋体" w:cs="宋体"/>
                <w:sz w:val="28"/>
                <w:szCs w:val="28"/>
              </w:rPr>
              <w:t>正处级干部</w:t>
            </w:r>
          </w:p>
        </w:tc>
        <w:tc>
          <w:tcPr>
            <w:tcW w:w="3014" w:type="dxa"/>
            <w:tcBorders>
              <w:top w:val="nil"/>
              <w:left w:val="nil"/>
              <w:bottom w:val="single" w:color="auto" w:sz="6" w:space="0"/>
              <w:right w:val="single" w:color="auto" w:sz="6" w:space="0"/>
            </w:tcBorders>
            <w:noWrap w:val="0"/>
            <w:tcMar>
              <w:left w:w="15" w:type="dxa"/>
              <w:right w:w="15" w:type="dxa"/>
            </w:tcMar>
            <w:vAlign w:val="top"/>
          </w:tcPr>
          <w:p>
            <w:pPr>
              <w:widowControl/>
              <w:adjustRightInd w:val="0"/>
              <w:snapToGrid w:val="0"/>
              <w:jc w:val="center"/>
              <w:textAlignment w:val="center"/>
              <w:rPr>
                <w:rFonts w:hint="eastAsia" w:ascii="宋体" w:hAnsi="宋体" w:cs="宋体"/>
                <w:sz w:val="28"/>
                <w:szCs w:val="28"/>
              </w:rPr>
            </w:pPr>
            <w:r>
              <w:rPr>
                <w:rFonts w:hint="eastAsia" w:ascii="宋体" w:hAnsi="宋体" w:cs="宋体"/>
                <w:sz w:val="28"/>
                <w:szCs w:val="28"/>
              </w:rPr>
              <w:t>重庆市万州区残疾人联合会</w:t>
            </w:r>
          </w:p>
        </w:tc>
        <w:tc>
          <w:tcPr>
            <w:tcW w:w="3845" w:type="dxa"/>
            <w:tcBorders>
              <w:top w:val="nil"/>
              <w:left w:val="nil"/>
              <w:bottom w:val="single" w:color="auto" w:sz="6" w:space="0"/>
              <w:right w:val="single" w:color="auto" w:sz="6" w:space="0"/>
            </w:tcBorders>
            <w:noWrap w:val="0"/>
            <w:tcMar>
              <w:left w:w="15" w:type="dxa"/>
              <w:right w:w="15" w:type="dxa"/>
            </w:tcMar>
            <w:vAlign w:val="center"/>
          </w:tcPr>
          <w:p>
            <w:pPr>
              <w:widowControl/>
              <w:adjustRightInd w:val="0"/>
              <w:snapToGrid w:val="0"/>
              <w:jc w:val="left"/>
              <w:rPr>
                <w:rFonts w:hint="eastAsia" w:ascii="宋体" w:hAnsi="宋体" w:cs="宋体"/>
                <w:sz w:val="28"/>
                <w:szCs w:val="28"/>
              </w:rPr>
            </w:pPr>
          </w:p>
        </w:tc>
      </w:tr>
      <w:tr>
        <w:tblPrEx>
          <w:tblLayout w:type="fixed"/>
          <w:tblCellMar>
            <w:top w:w="0" w:type="dxa"/>
            <w:left w:w="0" w:type="dxa"/>
            <w:bottom w:w="0" w:type="dxa"/>
            <w:right w:w="0" w:type="dxa"/>
          </w:tblCellMar>
        </w:tblPrEx>
        <w:trPr>
          <w:gridAfter w:val="1"/>
          <w:wAfter w:w="506" w:type="dxa"/>
          <w:trHeight w:val="375" w:hRule="atLeast"/>
        </w:trPr>
        <w:tc>
          <w:tcPr>
            <w:tcW w:w="2238" w:type="dxa"/>
            <w:tcBorders>
              <w:top w:val="nil"/>
              <w:left w:val="single" w:color="auto" w:sz="6" w:space="0"/>
              <w:bottom w:val="single" w:color="auto" w:sz="6" w:space="0"/>
              <w:right w:val="single" w:color="auto" w:sz="6" w:space="0"/>
            </w:tcBorders>
            <w:noWrap w:val="0"/>
            <w:tcMar>
              <w:left w:w="15" w:type="dxa"/>
              <w:right w:w="15" w:type="dxa"/>
            </w:tcMar>
            <w:vAlign w:val="center"/>
          </w:tcPr>
          <w:p>
            <w:pPr>
              <w:widowControl/>
              <w:adjustRightInd w:val="0"/>
              <w:snapToGrid w:val="0"/>
              <w:jc w:val="center"/>
              <w:textAlignment w:val="center"/>
              <w:rPr>
                <w:rFonts w:hint="eastAsia" w:ascii="宋体" w:hAnsi="宋体" w:cs="宋体"/>
                <w:sz w:val="28"/>
                <w:szCs w:val="28"/>
              </w:rPr>
            </w:pPr>
            <w:r>
              <w:rPr>
                <w:rFonts w:hint="eastAsia" w:ascii="宋体" w:hAnsi="宋体" w:cs="宋体"/>
                <w:sz w:val="28"/>
                <w:szCs w:val="28"/>
              </w:rPr>
              <w:t>王承伦</w:t>
            </w:r>
          </w:p>
        </w:tc>
        <w:tc>
          <w:tcPr>
            <w:tcW w:w="1716" w:type="dxa"/>
            <w:tcBorders>
              <w:top w:val="nil"/>
              <w:left w:val="nil"/>
              <w:bottom w:val="single" w:color="auto" w:sz="6" w:space="0"/>
              <w:right w:val="single" w:color="auto" w:sz="6" w:space="0"/>
            </w:tcBorders>
            <w:noWrap w:val="0"/>
            <w:tcMar>
              <w:left w:w="15" w:type="dxa"/>
              <w:right w:w="15" w:type="dxa"/>
            </w:tcMar>
            <w:vAlign w:val="center"/>
          </w:tcPr>
          <w:p>
            <w:pPr>
              <w:widowControl/>
              <w:adjustRightInd w:val="0"/>
              <w:snapToGrid w:val="0"/>
              <w:jc w:val="center"/>
              <w:textAlignment w:val="center"/>
              <w:rPr>
                <w:rFonts w:hint="eastAsia" w:ascii="宋体" w:hAnsi="宋体" w:cs="宋体"/>
                <w:sz w:val="28"/>
                <w:szCs w:val="28"/>
              </w:rPr>
            </w:pPr>
            <w:r>
              <w:rPr>
                <w:rFonts w:hint="eastAsia" w:ascii="宋体" w:hAnsi="宋体" w:cs="宋体"/>
                <w:sz w:val="28"/>
                <w:szCs w:val="28"/>
              </w:rPr>
              <w:t>调研员</w:t>
            </w:r>
          </w:p>
        </w:tc>
        <w:tc>
          <w:tcPr>
            <w:tcW w:w="3014" w:type="dxa"/>
            <w:tcBorders>
              <w:top w:val="nil"/>
              <w:left w:val="nil"/>
              <w:bottom w:val="single" w:color="auto" w:sz="6" w:space="0"/>
              <w:right w:val="single" w:color="auto" w:sz="6" w:space="0"/>
            </w:tcBorders>
            <w:noWrap w:val="0"/>
            <w:tcMar>
              <w:left w:w="15" w:type="dxa"/>
              <w:right w:w="15" w:type="dxa"/>
            </w:tcMar>
            <w:vAlign w:val="top"/>
          </w:tcPr>
          <w:p>
            <w:pPr>
              <w:widowControl/>
              <w:adjustRightInd w:val="0"/>
              <w:snapToGrid w:val="0"/>
              <w:jc w:val="center"/>
              <w:textAlignment w:val="center"/>
              <w:rPr>
                <w:rFonts w:hint="eastAsia" w:ascii="宋体" w:hAnsi="宋体" w:cs="宋体"/>
                <w:sz w:val="28"/>
                <w:szCs w:val="28"/>
              </w:rPr>
            </w:pPr>
            <w:r>
              <w:rPr>
                <w:rFonts w:hint="eastAsia" w:ascii="宋体" w:hAnsi="宋体" w:cs="宋体"/>
                <w:sz w:val="28"/>
                <w:szCs w:val="28"/>
              </w:rPr>
              <w:t>重庆市万州区残疾人联合会</w:t>
            </w:r>
          </w:p>
        </w:tc>
        <w:tc>
          <w:tcPr>
            <w:tcW w:w="3845" w:type="dxa"/>
            <w:tcBorders>
              <w:top w:val="nil"/>
              <w:left w:val="nil"/>
              <w:bottom w:val="single" w:color="auto" w:sz="6" w:space="0"/>
              <w:right w:val="single" w:color="auto" w:sz="6" w:space="0"/>
            </w:tcBorders>
            <w:noWrap w:val="0"/>
            <w:tcMar>
              <w:left w:w="15" w:type="dxa"/>
              <w:right w:w="15" w:type="dxa"/>
            </w:tcMar>
            <w:vAlign w:val="center"/>
          </w:tcPr>
          <w:p>
            <w:pPr>
              <w:widowControl/>
              <w:adjustRightInd w:val="0"/>
              <w:snapToGrid w:val="0"/>
              <w:jc w:val="left"/>
              <w:rPr>
                <w:rFonts w:hint="eastAsia" w:ascii="宋体" w:hAnsi="宋体" w:cs="宋体"/>
                <w:sz w:val="28"/>
                <w:szCs w:val="28"/>
              </w:rPr>
            </w:pPr>
          </w:p>
        </w:tc>
      </w:tr>
      <w:tr>
        <w:tblPrEx>
          <w:tblLayout w:type="fixed"/>
          <w:tblCellMar>
            <w:top w:w="0" w:type="dxa"/>
            <w:left w:w="0" w:type="dxa"/>
            <w:bottom w:w="0" w:type="dxa"/>
            <w:right w:w="0" w:type="dxa"/>
          </w:tblCellMar>
        </w:tblPrEx>
        <w:trPr>
          <w:gridAfter w:val="1"/>
          <w:wAfter w:w="506" w:type="dxa"/>
          <w:trHeight w:val="735" w:hRule="atLeast"/>
        </w:trPr>
        <w:tc>
          <w:tcPr>
            <w:tcW w:w="10813" w:type="dxa"/>
            <w:gridSpan w:val="4"/>
            <w:tcBorders>
              <w:top w:val="nil"/>
              <w:left w:val="single" w:color="auto" w:sz="6"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textAlignment w:val="center"/>
              <w:rPr>
                <w:rFonts w:hint="eastAsia" w:ascii="宋体" w:hAnsi="宋体" w:cs="宋体"/>
                <w:sz w:val="28"/>
                <w:szCs w:val="28"/>
              </w:rPr>
            </w:pPr>
            <w:r>
              <w:rPr>
                <w:rFonts w:hint="eastAsia" w:ascii="宋体" w:hAnsi="宋体" w:cs="宋体"/>
                <w:sz w:val="28"/>
                <w:szCs w:val="28"/>
              </w:rPr>
              <w:t>评价组组长（签字）：</w:t>
            </w:r>
          </w:p>
          <w:p>
            <w:pPr>
              <w:pStyle w:val="4"/>
              <w:widowControl/>
              <w:adjustRightInd w:val="0"/>
              <w:snapToGrid w:val="0"/>
              <w:spacing w:before="0" w:beforeAutospacing="0" w:after="0" w:afterAutospacing="0"/>
              <w:textAlignment w:val="center"/>
              <w:rPr>
                <w:rFonts w:hint="eastAsia" w:ascii="宋体" w:hAnsi="宋体" w:cs="宋体"/>
                <w:sz w:val="28"/>
                <w:szCs w:val="28"/>
              </w:rPr>
            </w:pPr>
            <w:r>
              <w:rPr>
                <w:rFonts w:hint="eastAsia" w:ascii="宋体" w:hAnsi="宋体" w:cs="宋体"/>
                <w:sz w:val="28"/>
                <w:szCs w:val="28"/>
              </w:rPr>
              <w:t> </w:t>
            </w:r>
          </w:p>
          <w:p>
            <w:pPr>
              <w:pStyle w:val="4"/>
              <w:widowControl/>
              <w:adjustRightInd w:val="0"/>
              <w:snapToGrid w:val="0"/>
              <w:spacing w:before="0" w:beforeAutospacing="0" w:after="0" w:afterAutospacing="0"/>
              <w:textAlignment w:val="center"/>
              <w:rPr>
                <w:rFonts w:hint="eastAsia" w:ascii="宋体" w:hAnsi="宋体" w:cs="宋体"/>
                <w:sz w:val="28"/>
                <w:szCs w:val="28"/>
              </w:rPr>
            </w:pPr>
            <w:r>
              <w:rPr>
                <w:rFonts w:hint="eastAsia" w:ascii="宋体" w:hAnsi="宋体" w:cs="宋体"/>
                <w:sz w:val="28"/>
                <w:szCs w:val="28"/>
              </w:rPr>
              <w:t>                                                              年    月    日</w:t>
            </w:r>
          </w:p>
        </w:tc>
      </w:tr>
      <w:tr>
        <w:tblPrEx>
          <w:tblLayout w:type="fixed"/>
          <w:tblCellMar>
            <w:top w:w="0" w:type="dxa"/>
            <w:left w:w="0" w:type="dxa"/>
            <w:bottom w:w="0" w:type="dxa"/>
            <w:right w:w="0" w:type="dxa"/>
          </w:tblCellMar>
        </w:tblPrEx>
        <w:trPr>
          <w:gridAfter w:val="1"/>
          <w:wAfter w:w="506" w:type="dxa"/>
          <w:trHeight w:val="1088" w:hRule="atLeast"/>
        </w:trPr>
        <w:tc>
          <w:tcPr>
            <w:tcW w:w="10813" w:type="dxa"/>
            <w:gridSpan w:val="4"/>
            <w:tcBorders>
              <w:top w:val="nil"/>
              <w:left w:val="single" w:color="auto" w:sz="6"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textAlignment w:val="center"/>
              <w:rPr>
                <w:rFonts w:hint="eastAsia" w:ascii="宋体" w:hAnsi="宋体" w:cs="宋体"/>
                <w:sz w:val="28"/>
                <w:szCs w:val="28"/>
              </w:rPr>
            </w:pPr>
            <w:r>
              <w:rPr>
                <w:rFonts w:hint="eastAsia" w:ascii="宋体" w:hAnsi="宋体" w:cs="宋体"/>
                <w:sz w:val="28"/>
                <w:szCs w:val="28"/>
              </w:rPr>
              <w:t>部门（单位）意见：</w:t>
            </w:r>
          </w:p>
          <w:p>
            <w:pPr>
              <w:pStyle w:val="4"/>
              <w:widowControl/>
              <w:adjustRightInd w:val="0"/>
              <w:snapToGrid w:val="0"/>
              <w:spacing w:before="0" w:beforeAutospacing="0" w:after="0" w:afterAutospacing="0"/>
              <w:textAlignment w:val="center"/>
              <w:rPr>
                <w:rFonts w:hint="eastAsia" w:ascii="宋体" w:hAnsi="宋体" w:cs="宋体"/>
                <w:sz w:val="28"/>
                <w:szCs w:val="28"/>
              </w:rPr>
            </w:pPr>
            <w:r>
              <w:rPr>
                <w:rFonts w:hint="eastAsia" w:ascii="宋体" w:hAnsi="宋体" w:cs="宋体"/>
                <w:sz w:val="28"/>
                <w:szCs w:val="28"/>
              </w:rPr>
              <w:t>  </w:t>
            </w:r>
          </w:p>
          <w:p>
            <w:pPr>
              <w:pStyle w:val="4"/>
              <w:widowControl/>
              <w:adjustRightInd w:val="0"/>
              <w:snapToGrid w:val="0"/>
              <w:spacing w:before="0" w:beforeAutospacing="0" w:after="0" w:afterAutospacing="0"/>
              <w:textAlignment w:val="center"/>
              <w:rPr>
                <w:rFonts w:hint="eastAsia" w:ascii="宋体" w:hAnsi="宋体" w:cs="宋体"/>
                <w:sz w:val="28"/>
                <w:szCs w:val="28"/>
              </w:rPr>
            </w:pPr>
            <w:r>
              <w:rPr>
                <w:rFonts w:hint="eastAsia" w:ascii="宋体" w:hAnsi="宋体" w:cs="宋体"/>
                <w:sz w:val="28"/>
                <w:szCs w:val="28"/>
              </w:rPr>
              <w:t>                                         部门（单位）负责人（签章）：</w:t>
            </w:r>
          </w:p>
          <w:p>
            <w:pPr>
              <w:pStyle w:val="4"/>
              <w:widowControl/>
              <w:adjustRightInd w:val="0"/>
              <w:snapToGrid w:val="0"/>
              <w:spacing w:before="0" w:beforeAutospacing="0" w:after="0" w:afterAutospacing="0"/>
              <w:textAlignment w:val="center"/>
              <w:rPr>
                <w:rFonts w:hint="eastAsia" w:ascii="宋体" w:hAnsi="宋体" w:cs="宋体"/>
                <w:sz w:val="28"/>
                <w:szCs w:val="28"/>
              </w:rPr>
            </w:pPr>
            <w:r>
              <w:rPr>
                <w:rFonts w:hint="eastAsia" w:ascii="宋体" w:hAnsi="宋体" w:cs="宋体"/>
                <w:sz w:val="28"/>
                <w:szCs w:val="28"/>
              </w:rPr>
              <w:t>                                                              年    月    日</w:t>
            </w:r>
          </w:p>
        </w:tc>
      </w:tr>
      <w:tr>
        <w:tblPrEx>
          <w:tblLayout w:type="fixed"/>
          <w:tblCellMar>
            <w:top w:w="0" w:type="dxa"/>
            <w:left w:w="0" w:type="dxa"/>
            <w:bottom w:w="0" w:type="dxa"/>
            <w:right w:w="0" w:type="dxa"/>
          </w:tblCellMar>
        </w:tblPrEx>
        <w:trPr>
          <w:gridAfter w:val="1"/>
          <w:wAfter w:w="506" w:type="dxa"/>
          <w:trHeight w:val="1146" w:hRule="atLeast"/>
        </w:trPr>
        <w:tc>
          <w:tcPr>
            <w:tcW w:w="10813" w:type="dxa"/>
            <w:gridSpan w:val="4"/>
            <w:tcBorders>
              <w:top w:val="nil"/>
              <w:left w:val="single" w:color="auto" w:sz="6" w:space="0"/>
              <w:bottom w:val="single" w:color="auto" w:sz="6" w:space="0"/>
              <w:right w:val="single" w:color="auto" w:sz="6" w:space="0"/>
            </w:tcBorders>
            <w:noWrap w:val="0"/>
            <w:tcMar>
              <w:left w:w="15" w:type="dxa"/>
              <w:right w:w="15" w:type="dxa"/>
            </w:tcMar>
            <w:vAlign w:val="center"/>
          </w:tcPr>
          <w:p>
            <w:pPr>
              <w:pStyle w:val="4"/>
              <w:widowControl/>
              <w:adjustRightInd w:val="0"/>
              <w:snapToGrid w:val="0"/>
              <w:spacing w:before="0" w:beforeAutospacing="0" w:after="0" w:afterAutospacing="0"/>
              <w:textAlignment w:val="center"/>
              <w:rPr>
                <w:rFonts w:hint="eastAsia" w:ascii="宋体" w:hAnsi="宋体" w:cs="宋体"/>
                <w:sz w:val="28"/>
                <w:szCs w:val="28"/>
              </w:rPr>
            </w:pPr>
            <w:r>
              <w:rPr>
                <w:rFonts w:hint="eastAsia" w:ascii="宋体" w:hAnsi="宋体" w:cs="宋体"/>
                <w:sz w:val="28"/>
                <w:szCs w:val="28"/>
              </w:rPr>
              <w:t>财政部门归口业务科室意见：</w:t>
            </w:r>
          </w:p>
          <w:p>
            <w:pPr>
              <w:pStyle w:val="4"/>
              <w:widowControl/>
              <w:adjustRightInd w:val="0"/>
              <w:snapToGrid w:val="0"/>
              <w:spacing w:before="0" w:beforeAutospacing="0" w:after="0" w:afterAutospacing="0"/>
              <w:textAlignment w:val="center"/>
              <w:rPr>
                <w:rFonts w:hint="eastAsia" w:ascii="宋体" w:hAnsi="宋体" w:cs="宋体"/>
                <w:sz w:val="28"/>
                <w:szCs w:val="28"/>
              </w:rPr>
            </w:pPr>
            <w:r>
              <w:rPr>
                <w:rFonts w:hint="eastAsia" w:ascii="宋体" w:hAnsi="宋体" w:cs="宋体"/>
                <w:sz w:val="28"/>
                <w:szCs w:val="28"/>
              </w:rPr>
              <w:t>  </w:t>
            </w:r>
          </w:p>
          <w:p>
            <w:pPr>
              <w:pStyle w:val="4"/>
              <w:widowControl/>
              <w:adjustRightInd w:val="0"/>
              <w:snapToGrid w:val="0"/>
              <w:spacing w:before="0" w:beforeAutospacing="0" w:after="0" w:afterAutospacing="0"/>
              <w:textAlignment w:val="center"/>
              <w:rPr>
                <w:rFonts w:hint="eastAsia" w:ascii="宋体" w:hAnsi="宋体" w:cs="宋体"/>
                <w:sz w:val="28"/>
                <w:szCs w:val="28"/>
              </w:rPr>
            </w:pPr>
            <w:r>
              <w:rPr>
                <w:rFonts w:hint="eastAsia" w:ascii="宋体" w:hAnsi="宋体" w:cs="宋体"/>
                <w:sz w:val="28"/>
                <w:szCs w:val="28"/>
              </w:rPr>
              <w:t>                                  财政部门归口业务科室负责人（签章）：</w:t>
            </w:r>
          </w:p>
          <w:p>
            <w:pPr>
              <w:pStyle w:val="4"/>
              <w:widowControl/>
              <w:adjustRightInd w:val="0"/>
              <w:snapToGrid w:val="0"/>
              <w:spacing w:before="0" w:beforeAutospacing="0" w:after="0" w:afterAutospacing="0"/>
              <w:textAlignment w:val="center"/>
              <w:rPr>
                <w:rFonts w:hint="eastAsia" w:ascii="宋体" w:hAnsi="宋体" w:cs="宋体"/>
                <w:sz w:val="28"/>
                <w:szCs w:val="28"/>
              </w:rPr>
            </w:pPr>
            <w:r>
              <w:rPr>
                <w:rFonts w:hint="eastAsia" w:ascii="宋体" w:hAnsi="宋体" w:cs="宋体"/>
                <w:sz w:val="28"/>
                <w:szCs w:val="28"/>
              </w:rPr>
              <w:t>                                                              年    月   日</w:t>
            </w:r>
          </w:p>
        </w:tc>
      </w:tr>
    </w:tbl>
    <w:p>
      <w:pPr>
        <w:pStyle w:val="4"/>
        <w:widowControl/>
        <w:adjustRightInd w:val="0"/>
        <w:snapToGrid w:val="0"/>
        <w:spacing w:before="0" w:beforeAutospacing="0" w:after="0" w:afterAutospacing="0"/>
        <w:jc w:val="center"/>
        <w:textAlignment w:val="center"/>
        <w:rPr>
          <w:rFonts w:ascii="Times New Roman" w:hAnsi="Times New Roman"/>
        </w:rPr>
      </w:pPr>
    </w:p>
    <w:p>
      <w:pPr>
        <w:pStyle w:val="4"/>
        <w:widowControl/>
        <w:adjustRightInd w:val="0"/>
        <w:snapToGrid w:val="0"/>
        <w:spacing w:before="0" w:beforeAutospacing="0" w:after="0" w:afterAutospacing="0"/>
        <w:jc w:val="center"/>
        <w:textAlignment w:val="center"/>
        <w:rPr>
          <w:rFonts w:ascii="Times New Roman" w:hAnsi="Times New Roman" w:eastAsia="黑体"/>
          <w:color w:val="333333"/>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shd w:val="clear" w:color="auto" w:fill="FFFFFF"/>
        <w:adjustRightInd w:val="0"/>
        <w:snapToGrid w:val="0"/>
        <w:spacing w:before="0" w:beforeAutospacing="0" w:after="0" w:afterAutospacing="0"/>
        <w:jc w:val="center"/>
        <w:textAlignment w:val="center"/>
        <w:outlineLvl w:val="0"/>
        <w:rPr>
          <w:rFonts w:hAnsi="Times New Roman" w:eastAsia="方正小标宋_GBK"/>
          <w:color w:val="000000"/>
          <w:sz w:val="52"/>
          <w:szCs w:val="52"/>
          <w:shd w:val="clear" w:color="auto" w:fill="FFFFFF"/>
        </w:rPr>
      </w:pPr>
    </w:p>
    <w:p>
      <w:pPr>
        <w:pStyle w:val="4"/>
        <w:widowControl/>
        <w:shd w:val="clear" w:color="auto" w:fill="FFFFFF"/>
        <w:adjustRightInd w:val="0"/>
        <w:snapToGrid w:val="0"/>
        <w:spacing w:before="0" w:beforeAutospacing="0" w:after="0" w:afterAutospacing="0"/>
        <w:jc w:val="center"/>
        <w:textAlignment w:val="center"/>
        <w:outlineLvl w:val="0"/>
        <w:rPr>
          <w:rFonts w:hAnsi="Times New Roman" w:eastAsia="方正小标宋_GBK"/>
          <w:color w:val="000000"/>
          <w:sz w:val="52"/>
          <w:szCs w:val="52"/>
          <w:shd w:val="clear" w:color="auto" w:fill="FFFFFF"/>
        </w:rPr>
      </w:pPr>
    </w:p>
    <w:p>
      <w:pPr>
        <w:pStyle w:val="4"/>
        <w:widowControl/>
        <w:shd w:val="clear" w:color="auto" w:fill="FFFFFF"/>
        <w:adjustRightInd w:val="0"/>
        <w:snapToGrid w:val="0"/>
        <w:spacing w:before="0" w:beforeAutospacing="0" w:after="0" w:afterAutospacing="0"/>
        <w:jc w:val="center"/>
        <w:textAlignment w:val="center"/>
        <w:outlineLvl w:val="0"/>
        <w:rPr>
          <w:rFonts w:hAnsi="Times New Roman" w:eastAsia="方正小标宋_GBK"/>
          <w:color w:val="000000"/>
          <w:sz w:val="52"/>
          <w:szCs w:val="52"/>
          <w:shd w:val="clear" w:color="auto" w:fill="FFFFFF"/>
        </w:rPr>
      </w:pPr>
    </w:p>
    <w:p>
      <w:pPr>
        <w:pStyle w:val="4"/>
        <w:widowControl/>
        <w:shd w:val="clear" w:color="auto" w:fill="FFFFFF"/>
        <w:adjustRightInd w:val="0"/>
        <w:snapToGrid w:val="0"/>
        <w:spacing w:before="0" w:beforeAutospacing="0" w:after="0" w:afterAutospacing="0"/>
        <w:jc w:val="center"/>
        <w:textAlignment w:val="center"/>
        <w:outlineLvl w:val="0"/>
        <w:rPr>
          <w:rFonts w:hAnsi="Times New Roman" w:eastAsia="方正小标宋_GBK"/>
          <w:color w:val="000000"/>
          <w:sz w:val="52"/>
          <w:szCs w:val="52"/>
          <w:shd w:val="clear" w:color="auto" w:fill="FFFFFF"/>
        </w:rPr>
      </w:pPr>
    </w:p>
    <w:p>
      <w:pPr>
        <w:pStyle w:val="4"/>
        <w:widowControl/>
        <w:shd w:val="clear" w:color="auto" w:fill="FFFFFF"/>
        <w:adjustRightInd w:val="0"/>
        <w:snapToGrid w:val="0"/>
        <w:spacing w:before="0" w:beforeAutospacing="0" w:after="0" w:afterAutospacing="0"/>
        <w:jc w:val="center"/>
        <w:textAlignment w:val="center"/>
        <w:outlineLvl w:val="0"/>
        <w:rPr>
          <w:rFonts w:hAnsi="Times New Roman" w:eastAsia="方正小标宋_GBK"/>
          <w:color w:val="000000"/>
          <w:sz w:val="52"/>
          <w:szCs w:val="52"/>
          <w:shd w:val="clear" w:color="auto" w:fill="FFFFFF"/>
        </w:rPr>
      </w:pPr>
    </w:p>
    <w:p>
      <w:pPr>
        <w:pStyle w:val="4"/>
        <w:widowControl/>
        <w:shd w:val="clear" w:color="auto" w:fill="FFFFFF"/>
        <w:adjustRightInd w:val="0"/>
        <w:snapToGrid w:val="0"/>
        <w:spacing w:before="0" w:beforeAutospacing="0" w:after="0" w:afterAutospacing="0"/>
        <w:jc w:val="center"/>
        <w:textAlignment w:val="center"/>
        <w:outlineLvl w:val="0"/>
        <w:rPr>
          <w:rFonts w:hAnsi="Times New Roman" w:eastAsia="方正小标宋_GBK"/>
          <w:color w:val="000000"/>
          <w:sz w:val="52"/>
          <w:szCs w:val="52"/>
          <w:shd w:val="clear" w:color="auto" w:fill="FFFFFF"/>
        </w:rPr>
      </w:pPr>
    </w:p>
    <w:p>
      <w:pPr>
        <w:pStyle w:val="4"/>
        <w:widowControl/>
        <w:shd w:val="clear" w:color="auto" w:fill="FFFFFF"/>
        <w:adjustRightInd w:val="0"/>
        <w:snapToGrid w:val="0"/>
        <w:spacing w:before="0" w:beforeAutospacing="0" w:after="0" w:afterAutospacing="0"/>
        <w:jc w:val="center"/>
        <w:textAlignment w:val="center"/>
        <w:outlineLvl w:val="0"/>
        <w:rPr>
          <w:rFonts w:hAnsi="Times New Roman" w:eastAsia="方正小标宋_GBK"/>
          <w:color w:val="000000"/>
          <w:sz w:val="52"/>
          <w:szCs w:val="52"/>
          <w:shd w:val="clear" w:color="auto" w:fill="FFFFFF"/>
        </w:rPr>
      </w:pPr>
      <w:r>
        <w:rPr>
          <w:rFonts w:hAnsi="Times New Roman" w:eastAsia="方正小标宋_GBK"/>
          <w:color w:val="000000"/>
          <w:sz w:val="52"/>
          <w:szCs w:val="52"/>
          <w:shd w:val="clear" w:color="auto" w:fill="FFFFFF"/>
        </w:rPr>
        <w:t>重庆市万州区残疾人联合会</w:t>
      </w:r>
    </w:p>
    <w:p>
      <w:pPr>
        <w:pStyle w:val="4"/>
        <w:widowControl/>
        <w:shd w:val="clear" w:color="auto" w:fill="FFFFFF"/>
        <w:adjustRightInd w:val="0"/>
        <w:snapToGrid w:val="0"/>
        <w:spacing w:before="0" w:beforeAutospacing="0" w:after="0" w:afterAutospacing="0"/>
        <w:jc w:val="center"/>
        <w:textAlignment w:val="center"/>
        <w:outlineLvl w:val="0"/>
        <w:rPr>
          <w:rFonts w:hAnsi="Times New Roman" w:eastAsia="方正小标宋_GBK"/>
          <w:color w:val="000000"/>
          <w:sz w:val="52"/>
          <w:szCs w:val="52"/>
          <w:shd w:val="clear" w:color="auto" w:fill="FFFFFF"/>
        </w:rPr>
      </w:pPr>
      <w:r>
        <w:rPr>
          <w:rFonts w:hAnsi="Times New Roman" w:eastAsia="方正小标宋_GBK"/>
          <w:color w:val="000000"/>
          <w:sz w:val="52"/>
          <w:szCs w:val="52"/>
          <w:shd w:val="clear" w:color="auto" w:fill="FFFFFF"/>
        </w:rPr>
        <w:t>部门整体支出绩效评价报告</w:t>
      </w: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both"/>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both"/>
        <w:textAlignment w:val="center"/>
        <w:outlineLvl w:val="0"/>
        <w:rPr>
          <w:rFonts w:ascii="Times New Roman" w:hAnsi="Times New Roman" w:eastAsia="方正小标宋_GBK"/>
          <w:color w:val="333333"/>
          <w:sz w:val="36"/>
          <w:szCs w:val="36"/>
          <w:shd w:val="clear" w:color="auto" w:fill="FFFFFF"/>
        </w:rPr>
      </w:pPr>
    </w:p>
    <w:p>
      <w:pPr>
        <w:pStyle w:val="4"/>
        <w:widowControl/>
        <w:adjustRightInd w:val="0"/>
        <w:snapToGrid w:val="0"/>
        <w:spacing w:before="0" w:beforeAutospacing="0" w:after="0" w:afterAutospacing="0"/>
        <w:jc w:val="center"/>
        <w:textAlignment w:val="center"/>
        <w:outlineLvl w:val="0"/>
        <w:rPr>
          <w:rFonts w:ascii="Times New Roman" w:hAnsi="Times New Roman" w:eastAsia="方正小标宋_GBK"/>
          <w:sz w:val="36"/>
          <w:szCs w:val="36"/>
        </w:rPr>
      </w:pPr>
      <w:r>
        <w:rPr>
          <w:rFonts w:ascii="Times New Roman" w:hAnsi="Times New Roman" w:eastAsia="方正小标宋_GBK"/>
          <w:color w:val="333333"/>
          <w:sz w:val="36"/>
          <w:szCs w:val="36"/>
          <w:shd w:val="clear" w:color="auto" w:fill="FFFFFF"/>
        </w:rPr>
        <w:t>目   录</w:t>
      </w:r>
    </w:p>
    <w:p>
      <w:pPr>
        <w:pStyle w:val="4"/>
        <w:widowControl/>
        <w:adjustRightInd w:val="0"/>
        <w:snapToGrid w:val="0"/>
        <w:spacing w:before="0" w:beforeAutospacing="0" w:after="0" w:afterAutospacing="0"/>
        <w:jc w:val="center"/>
        <w:textAlignment w:val="center"/>
        <w:rPr>
          <w:rFonts w:ascii="Times New Roman" w:hAnsi="Times New Roman"/>
        </w:rPr>
      </w:pPr>
      <w:r>
        <w:rPr>
          <w:rFonts w:ascii="Times New Roman" w:hAnsi="Times New Roman" w:eastAsia="仿宋"/>
          <w:color w:val="000000"/>
          <w:sz w:val="18"/>
          <w:szCs w:val="18"/>
          <w:shd w:val="clear" w:color="auto" w:fill="FFFFFF"/>
        </w:rPr>
        <w:t> </w:t>
      </w:r>
    </w:p>
    <w:p>
      <w:pPr>
        <w:pStyle w:val="4"/>
        <w:widowControl/>
        <w:adjustRightInd w:val="0"/>
        <w:snapToGrid w:val="0"/>
        <w:spacing w:before="0" w:beforeAutospacing="0" w:after="0" w:afterAutospacing="0"/>
        <w:textAlignment w:val="center"/>
        <w:outlineLvl w:val="0"/>
        <w:rPr>
          <w:rFonts w:ascii="Times New Roman" w:hAnsi="Times New Roman" w:eastAsia="方正黑体_GBK"/>
          <w:color w:val="333333"/>
          <w:sz w:val="32"/>
          <w:szCs w:val="32"/>
          <w:shd w:val="clear" w:color="auto" w:fill="FFFFFF"/>
        </w:rPr>
      </w:pPr>
      <w:r>
        <w:fldChar w:fldCharType="begin"/>
      </w:r>
      <w:r>
        <w:instrText xml:space="preserve"> HYPERLINK "http://zjj.xxz.gov.cn/zwgk_159/fdzdgknr/czxx/202006/t20200630_1698329.html" \l "_Toc44226870" </w:instrText>
      </w:r>
      <w:r>
        <w:fldChar w:fldCharType="separate"/>
      </w:r>
      <w:r>
        <w:rPr>
          <w:rFonts w:ascii="Times New Roman" w:hAnsi="Times New Roman" w:eastAsia="方正黑体_GBK"/>
          <w:color w:val="333333"/>
          <w:sz w:val="32"/>
          <w:szCs w:val="32"/>
          <w:shd w:val="clear" w:color="auto" w:fill="FFFFFF"/>
        </w:rPr>
        <w:t>一、部门概况</w:t>
      </w:r>
      <w:r>
        <w:rPr>
          <w:rFonts w:ascii="Times New Roman" w:hAnsi="Times New Roman" w:eastAsia="方正黑体_GBK"/>
          <w:color w:val="333333"/>
          <w:sz w:val="32"/>
          <w:szCs w:val="32"/>
          <w:shd w:val="clear" w:color="auto" w:fill="FFFFFF"/>
        </w:rPr>
        <w:fldChar w:fldCharType="end"/>
      </w:r>
    </w:p>
    <w:p>
      <w:pPr>
        <w:pStyle w:val="4"/>
        <w:widowControl/>
        <w:adjustRightInd w:val="0"/>
        <w:snapToGrid w:val="0"/>
        <w:spacing w:before="0" w:beforeAutospacing="0" w:after="0" w:afterAutospacing="0"/>
        <w:ind w:firstLine="480" w:firstLineChars="200"/>
        <w:textAlignment w:val="center"/>
        <w:outlineLvl w:val="0"/>
        <w:rPr>
          <w:rFonts w:ascii="Times New Roman" w:hAnsi="Times New Roman" w:eastAsia="方正黑体_GBK"/>
          <w:color w:val="333333"/>
          <w:sz w:val="32"/>
          <w:szCs w:val="32"/>
          <w:shd w:val="clear" w:color="auto" w:fill="FFFFFF"/>
        </w:rPr>
      </w:pPr>
      <w:r>
        <w:fldChar w:fldCharType="begin"/>
      </w:r>
      <w:r>
        <w:instrText xml:space="preserve"> HYPERLINK "http://zjj.xxz.gov.cn/zwgk_159/fdzdgknr/czxx/202006/t20200630_1698329.html" \l "_Toc44226871" </w:instrText>
      </w:r>
      <w:r>
        <w:fldChar w:fldCharType="separate"/>
      </w:r>
      <w:r>
        <w:rPr>
          <w:rStyle w:val="7"/>
          <w:rFonts w:hint="eastAsia" w:ascii="宋体" w:hAnsi="宋体" w:cs="宋体"/>
          <w:color w:val="333333"/>
          <w:sz w:val="28"/>
          <w:szCs w:val="28"/>
          <w:shd w:val="clear" w:color="auto" w:fill="FFFFFF"/>
        </w:rPr>
        <w:t>(一)、</w:t>
      </w:r>
      <w:r>
        <w:rPr>
          <w:rFonts w:ascii="Times New Roman" w:hAnsi="Times New Roman" w:eastAsia="方正黑体_GBK"/>
          <w:color w:val="333333"/>
          <w:sz w:val="32"/>
          <w:szCs w:val="32"/>
          <w:shd w:val="clear" w:color="auto" w:fill="FFFFFF"/>
        </w:rPr>
        <w:t>部门基本情况，部门职责概述。</w:t>
      </w:r>
      <w:r>
        <w:rPr>
          <w:rFonts w:ascii="Times New Roman" w:hAnsi="Times New Roman" w:eastAsia="方正黑体_GBK"/>
          <w:color w:val="333333"/>
          <w:sz w:val="32"/>
          <w:szCs w:val="32"/>
          <w:shd w:val="clear" w:color="auto" w:fill="FFFFFF"/>
        </w:rPr>
        <w:fldChar w:fldCharType="end"/>
      </w:r>
    </w:p>
    <w:p>
      <w:pPr>
        <w:pStyle w:val="4"/>
        <w:widowControl/>
        <w:adjustRightInd w:val="0"/>
        <w:snapToGrid w:val="0"/>
        <w:spacing w:before="0" w:beforeAutospacing="0" w:after="0" w:afterAutospacing="0"/>
        <w:ind w:firstLine="562" w:firstLineChars="200"/>
        <w:textAlignment w:val="center"/>
        <w:outlineLvl w:val="0"/>
        <w:rPr>
          <w:rFonts w:ascii="Times New Roman" w:hAnsi="Times New Roman" w:eastAsia="方正黑体_GBK"/>
          <w:color w:val="333333"/>
          <w:sz w:val="32"/>
          <w:szCs w:val="32"/>
          <w:shd w:val="clear" w:color="auto" w:fill="FFFFFF"/>
        </w:rPr>
      </w:pPr>
      <w:r>
        <w:rPr>
          <w:rStyle w:val="7"/>
          <w:rFonts w:hint="eastAsia" w:ascii="宋体" w:hAnsi="宋体" w:cs="宋体"/>
          <w:color w:val="333333"/>
          <w:sz w:val="28"/>
          <w:szCs w:val="28"/>
          <w:shd w:val="clear" w:color="auto" w:fill="FFFFFF"/>
        </w:rPr>
        <w:t>(二)、</w:t>
      </w:r>
      <w:r>
        <w:fldChar w:fldCharType="begin"/>
      </w:r>
      <w:r>
        <w:instrText xml:space="preserve"> HYPERLINK "http://zjj.xxz.gov.cn/zwgk_159/fdzdgknr/czxx/202006/t20200630_1698329.html" \l "_Toc44226872" </w:instrText>
      </w:r>
      <w:r>
        <w:fldChar w:fldCharType="separate"/>
      </w:r>
      <w:r>
        <w:rPr>
          <w:rFonts w:ascii="Times New Roman" w:hAnsi="Times New Roman" w:eastAsia="方正黑体_GBK"/>
          <w:color w:val="333333"/>
          <w:sz w:val="32"/>
          <w:szCs w:val="32"/>
          <w:shd w:val="clear" w:color="auto" w:fill="FFFFFF"/>
        </w:rPr>
        <w:t>部门整体支出规模、使用方向和主要内容、涉及范围等。 </w:t>
      </w:r>
      <w:r>
        <w:rPr>
          <w:rFonts w:ascii="Times New Roman" w:hAnsi="Times New Roman" w:eastAsia="方正黑体_GBK"/>
          <w:color w:val="333333"/>
          <w:sz w:val="32"/>
          <w:szCs w:val="32"/>
          <w:shd w:val="clear" w:color="auto" w:fill="FFFFFF"/>
        </w:rPr>
        <w:fldChar w:fldCharType="end"/>
      </w:r>
    </w:p>
    <w:p>
      <w:pPr>
        <w:pStyle w:val="4"/>
        <w:widowControl/>
        <w:adjustRightInd w:val="0"/>
        <w:snapToGrid w:val="0"/>
        <w:spacing w:before="0" w:beforeAutospacing="0" w:after="0" w:afterAutospacing="0"/>
        <w:textAlignment w:val="center"/>
        <w:outlineLvl w:val="0"/>
        <w:rPr>
          <w:rFonts w:hint="eastAsia" w:ascii="Times New Roman" w:hAnsi="Times New Roman" w:eastAsia="方正黑体_GBK"/>
          <w:color w:val="333333"/>
          <w:sz w:val="32"/>
          <w:szCs w:val="32"/>
          <w:shd w:val="clear" w:color="auto" w:fill="FFFFFF"/>
        </w:rPr>
      </w:pPr>
      <w:r>
        <w:rPr>
          <w:rFonts w:ascii="Times New Roman" w:hAnsi="Times New Roman" w:eastAsia="方正黑体_GBK"/>
          <w:color w:val="333333"/>
          <w:sz w:val="32"/>
          <w:szCs w:val="32"/>
          <w:shd w:val="clear" w:color="auto" w:fill="FFFFFF"/>
        </w:rPr>
        <w:fldChar w:fldCharType="begin"/>
      </w:r>
      <w:r>
        <w:rPr>
          <w:rFonts w:ascii="Times New Roman" w:hAnsi="Times New Roman" w:eastAsia="方正黑体_GBK"/>
          <w:color w:val="333333"/>
          <w:sz w:val="32"/>
          <w:szCs w:val="32"/>
          <w:shd w:val="clear" w:color="auto" w:fill="FFFFFF"/>
        </w:rPr>
        <w:instrText xml:space="preserve"> HYPERLINK "http://zjj.xxz.gov.cn/zwgk_159/fdzdgknr/czxx/202006/t20200630_1698329.html" \l "_Toc44226874" </w:instrText>
      </w:r>
      <w:r>
        <w:rPr>
          <w:rFonts w:ascii="Times New Roman" w:hAnsi="Times New Roman" w:eastAsia="方正黑体_GBK"/>
          <w:color w:val="333333"/>
          <w:sz w:val="32"/>
          <w:szCs w:val="32"/>
          <w:shd w:val="clear" w:color="auto" w:fill="FFFFFF"/>
        </w:rPr>
        <w:fldChar w:fldCharType="separate"/>
      </w:r>
      <w:r>
        <w:rPr>
          <w:rFonts w:ascii="Times New Roman" w:hAnsi="Times New Roman" w:eastAsia="方正黑体_GBK"/>
          <w:color w:val="333333"/>
          <w:sz w:val="32"/>
          <w:szCs w:val="32"/>
          <w:shd w:val="clear" w:color="auto" w:fill="FFFFFF"/>
        </w:rPr>
        <w:t>二、</w:t>
      </w:r>
      <w:r>
        <w:rPr>
          <w:rFonts w:hint="eastAsia" w:ascii="Times New Roman" w:hAnsi="Times New Roman" w:eastAsia="方正黑体_GBK"/>
          <w:color w:val="333333"/>
          <w:sz w:val="32"/>
          <w:szCs w:val="32"/>
          <w:shd w:val="clear" w:color="auto" w:fill="FFFFFF"/>
        </w:rPr>
        <w:t>部门决算情况</w:t>
      </w:r>
    </w:p>
    <w:p>
      <w:pPr>
        <w:pStyle w:val="4"/>
        <w:widowControl/>
        <w:adjustRightInd w:val="0"/>
        <w:snapToGrid w:val="0"/>
        <w:spacing w:before="0" w:beforeAutospacing="0" w:after="0" w:afterAutospacing="0"/>
        <w:ind w:firstLine="562" w:firstLineChars="200"/>
        <w:textAlignment w:val="center"/>
        <w:outlineLvl w:val="0"/>
        <w:rPr>
          <w:rFonts w:hint="eastAsia" w:ascii="Times New Roman" w:hAnsi="Times New Roman" w:eastAsia="方正黑体_GBK"/>
          <w:color w:val="333333"/>
          <w:sz w:val="32"/>
          <w:szCs w:val="32"/>
          <w:shd w:val="clear" w:color="auto" w:fill="FFFFFF"/>
        </w:rPr>
      </w:pPr>
      <w:r>
        <w:rPr>
          <w:rStyle w:val="7"/>
          <w:rFonts w:hint="eastAsia" w:ascii="宋体" w:hAnsi="宋体" w:cs="宋体"/>
          <w:color w:val="333333"/>
          <w:sz w:val="28"/>
          <w:szCs w:val="28"/>
          <w:shd w:val="clear" w:color="auto" w:fill="FFFFFF"/>
        </w:rPr>
        <w:t>(一)</w:t>
      </w:r>
      <w:r>
        <w:rPr>
          <w:rFonts w:hint="eastAsia" w:ascii="Times New Roman" w:hAnsi="Times New Roman" w:eastAsia="方正黑体_GBK"/>
          <w:color w:val="333333"/>
          <w:sz w:val="32"/>
          <w:szCs w:val="32"/>
          <w:shd w:val="clear" w:color="auto" w:fill="FFFFFF"/>
        </w:rPr>
        <w:t>、收</w:t>
      </w:r>
      <w:r>
        <w:rPr>
          <w:rFonts w:ascii="Times New Roman" w:hAnsi="Times New Roman" w:eastAsia="方正黑体_GBK"/>
          <w:color w:val="333333"/>
          <w:sz w:val="32"/>
          <w:szCs w:val="32"/>
          <w:shd w:val="clear" w:color="auto" w:fill="FFFFFF"/>
        </w:rPr>
        <w:fldChar w:fldCharType="end"/>
      </w:r>
      <w:r>
        <w:rPr>
          <w:rFonts w:hint="eastAsia" w:ascii="Times New Roman" w:hAnsi="Times New Roman" w:eastAsia="方正黑体_GBK"/>
          <w:color w:val="333333"/>
          <w:sz w:val="32"/>
          <w:szCs w:val="32"/>
          <w:shd w:val="clear" w:color="auto" w:fill="FFFFFF"/>
        </w:rPr>
        <w:t>支总体情况</w:t>
      </w:r>
    </w:p>
    <w:p>
      <w:pPr>
        <w:pStyle w:val="4"/>
        <w:widowControl/>
        <w:adjustRightInd w:val="0"/>
        <w:snapToGrid w:val="0"/>
        <w:spacing w:before="0" w:beforeAutospacing="0" w:after="0" w:afterAutospacing="0"/>
        <w:ind w:firstLine="562" w:firstLineChars="200"/>
        <w:textAlignment w:val="center"/>
        <w:outlineLvl w:val="0"/>
        <w:rPr>
          <w:rFonts w:hint="eastAsia" w:ascii="Times New Roman" w:hAnsi="Times New Roman" w:eastAsia="方正黑体_GBK"/>
          <w:color w:val="333333"/>
          <w:sz w:val="32"/>
          <w:szCs w:val="32"/>
          <w:shd w:val="clear" w:color="auto" w:fill="FFFFFF"/>
        </w:rPr>
      </w:pPr>
      <w:r>
        <w:rPr>
          <w:rStyle w:val="7"/>
          <w:rFonts w:hint="eastAsia" w:ascii="宋体" w:hAnsi="宋体" w:cs="宋体"/>
          <w:color w:val="333333"/>
          <w:sz w:val="28"/>
          <w:szCs w:val="28"/>
          <w:shd w:val="clear" w:color="auto" w:fill="FFFFFF"/>
        </w:rPr>
        <w:t>(二)</w:t>
      </w:r>
      <w:r>
        <w:rPr>
          <w:rFonts w:hint="eastAsia" w:ascii="Times New Roman" w:hAnsi="Times New Roman" w:eastAsia="方正黑体_GBK"/>
          <w:color w:val="333333"/>
          <w:sz w:val="32"/>
          <w:szCs w:val="32"/>
          <w:shd w:val="clear" w:color="auto" w:fill="FFFFFF"/>
        </w:rPr>
        <w:t>、财政拨款收支情况</w:t>
      </w:r>
    </w:p>
    <w:p>
      <w:pPr>
        <w:pStyle w:val="4"/>
        <w:widowControl/>
        <w:adjustRightInd w:val="0"/>
        <w:snapToGrid w:val="0"/>
        <w:spacing w:before="0" w:beforeAutospacing="0" w:after="0" w:afterAutospacing="0"/>
        <w:ind w:firstLine="562" w:firstLineChars="200"/>
        <w:textAlignment w:val="center"/>
        <w:outlineLvl w:val="0"/>
        <w:rPr>
          <w:rFonts w:hint="eastAsia" w:ascii="Times New Roman" w:hAnsi="Times New Roman" w:eastAsia="方正黑体_GBK"/>
          <w:color w:val="333333"/>
          <w:sz w:val="32"/>
          <w:szCs w:val="32"/>
          <w:shd w:val="clear" w:color="auto" w:fill="FFFFFF"/>
        </w:rPr>
      </w:pPr>
      <w:r>
        <w:rPr>
          <w:rStyle w:val="7"/>
          <w:rFonts w:hint="eastAsia" w:ascii="宋体" w:hAnsi="宋体" w:cs="宋体"/>
          <w:color w:val="333333"/>
          <w:sz w:val="28"/>
          <w:szCs w:val="28"/>
          <w:shd w:val="clear" w:color="auto" w:fill="FFFFFF"/>
        </w:rPr>
        <w:t>(三)</w:t>
      </w:r>
      <w:r>
        <w:rPr>
          <w:rFonts w:hint="eastAsia" w:ascii="Times New Roman" w:hAnsi="Times New Roman" w:eastAsia="方正黑体_GBK"/>
          <w:color w:val="333333"/>
          <w:sz w:val="32"/>
          <w:szCs w:val="32"/>
          <w:shd w:val="clear" w:color="auto" w:fill="FFFFFF"/>
        </w:rPr>
        <w:t>、一般公共预算财政拨款收支情况</w:t>
      </w:r>
    </w:p>
    <w:p>
      <w:pPr>
        <w:pStyle w:val="4"/>
        <w:widowControl/>
        <w:adjustRightInd w:val="0"/>
        <w:snapToGrid w:val="0"/>
        <w:spacing w:before="0" w:beforeAutospacing="0" w:after="0" w:afterAutospacing="0"/>
        <w:ind w:firstLine="562" w:firstLineChars="200"/>
        <w:textAlignment w:val="center"/>
        <w:outlineLvl w:val="0"/>
        <w:rPr>
          <w:rFonts w:hint="eastAsia" w:ascii="Times New Roman" w:hAnsi="Times New Roman" w:eastAsia="方正黑体_GBK"/>
          <w:color w:val="333333"/>
          <w:sz w:val="32"/>
          <w:szCs w:val="32"/>
          <w:shd w:val="clear" w:color="auto" w:fill="FFFFFF"/>
        </w:rPr>
      </w:pPr>
      <w:r>
        <w:rPr>
          <w:rStyle w:val="7"/>
          <w:rFonts w:hint="eastAsia" w:ascii="宋体" w:hAnsi="宋体" w:cs="宋体"/>
          <w:color w:val="333333"/>
          <w:sz w:val="28"/>
          <w:szCs w:val="28"/>
          <w:shd w:val="clear" w:color="auto" w:fill="FFFFFF"/>
        </w:rPr>
        <w:t>(四)</w:t>
      </w:r>
      <w:r>
        <w:rPr>
          <w:rFonts w:hint="eastAsia" w:ascii="Times New Roman" w:hAnsi="Times New Roman" w:eastAsia="方正黑体_GBK"/>
          <w:color w:val="333333"/>
          <w:sz w:val="32"/>
          <w:szCs w:val="32"/>
          <w:shd w:val="clear" w:color="auto" w:fill="FFFFFF"/>
        </w:rPr>
        <w:t>、</w:t>
      </w:r>
      <w:r>
        <w:rPr>
          <w:rFonts w:ascii="Times New Roman" w:hAnsi="Times New Roman" w:eastAsia="方正黑体_GBK"/>
          <w:color w:val="333333"/>
          <w:sz w:val="32"/>
          <w:szCs w:val="32"/>
          <w:shd w:val="clear" w:color="auto" w:fill="FFFFFF"/>
        </w:rPr>
        <w:t>政府性基金预算</w:t>
      </w:r>
      <w:r>
        <w:rPr>
          <w:rFonts w:hint="eastAsia" w:ascii="Times New Roman" w:hAnsi="Times New Roman" w:eastAsia="方正黑体_GBK"/>
          <w:color w:val="333333"/>
          <w:sz w:val="32"/>
          <w:szCs w:val="32"/>
          <w:shd w:val="clear" w:color="auto" w:fill="FFFFFF"/>
        </w:rPr>
        <w:t>收支</w:t>
      </w:r>
      <w:r>
        <w:rPr>
          <w:rFonts w:ascii="Times New Roman" w:hAnsi="Times New Roman" w:eastAsia="方正黑体_GBK"/>
          <w:color w:val="333333"/>
          <w:sz w:val="32"/>
          <w:szCs w:val="32"/>
          <w:shd w:val="clear" w:color="auto" w:fill="FFFFFF"/>
        </w:rPr>
        <w:t>情况</w:t>
      </w:r>
    </w:p>
    <w:p>
      <w:pPr>
        <w:pStyle w:val="4"/>
        <w:widowControl/>
        <w:numPr>
          <w:ilvl w:val="0"/>
          <w:numId w:val="1"/>
        </w:numPr>
        <w:adjustRightInd w:val="0"/>
        <w:snapToGrid w:val="0"/>
        <w:spacing w:before="0" w:beforeAutospacing="0" w:after="0" w:afterAutospacing="0"/>
        <w:textAlignment w:val="center"/>
        <w:outlineLvl w:val="0"/>
        <w:rPr>
          <w:rFonts w:hint="eastAsia" w:ascii="Times New Roman" w:hAnsi="Times New Roman" w:eastAsia="方正黑体_GBK"/>
          <w:color w:val="333333"/>
          <w:sz w:val="32"/>
          <w:szCs w:val="32"/>
          <w:shd w:val="clear" w:color="auto" w:fill="FFFFFF"/>
        </w:rPr>
      </w:pPr>
      <w:r>
        <w:rPr>
          <w:rFonts w:hint="eastAsia" w:ascii="Times New Roman" w:hAnsi="Times New Roman" w:eastAsia="方正黑体_GBK"/>
          <w:color w:val="333333"/>
          <w:sz w:val="32"/>
          <w:szCs w:val="32"/>
          <w:shd w:val="clear" w:color="auto" w:fill="FFFFFF"/>
        </w:rPr>
        <w:t>“三公”经费情况</w:t>
      </w:r>
    </w:p>
    <w:p>
      <w:pPr>
        <w:pStyle w:val="4"/>
        <w:widowControl/>
        <w:adjustRightInd w:val="0"/>
        <w:snapToGrid w:val="0"/>
        <w:spacing w:before="0" w:beforeAutospacing="0" w:after="0" w:afterAutospacing="0"/>
        <w:ind w:firstLine="562" w:firstLineChars="200"/>
        <w:textAlignment w:val="center"/>
        <w:outlineLvl w:val="0"/>
        <w:rPr>
          <w:rFonts w:hint="eastAsia" w:ascii="Times New Roman" w:hAnsi="Times New Roman" w:eastAsia="方正黑体_GBK"/>
          <w:color w:val="333333"/>
          <w:sz w:val="32"/>
          <w:szCs w:val="32"/>
          <w:shd w:val="clear" w:color="auto" w:fill="FFFFFF"/>
        </w:rPr>
      </w:pPr>
      <w:r>
        <w:rPr>
          <w:rStyle w:val="7"/>
          <w:rFonts w:hint="eastAsia" w:ascii="宋体" w:hAnsi="宋体" w:cs="宋体"/>
          <w:color w:val="333333"/>
          <w:sz w:val="28"/>
          <w:szCs w:val="28"/>
          <w:shd w:val="clear" w:color="auto" w:fill="FFFFFF"/>
        </w:rPr>
        <w:t>(一)、</w:t>
      </w:r>
      <w:r>
        <w:rPr>
          <w:rFonts w:hint="eastAsia" w:ascii="Times New Roman" w:hAnsi="Times New Roman" w:eastAsia="方正黑体_GBK"/>
          <w:color w:val="333333"/>
          <w:sz w:val="32"/>
          <w:szCs w:val="32"/>
          <w:shd w:val="clear" w:color="auto" w:fill="FFFFFF"/>
        </w:rPr>
        <w:t>“三公”经费支出总体情况</w:t>
      </w:r>
    </w:p>
    <w:p>
      <w:pPr>
        <w:pStyle w:val="4"/>
        <w:widowControl/>
        <w:adjustRightInd w:val="0"/>
        <w:snapToGrid w:val="0"/>
        <w:spacing w:before="0" w:beforeAutospacing="0" w:after="0" w:afterAutospacing="0"/>
        <w:ind w:firstLine="562" w:firstLineChars="200"/>
        <w:textAlignment w:val="center"/>
        <w:outlineLvl w:val="0"/>
        <w:rPr>
          <w:rFonts w:ascii="Times New Roman" w:hAnsi="Times New Roman" w:eastAsia="方正黑体_GBK"/>
          <w:color w:val="333333"/>
          <w:sz w:val="32"/>
          <w:szCs w:val="32"/>
          <w:shd w:val="clear" w:color="auto" w:fill="FFFFFF"/>
        </w:rPr>
      </w:pPr>
      <w:r>
        <w:rPr>
          <w:rStyle w:val="7"/>
          <w:rFonts w:hint="eastAsia" w:ascii="宋体" w:hAnsi="宋体" w:cs="宋体"/>
          <w:color w:val="333333"/>
          <w:sz w:val="28"/>
          <w:szCs w:val="28"/>
          <w:shd w:val="clear" w:color="auto" w:fill="FFFFFF"/>
        </w:rPr>
        <w:t>(二)、</w:t>
      </w:r>
      <w:r>
        <w:rPr>
          <w:rFonts w:hint="eastAsia" w:ascii="Times New Roman" w:hAnsi="Times New Roman" w:eastAsia="方正黑体_GBK"/>
          <w:color w:val="333333"/>
          <w:sz w:val="32"/>
          <w:szCs w:val="32"/>
          <w:shd w:val="clear" w:color="auto" w:fill="FFFFFF"/>
        </w:rPr>
        <w:t>“三公”经费分项支出情况</w:t>
      </w:r>
    </w:p>
    <w:p>
      <w:pPr>
        <w:pStyle w:val="4"/>
        <w:widowControl/>
        <w:adjustRightInd w:val="0"/>
        <w:snapToGrid w:val="0"/>
        <w:spacing w:before="0" w:beforeAutospacing="0" w:after="0" w:afterAutospacing="0"/>
        <w:ind w:firstLine="562" w:firstLineChars="200"/>
        <w:textAlignment w:val="center"/>
        <w:outlineLvl w:val="0"/>
        <w:rPr>
          <w:rFonts w:ascii="Times New Roman" w:hAnsi="Times New Roman" w:eastAsia="方正黑体_GBK"/>
          <w:color w:val="333333"/>
          <w:sz w:val="32"/>
          <w:szCs w:val="32"/>
          <w:shd w:val="clear" w:color="auto" w:fill="FFFFFF"/>
        </w:rPr>
      </w:pPr>
      <w:r>
        <w:rPr>
          <w:rStyle w:val="7"/>
          <w:rFonts w:hint="eastAsia" w:ascii="宋体" w:hAnsi="宋体" w:cs="宋体"/>
          <w:color w:val="333333"/>
          <w:sz w:val="28"/>
          <w:szCs w:val="28"/>
          <w:shd w:val="clear" w:color="auto" w:fill="FFFFFF"/>
        </w:rPr>
        <w:t>(三)、</w:t>
      </w:r>
      <w:r>
        <w:rPr>
          <w:rFonts w:hint="eastAsia" w:ascii="Times New Roman" w:hAnsi="Times New Roman" w:eastAsia="方正黑体_GBK"/>
          <w:color w:val="333333"/>
          <w:sz w:val="32"/>
          <w:szCs w:val="32"/>
          <w:shd w:val="clear" w:color="auto" w:fill="FFFFFF"/>
        </w:rPr>
        <w:t>“三公”经费实物量情况</w:t>
      </w:r>
    </w:p>
    <w:p>
      <w:pPr>
        <w:pStyle w:val="4"/>
        <w:widowControl/>
        <w:numPr>
          <w:ilvl w:val="0"/>
          <w:numId w:val="1"/>
        </w:numPr>
        <w:adjustRightInd w:val="0"/>
        <w:snapToGrid w:val="0"/>
        <w:spacing w:before="0" w:beforeAutospacing="0" w:after="0" w:afterAutospacing="0"/>
        <w:textAlignment w:val="center"/>
        <w:outlineLvl w:val="0"/>
        <w:rPr>
          <w:rFonts w:hint="eastAsia" w:ascii="Times New Roman" w:hAnsi="Times New Roman" w:eastAsia="方正黑体_GBK"/>
          <w:color w:val="333333"/>
          <w:sz w:val="32"/>
          <w:szCs w:val="32"/>
          <w:shd w:val="clear" w:color="auto" w:fill="FFFFFF"/>
        </w:rPr>
      </w:pPr>
      <w:r>
        <w:rPr>
          <w:rFonts w:hint="eastAsia" w:ascii="Times New Roman" w:hAnsi="Times New Roman" w:eastAsia="方正黑体_GBK"/>
          <w:color w:val="333333"/>
          <w:sz w:val="32"/>
          <w:szCs w:val="32"/>
          <w:shd w:val="clear" w:color="auto" w:fill="FFFFFF"/>
        </w:rPr>
        <w:t>其他需要说明的事项</w:t>
      </w:r>
    </w:p>
    <w:p>
      <w:pPr>
        <w:pStyle w:val="4"/>
        <w:widowControl/>
        <w:adjustRightInd w:val="0"/>
        <w:snapToGrid w:val="0"/>
        <w:spacing w:before="0" w:beforeAutospacing="0" w:after="0" w:afterAutospacing="0"/>
        <w:ind w:firstLine="562" w:firstLineChars="200"/>
        <w:textAlignment w:val="center"/>
        <w:outlineLvl w:val="0"/>
        <w:rPr>
          <w:rFonts w:hint="eastAsia" w:ascii="Times New Roman" w:hAnsi="Times New Roman" w:eastAsia="方正黑体_GBK"/>
          <w:color w:val="333333"/>
          <w:sz w:val="32"/>
          <w:szCs w:val="32"/>
          <w:shd w:val="clear" w:color="auto" w:fill="FFFFFF"/>
        </w:rPr>
      </w:pPr>
      <w:r>
        <w:rPr>
          <w:rStyle w:val="7"/>
          <w:rFonts w:hint="eastAsia" w:ascii="宋体" w:hAnsi="宋体" w:cs="宋体"/>
          <w:color w:val="333333"/>
          <w:sz w:val="28"/>
          <w:szCs w:val="28"/>
          <w:shd w:val="clear" w:color="auto" w:fill="FFFFFF"/>
        </w:rPr>
        <w:t>(一)、</w:t>
      </w:r>
      <w:r>
        <w:rPr>
          <w:rFonts w:hint="eastAsia" w:ascii="Times New Roman" w:hAnsi="Times New Roman" w:eastAsia="方正黑体_GBK"/>
          <w:color w:val="333333"/>
          <w:sz w:val="32"/>
          <w:szCs w:val="32"/>
          <w:shd w:val="clear" w:color="auto" w:fill="FFFFFF"/>
        </w:rPr>
        <w:t>机关运行经费情况</w:t>
      </w:r>
    </w:p>
    <w:p>
      <w:pPr>
        <w:pStyle w:val="4"/>
        <w:widowControl/>
        <w:adjustRightInd w:val="0"/>
        <w:snapToGrid w:val="0"/>
        <w:spacing w:before="0" w:beforeAutospacing="0" w:after="0" w:afterAutospacing="0"/>
        <w:ind w:firstLine="562" w:firstLineChars="200"/>
        <w:textAlignment w:val="center"/>
        <w:outlineLvl w:val="0"/>
        <w:rPr>
          <w:rFonts w:ascii="Times New Roman" w:hAnsi="Times New Roman" w:eastAsia="方正黑体_GBK"/>
          <w:color w:val="333333"/>
          <w:sz w:val="32"/>
          <w:szCs w:val="32"/>
          <w:shd w:val="clear" w:color="auto" w:fill="FFFFFF"/>
        </w:rPr>
      </w:pPr>
      <w:r>
        <w:rPr>
          <w:rStyle w:val="7"/>
          <w:rFonts w:hint="eastAsia" w:ascii="宋体" w:hAnsi="宋体" w:cs="宋体"/>
          <w:color w:val="333333"/>
          <w:sz w:val="28"/>
          <w:szCs w:val="28"/>
          <w:shd w:val="clear" w:color="auto" w:fill="FFFFFF"/>
        </w:rPr>
        <w:t>(二)、</w:t>
      </w:r>
      <w:r>
        <w:rPr>
          <w:rFonts w:hint="eastAsia" w:ascii="Times New Roman" w:hAnsi="Times New Roman" w:eastAsia="方正黑体_GBK"/>
          <w:color w:val="333333"/>
          <w:sz w:val="32"/>
          <w:szCs w:val="32"/>
          <w:shd w:val="clear" w:color="auto" w:fill="FFFFFF"/>
        </w:rPr>
        <w:t>国有资产占用情况</w:t>
      </w:r>
    </w:p>
    <w:p>
      <w:pPr>
        <w:pStyle w:val="4"/>
        <w:widowControl/>
        <w:adjustRightInd w:val="0"/>
        <w:snapToGrid w:val="0"/>
        <w:spacing w:before="0" w:beforeAutospacing="0" w:after="0" w:afterAutospacing="0"/>
        <w:ind w:firstLine="562" w:firstLineChars="200"/>
        <w:textAlignment w:val="center"/>
        <w:outlineLvl w:val="0"/>
        <w:rPr>
          <w:rFonts w:ascii="Times New Roman" w:hAnsi="Times New Roman" w:eastAsia="方正黑体_GBK"/>
          <w:color w:val="333333"/>
          <w:sz w:val="32"/>
          <w:szCs w:val="32"/>
          <w:shd w:val="clear" w:color="auto" w:fill="FFFFFF"/>
        </w:rPr>
      </w:pPr>
      <w:r>
        <w:rPr>
          <w:rStyle w:val="7"/>
          <w:rFonts w:hint="eastAsia" w:ascii="宋体" w:hAnsi="宋体" w:cs="宋体"/>
          <w:color w:val="333333"/>
          <w:sz w:val="28"/>
          <w:szCs w:val="28"/>
          <w:shd w:val="clear" w:color="auto" w:fill="FFFFFF"/>
        </w:rPr>
        <w:t>(三)、</w:t>
      </w:r>
      <w:r>
        <w:rPr>
          <w:rFonts w:hint="eastAsia" w:ascii="Times New Roman" w:hAnsi="Times New Roman" w:eastAsia="方正黑体_GBK"/>
          <w:color w:val="333333"/>
          <w:sz w:val="32"/>
          <w:szCs w:val="32"/>
          <w:shd w:val="clear" w:color="auto" w:fill="FFFFFF"/>
        </w:rPr>
        <w:t>政府采购支出情况说明</w:t>
      </w:r>
    </w:p>
    <w:p>
      <w:pPr>
        <w:pStyle w:val="2"/>
        <w:widowControl/>
        <w:shd w:val="clear" w:color="auto" w:fill="FFFFFF"/>
        <w:adjustRightInd w:val="0"/>
        <w:snapToGrid w:val="0"/>
        <w:spacing w:before="120" w:beforeAutospacing="0" w:after="120" w:afterAutospacing="0"/>
        <w:jc w:val="both"/>
        <w:rPr>
          <w:rFonts w:ascii="Times New Roman" w:hAnsi="Times New Roman" w:eastAsia="方正黑体_GBK"/>
          <w:b w:val="0"/>
          <w:color w:val="333333"/>
          <w:kern w:val="0"/>
          <w:sz w:val="32"/>
          <w:szCs w:val="32"/>
          <w:shd w:val="clear" w:color="auto" w:fill="FFFFFF"/>
        </w:rPr>
      </w:pPr>
      <w:r>
        <w:rPr>
          <w:rFonts w:ascii="Times New Roman" w:hAnsi="Times New Roman" w:eastAsia="方正黑体_GBK"/>
          <w:b w:val="0"/>
          <w:color w:val="333333"/>
          <w:kern w:val="0"/>
          <w:sz w:val="32"/>
          <w:szCs w:val="32"/>
          <w:shd w:val="clear" w:color="auto" w:fill="FFFFFF"/>
        </w:rPr>
        <w:t>五、政府性基金预算支出情况</w:t>
      </w:r>
    </w:p>
    <w:p>
      <w:pPr>
        <w:pStyle w:val="2"/>
        <w:widowControl/>
        <w:shd w:val="clear" w:color="auto" w:fill="FFFFFF"/>
        <w:adjustRightInd w:val="0"/>
        <w:snapToGrid w:val="0"/>
        <w:spacing w:before="120" w:beforeAutospacing="0" w:after="120" w:afterAutospacing="0"/>
        <w:jc w:val="both"/>
        <w:rPr>
          <w:rFonts w:ascii="Times New Roman" w:hAnsi="Times New Roman" w:eastAsia="方正黑体_GBK"/>
          <w:b w:val="0"/>
          <w:color w:val="333333"/>
          <w:kern w:val="0"/>
          <w:sz w:val="32"/>
          <w:szCs w:val="32"/>
          <w:shd w:val="clear" w:color="auto" w:fill="FFFFFF"/>
        </w:rPr>
      </w:pPr>
      <w:r>
        <w:rPr>
          <w:rFonts w:ascii="Times New Roman" w:hAnsi="Times New Roman" w:eastAsia="方正黑体_GBK"/>
          <w:b w:val="0"/>
          <w:color w:val="333333"/>
          <w:kern w:val="0"/>
          <w:sz w:val="32"/>
          <w:szCs w:val="32"/>
          <w:shd w:val="clear" w:color="auto" w:fill="FFFFFF"/>
        </w:rPr>
        <w:t>六、国有资本经营预算支出情况</w:t>
      </w:r>
    </w:p>
    <w:p>
      <w:pPr>
        <w:pStyle w:val="2"/>
        <w:widowControl/>
        <w:shd w:val="clear" w:color="auto" w:fill="FFFFFF"/>
        <w:adjustRightInd w:val="0"/>
        <w:snapToGrid w:val="0"/>
        <w:spacing w:before="120" w:beforeAutospacing="0" w:after="120" w:afterAutospacing="0"/>
        <w:jc w:val="both"/>
        <w:rPr>
          <w:rFonts w:ascii="Times New Roman" w:hAnsi="Times New Roman" w:eastAsia="方正黑体_GBK"/>
          <w:b w:val="0"/>
          <w:color w:val="333333"/>
          <w:kern w:val="0"/>
          <w:sz w:val="32"/>
          <w:szCs w:val="32"/>
          <w:shd w:val="clear" w:color="auto" w:fill="FFFFFF"/>
        </w:rPr>
      </w:pPr>
      <w:r>
        <w:rPr>
          <w:rFonts w:ascii="Times New Roman" w:hAnsi="Times New Roman" w:eastAsia="方正黑体_GBK"/>
          <w:b w:val="0"/>
          <w:color w:val="333333"/>
          <w:kern w:val="0"/>
          <w:sz w:val="32"/>
          <w:szCs w:val="32"/>
          <w:shd w:val="clear" w:color="auto" w:fill="FFFFFF"/>
        </w:rPr>
        <w:t>七、社会保险基金预算支出情况</w:t>
      </w:r>
    </w:p>
    <w:p>
      <w:pPr>
        <w:pStyle w:val="2"/>
        <w:widowControl/>
        <w:shd w:val="clear" w:color="auto" w:fill="FFFFFF"/>
        <w:adjustRightInd w:val="0"/>
        <w:snapToGrid w:val="0"/>
        <w:spacing w:before="120" w:beforeAutospacing="0" w:after="120" w:afterAutospacing="0"/>
        <w:jc w:val="both"/>
        <w:rPr>
          <w:rFonts w:ascii="Times New Roman" w:hAnsi="Times New Roman" w:eastAsia="方正黑体_GBK"/>
          <w:b w:val="0"/>
          <w:color w:val="333333"/>
          <w:kern w:val="0"/>
          <w:sz w:val="32"/>
          <w:szCs w:val="32"/>
          <w:shd w:val="clear" w:color="auto" w:fill="FFFFFF"/>
        </w:rPr>
      </w:pPr>
      <w:r>
        <w:rPr>
          <w:rFonts w:ascii="Times New Roman" w:hAnsi="Times New Roman" w:eastAsia="方正黑体_GBK"/>
          <w:b w:val="0"/>
          <w:color w:val="333333"/>
          <w:kern w:val="0"/>
          <w:sz w:val="32"/>
          <w:szCs w:val="32"/>
          <w:shd w:val="clear" w:color="auto" w:fill="FFFFFF"/>
        </w:rPr>
        <w:t>八、部门整体支出绩效情况</w:t>
      </w:r>
    </w:p>
    <w:p>
      <w:pPr>
        <w:pStyle w:val="4"/>
        <w:widowControl/>
        <w:adjustRightInd w:val="0"/>
        <w:snapToGrid w:val="0"/>
        <w:spacing w:before="0" w:beforeAutospacing="0" w:after="0" w:afterAutospacing="0"/>
        <w:ind w:firstLine="562" w:firstLineChars="200"/>
        <w:textAlignment w:val="center"/>
        <w:outlineLvl w:val="0"/>
        <w:rPr>
          <w:rFonts w:hint="eastAsia" w:ascii="Times New Roman" w:hAnsi="Times New Roman" w:eastAsia="方正黑体_GBK"/>
          <w:color w:val="333333"/>
          <w:sz w:val="32"/>
          <w:szCs w:val="32"/>
          <w:shd w:val="clear" w:color="auto" w:fill="FFFFFF"/>
        </w:rPr>
      </w:pPr>
      <w:r>
        <w:rPr>
          <w:rStyle w:val="7"/>
          <w:rFonts w:hint="eastAsia" w:ascii="宋体" w:hAnsi="宋体" w:cs="宋体"/>
          <w:color w:val="333333"/>
          <w:sz w:val="28"/>
          <w:szCs w:val="28"/>
          <w:shd w:val="clear" w:color="auto" w:fill="FFFFFF"/>
        </w:rPr>
        <w:t>(一)、</w:t>
      </w:r>
      <w:r>
        <w:rPr>
          <w:rFonts w:hint="eastAsia" w:ascii="Times New Roman" w:hAnsi="Times New Roman" w:eastAsia="方正黑体_GBK"/>
          <w:color w:val="333333"/>
          <w:sz w:val="32"/>
          <w:szCs w:val="32"/>
          <w:shd w:val="clear" w:color="auto" w:fill="FFFFFF"/>
        </w:rPr>
        <w:t>年度部门总体运行情况及取得的成绩</w:t>
      </w:r>
    </w:p>
    <w:p>
      <w:pPr>
        <w:pStyle w:val="4"/>
        <w:widowControl/>
        <w:adjustRightInd w:val="0"/>
        <w:snapToGrid w:val="0"/>
        <w:spacing w:before="0" w:beforeAutospacing="0" w:after="0" w:afterAutospacing="0"/>
        <w:ind w:firstLine="562" w:firstLineChars="200"/>
        <w:textAlignment w:val="center"/>
        <w:outlineLvl w:val="0"/>
        <w:rPr>
          <w:rFonts w:hint="eastAsia" w:ascii="Times New Roman" w:hAnsi="Times New Roman" w:eastAsia="方正黑体_GBK"/>
          <w:color w:val="333333"/>
          <w:sz w:val="32"/>
          <w:szCs w:val="32"/>
          <w:shd w:val="clear" w:color="auto" w:fill="FFFFFF"/>
        </w:rPr>
      </w:pPr>
      <w:r>
        <w:rPr>
          <w:rStyle w:val="7"/>
          <w:rFonts w:hint="eastAsia" w:ascii="宋体" w:hAnsi="宋体" w:cs="宋体"/>
          <w:color w:val="333333"/>
          <w:sz w:val="28"/>
          <w:szCs w:val="28"/>
          <w:shd w:val="clear" w:color="auto" w:fill="FFFFFF"/>
        </w:rPr>
        <w:t>(二)、</w:t>
      </w:r>
      <w:r>
        <w:rPr>
          <w:rFonts w:hint="eastAsia" w:ascii="Times New Roman" w:hAnsi="Times New Roman" w:eastAsia="方正黑体_GBK"/>
          <w:color w:val="333333"/>
          <w:sz w:val="32"/>
          <w:szCs w:val="32"/>
          <w:shd w:val="clear" w:color="auto" w:fill="FFFFFF"/>
        </w:rPr>
        <w:t>绩效评价分析</w:t>
      </w:r>
    </w:p>
    <w:p>
      <w:pPr>
        <w:pStyle w:val="4"/>
        <w:widowControl/>
        <w:adjustRightInd w:val="0"/>
        <w:snapToGrid w:val="0"/>
        <w:spacing w:before="0" w:beforeAutospacing="0" w:after="0" w:afterAutospacing="0"/>
        <w:ind w:firstLine="640" w:firstLineChars="200"/>
        <w:textAlignment w:val="center"/>
        <w:outlineLvl w:val="0"/>
        <w:rPr>
          <w:rFonts w:hint="eastAsia" w:ascii="Times New Roman" w:hAnsi="Times New Roman" w:eastAsia="方正黑体_GBK"/>
          <w:color w:val="333333"/>
          <w:sz w:val="32"/>
          <w:szCs w:val="32"/>
          <w:shd w:val="clear" w:color="auto" w:fill="FFFFFF"/>
        </w:rPr>
      </w:pPr>
      <w:r>
        <w:rPr>
          <w:rFonts w:hint="eastAsia" w:ascii="Times New Roman" w:hAnsi="Times New Roman" w:eastAsia="方正黑体_GBK"/>
          <w:color w:val="333333"/>
          <w:sz w:val="32"/>
          <w:szCs w:val="32"/>
          <w:shd w:val="clear" w:color="auto" w:fill="FFFFFF"/>
        </w:rPr>
        <w:t>1、投入</w:t>
      </w:r>
    </w:p>
    <w:p>
      <w:pPr>
        <w:pStyle w:val="4"/>
        <w:widowControl/>
        <w:adjustRightInd w:val="0"/>
        <w:snapToGrid w:val="0"/>
        <w:spacing w:before="0" w:beforeAutospacing="0" w:after="0" w:afterAutospacing="0"/>
        <w:ind w:firstLine="640" w:firstLineChars="200"/>
        <w:textAlignment w:val="center"/>
        <w:outlineLvl w:val="0"/>
        <w:rPr>
          <w:rFonts w:hint="eastAsia" w:ascii="Times New Roman" w:hAnsi="Times New Roman" w:eastAsia="方正黑体_GBK"/>
          <w:color w:val="333333"/>
          <w:sz w:val="32"/>
          <w:szCs w:val="32"/>
          <w:shd w:val="clear" w:color="auto" w:fill="FFFFFF"/>
        </w:rPr>
      </w:pPr>
      <w:r>
        <w:rPr>
          <w:rFonts w:hint="eastAsia" w:ascii="Times New Roman" w:hAnsi="Times New Roman" w:eastAsia="方正黑体_GBK"/>
          <w:color w:val="333333"/>
          <w:sz w:val="32"/>
          <w:szCs w:val="32"/>
          <w:shd w:val="clear" w:color="auto" w:fill="FFFFFF"/>
        </w:rPr>
        <w:t>2、过程</w:t>
      </w:r>
    </w:p>
    <w:p>
      <w:pPr>
        <w:pStyle w:val="4"/>
        <w:widowControl/>
        <w:adjustRightInd w:val="0"/>
        <w:snapToGrid w:val="0"/>
        <w:spacing w:before="0" w:beforeAutospacing="0" w:after="0" w:afterAutospacing="0"/>
        <w:ind w:firstLine="640" w:firstLineChars="200"/>
        <w:textAlignment w:val="center"/>
        <w:outlineLvl w:val="0"/>
        <w:rPr>
          <w:rFonts w:hint="eastAsia" w:ascii="Times New Roman" w:hAnsi="Times New Roman" w:eastAsia="方正黑体_GBK"/>
          <w:color w:val="333333"/>
          <w:sz w:val="32"/>
          <w:szCs w:val="32"/>
          <w:shd w:val="clear" w:color="auto" w:fill="FFFFFF"/>
        </w:rPr>
      </w:pPr>
      <w:r>
        <w:rPr>
          <w:rFonts w:hint="eastAsia" w:ascii="Times New Roman" w:hAnsi="Times New Roman" w:eastAsia="方正黑体_GBK"/>
          <w:color w:val="333333"/>
          <w:sz w:val="32"/>
          <w:szCs w:val="32"/>
          <w:shd w:val="clear" w:color="auto" w:fill="FFFFFF"/>
        </w:rPr>
        <w:t>3、产出</w:t>
      </w:r>
    </w:p>
    <w:p>
      <w:pPr>
        <w:pStyle w:val="4"/>
        <w:widowControl/>
        <w:adjustRightInd w:val="0"/>
        <w:snapToGrid w:val="0"/>
        <w:spacing w:before="0" w:beforeAutospacing="0" w:after="0" w:afterAutospacing="0"/>
        <w:ind w:firstLine="640" w:firstLineChars="200"/>
        <w:textAlignment w:val="center"/>
        <w:outlineLvl w:val="0"/>
        <w:rPr>
          <w:rFonts w:hint="eastAsia" w:ascii="Times New Roman" w:hAnsi="Times New Roman" w:eastAsia="方正黑体_GBK"/>
          <w:color w:val="333333"/>
          <w:sz w:val="32"/>
          <w:szCs w:val="32"/>
          <w:shd w:val="clear" w:color="auto" w:fill="FFFFFF"/>
        </w:rPr>
      </w:pPr>
      <w:r>
        <w:rPr>
          <w:rFonts w:hint="eastAsia" w:ascii="Times New Roman" w:hAnsi="Times New Roman" w:eastAsia="方正黑体_GBK"/>
          <w:color w:val="333333"/>
          <w:sz w:val="32"/>
          <w:szCs w:val="32"/>
          <w:shd w:val="clear" w:color="auto" w:fill="FFFFFF"/>
        </w:rPr>
        <w:t>4、效果</w:t>
      </w:r>
    </w:p>
    <w:p>
      <w:pPr>
        <w:pStyle w:val="4"/>
        <w:widowControl/>
        <w:adjustRightInd w:val="0"/>
        <w:snapToGrid w:val="0"/>
        <w:spacing w:before="0" w:beforeAutospacing="0" w:after="0" w:afterAutospacing="0"/>
        <w:ind w:firstLine="640" w:firstLineChars="200"/>
        <w:textAlignment w:val="center"/>
        <w:outlineLvl w:val="0"/>
        <w:rPr>
          <w:rStyle w:val="7"/>
          <w:rFonts w:ascii="宋体" w:hAnsi="宋体" w:cs="宋体"/>
          <w:color w:val="333333"/>
          <w:sz w:val="28"/>
          <w:szCs w:val="28"/>
          <w:shd w:val="clear" w:color="auto" w:fill="FFFFFF"/>
        </w:rPr>
      </w:pPr>
      <w:r>
        <w:rPr>
          <w:rFonts w:hint="eastAsia" w:ascii="Times New Roman" w:hAnsi="Times New Roman" w:eastAsia="方正黑体_GBK"/>
          <w:color w:val="333333"/>
          <w:sz w:val="32"/>
          <w:szCs w:val="32"/>
          <w:shd w:val="clear" w:color="auto" w:fill="FFFFFF"/>
        </w:rPr>
        <w:t>5、绩效评价结论</w:t>
      </w:r>
    </w:p>
    <w:p>
      <w:pPr>
        <w:pStyle w:val="2"/>
        <w:widowControl/>
        <w:shd w:val="clear" w:color="auto" w:fill="FFFFFF"/>
        <w:adjustRightInd w:val="0"/>
        <w:snapToGrid w:val="0"/>
        <w:spacing w:before="120" w:beforeAutospacing="0" w:after="120" w:afterAutospacing="0"/>
        <w:jc w:val="both"/>
        <w:rPr>
          <w:rFonts w:hint="default" w:ascii="Times New Roman" w:hAnsi="Times New Roman" w:eastAsia="方正黑体_GBK"/>
          <w:b w:val="0"/>
          <w:color w:val="333333"/>
          <w:kern w:val="0"/>
          <w:sz w:val="32"/>
          <w:szCs w:val="32"/>
          <w:shd w:val="clear" w:color="auto" w:fill="FFFFFF"/>
        </w:rPr>
      </w:pPr>
      <w:r>
        <w:fldChar w:fldCharType="begin"/>
      </w:r>
      <w:r>
        <w:instrText xml:space="preserve"> HYPERLINK "http://zjj.xxz.gov.cn/zwgk_159/fdzdgknr/czxx/202006/t20200630_1698329.html" \l "_Toc44226884" </w:instrText>
      </w:r>
      <w:r>
        <w:fldChar w:fldCharType="separate"/>
      </w:r>
      <w:r>
        <w:rPr>
          <w:rFonts w:ascii="Times New Roman" w:hAnsi="Times New Roman" w:eastAsia="方正黑体_GBK"/>
          <w:b w:val="0"/>
          <w:color w:val="333333"/>
          <w:kern w:val="0"/>
          <w:sz w:val="32"/>
          <w:szCs w:val="32"/>
          <w:shd w:val="clear" w:color="auto" w:fill="FFFFFF"/>
        </w:rPr>
        <w:t>九</w:t>
      </w:r>
      <w:r>
        <w:rPr>
          <w:rFonts w:hint="default" w:ascii="Times New Roman" w:hAnsi="Times New Roman" w:eastAsia="方正黑体_GBK"/>
          <w:b w:val="0"/>
          <w:color w:val="333333"/>
          <w:kern w:val="0"/>
          <w:sz w:val="32"/>
          <w:szCs w:val="32"/>
          <w:shd w:val="clear" w:color="auto" w:fill="FFFFFF"/>
        </w:rPr>
        <w:t>、存在的主要问题及下一步改进措施</w:t>
      </w:r>
      <w:r>
        <w:rPr>
          <w:rFonts w:hint="default" w:ascii="Times New Roman" w:hAnsi="Times New Roman" w:eastAsia="方正黑体_GBK"/>
          <w:b w:val="0"/>
          <w:color w:val="333333"/>
          <w:kern w:val="0"/>
          <w:sz w:val="32"/>
          <w:szCs w:val="32"/>
          <w:shd w:val="clear" w:color="auto" w:fill="FFFFFF"/>
        </w:rPr>
        <w:fldChar w:fldCharType="end"/>
      </w:r>
    </w:p>
    <w:p>
      <w:pPr>
        <w:pStyle w:val="4"/>
        <w:widowControl/>
        <w:adjustRightInd w:val="0"/>
        <w:snapToGrid w:val="0"/>
        <w:spacing w:before="0" w:beforeAutospacing="0" w:after="0" w:afterAutospacing="0"/>
        <w:ind w:firstLine="562" w:firstLineChars="200"/>
        <w:textAlignment w:val="center"/>
        <w:outlineLvl w:val="0"/>
        <w:rPr>
          <w:rFonts w:ascii="Times New Roman" w:hAnsi="Times New Roman" w:eastAsia="方正黑体_GBK"/>
          <w:color w:val="333333"/>
          <w:sz w:val="32"/>
          <w:szCs w:val="32"/>
          <w:shd w:val="clear" w:color="auto" w:fill="FFFFFF"/>
        </w:rPr>
      </w:pPr>
      <w:r>
        <w:rPr>
          <w:rStyle w:val="7"/>
          <w:rFonts w:hint="eastAsia" w:ascii="宋体" w:hAnsi="宋体" w:cs="宋体"/>
          <w:color w:val="333333"/>
          <w:sz w:val="28"/>
          <w:szCs w:val="28"/>
          <w:shd w:val="clear" w:color="auto" w:fill="FFFFFF"/>
        </w:rPr>
        <w:t>(一)、</w:t>
      </w:r>
      <w:r>
        <w:fldChar w:fldCharType="begin"/>
      </w:r>
      <w:r>
        <w:instrText xml:space="preserve"> HYPERLINK "http://zjj.xxz.gov.cn/zwgk_159/fdzdgknr/czxx/202006/t20200630_1698329.html" \l "_Toc44226885" </w:instrText>
      </w:r>
      <w:r>
        <w:fldChar w:fldCharType="separate"/>
      </w:r>
      <w:r>
        <w:rPr>
          <w:rFonts w:ascii="Times New Roman" w:hAnsi="Times New Roman" w:eastAsia="方正黑体_GBK"/>
          <w:color w:val="333333"/>
          <w:sz w:val="32"/>
          <w:szCs w:val="32"/>
          <w:shd w:val="clear" w:color="auto" w:fill="FFFFFF"/>
        </w:rPr>
        <w:t>存在主要问题</w:t>
      </w:r>
      <w:r>
        <w:rPr>
          <w:rFonts w:ascii="Times New Roman" w:hAnsi="Times New Roman" w:eastAsia="方正黑体_GBK"/>
          <w:color w:val="333333"/>
          <w:sz w:val="32"/>
          <w:szCs w:val="32"/>
          <w:shd w:val="clear" w:color="auto" w:fill="FFFFFF"/>
        </w:rPr>
        <w:fldChar w:fldCharType="end"/>
      </w:r>
    </w:p>
    <w:p>
      <w:pPr>
        <w:pStyle w:val="4"/>
        <w:widowControl/>
        <w:adjustRightInd w:val="0"/>
        <w:snapToGrid w:val="0"/>
        <w:spacing w:before="0" w:beforeAutospacing="0" w:after="0" w:afterAutospacing="0"/>
        <w:ind w:firstLine="480" w:firstLineChars="200"/>
        <w:textAlignment w:val="center"/>
        <w:outlineLvl w:val="0"/>
        <w:rPr>
          <w:rFonts w:ascii="Times New Roman" w:hAnsi="Times New Roman" w:eastAsia="方正黑体_GBK"/>
          <w:color w:val="333333"/>
          <w:sz w:val="32"/>
          <w:szCs w:val="32"/>
          <w:shd w:val="clear" w:color="auto" w:fill="FFFFFF"/>
        </w:rPr>
      </w:pPr>
      <w:r>
        <w:fldChar w:fldCharType="begin"/>
      </w:r>
      <w:r>
        <w:instrText xml:space="preserve"> HYPERLINK "http://zjj.xxz.gov.cn/zwgk_159/fdzdgknr/czxx/202006/t20200630_1698329.html" \l "_Toc44226886" </w:instrText>
      </w:r>
      <w:r>
        <w:fldChar w:fldCharType="separate"/>
      </w:r>
      <w:r>
        <w:rPr>
          <w:rStyle w:val="7"/>
          <w:rFonts w:hint="eastAsia" w:ascii="宋体" w:hAnsi="宋体" w:cs="宋体"/>
          <w:color w:val="333333"/>
          <w:sz w:val="28"/>
          <w:szCs w:val="28"/>
          <w:shd w:val="clear" w:color="auto" w:fill="FFFFFF"/>
        </w:rPr>
        <w:t>(二)、</w:t>
      </w:r>
      <w:r>
        <w:rPr>
          <w:rFonts w:ascii="Times New Roman" w:hAnsi="Times New Roman" w:eastAsia="方正黑体_GBK"/>
          <w:color w:val="333333"/>
          <w:sz w:val="32"/>
          <w:szCs w:val="32"/>
          <w:shd w:val="clear" w:color="auto" w:fill="FFFFFF"/>
        </w:rPr>
        <w:t>改进措施</w:t>
      </w:r>
      <w:r>
        <w:rPr>
          <w:rFonts w:ascii="Times New Roman" w:hAnsi="Times New Roman" w:eastAsia="方正黑体_GBK"/>
          <w:color w:val="333333"/>
          <w:sz w:val="32"/>
          <w:szCs w:val="32"/>
          <w:shd w:val="clear" w:color="auto" w:fill="FFFFFF"/>
        </w:rPr>
        <w:fldChar w:fldCharType="end"/>
      </w:r>
    </w:p>
    <w:p>
      <w:pPr>
        <w:pStyle w:val="2"/>
        <w:widowControl/>
        <w:shd w:val="clear" w:color="auto" w:fill="FFFFFF"/>
        <w:adjustRightInd w:val="0"/>
        <w:snapToGrid w:val="0"/>
        <w:spacing w:before="120" w:beforeAutospacing="0" w:after="120" w:afterAutospacing="0"/>
        <w:jc w:val="both"/>
        <w:rPr>
          <w:rFonts w:hint="default" w:ascii="Times New Roman" w:hAnsi="Times New Roman" w:eastAsia="方正黑体_GBK"/>
          <w:b w:val="0"/>
          <w:color w:val="333333"/>
          <w:kern w:val="0"/>
          <w:sz w:val="32"/>
          <w:szCs w:val="32"/>
          <w:shd w:val="clear" w:color="auto" w:fill="FFFFFF"/>
        </w:rPr>
      </w:pPr>
      <w:r>
        <w:fldChar w:fldCharType="begin"/>
      </w:r>
      <w:r>
        <w:instrText xml:space="preserve"> HYPERLINK "http://zjj.xxz.gov.cn/zwgk_159/fdzdgknr/czxx/202006/t20200630_1698329.html" \l "_Toc44226887" </w:instrText>
      </w:r>
      <w:r>
        <w:fldChar w:fldCharType="separate"/>
      </w:r>
      <w:r>
        <w:rPr>
          <w:rFonts w:ascii="Times New Roman" w:hAnsi="Times New Roman" w:eastAsia="方正黑体_GBK"/>
          <w:b w:val="0"/>
          <w:color w:val="333333"/>
          <w:kern w:val="0"/>
          <w:sz w:val="32"/>
          <w:szCs w:val="32"/>
          <w:shd w:val="clear" w:color="auto" w:fill="FFFFFF"/>
        </w:rPr>
        <w:t>十</w:t>
      </w:r>
      <w:r>
        <w:rPr>
          <w:rFonts w:hint="default" w:ascii="Times New Roman" w:hAnsi="Times New Roman" w:eastAsia="方正黑体_GBK"/>
          <w:b w:val="0"/>
          <w:color w:val="333333"/>
          <w:kern w:val="0"/>
          <w:sz w:val="32"/>
          <w:szCs w:val="32"/>
          <w:shd w:val="clear" w:color="auto" w:fill="FFFFFF"/>
        </w:rPr>
        <w:t>、绩效自评结果拟应用和公开情况</w:t>
      </w:r>
      <w:r>
        <w:rPr>
          <w:rFonts w:hint="default" w:ascii="Times New Roman" w:hAnsi="Times New Roman" w:eastAsia="方正黑体_GBK"/>
          <w:b w:val="0"/>
          <w:color w:val="333333"/>
          <w:kern w:val="0"/>
          <w:sz w:val="32"/>
          <w:szCs w:val="32"/>
          <w:shd w:val="clear" w:color="auto" w:fill="FFFFFF"/>
        </w:rPr>
        <w:fldChar w:fldCharType="end"/>
      </w:r>
    </w:p>
    <w:p>
      <w:pPr>
        <w:pStyle w:val="2"/>
        <w:widowControl/>
        <w:shd w:val="clear" w:color="auto" w:fill="FFFFFF"/>
        <w:adjustRightInd w:val="0"/>
        <w:snapToGrid w:val="0"/>
        <w:spacing w:before="120" w:beforeAutospacing="0" w:after="120" w:afterAutospacing="0"/>
        <w:jc w:val="both"/>
        <w:rPr>
          <w:rFonts w:hint="default" w:ascii="Times New Roman" w:hAnsi="Times New Roman" w:eastAsia="方正黑体_GBK"/>
          <w:b w:val="0"/>
          <w:color w:val="333333"/>
          <w:kern w:val="0"/>
          <w:sz w:val="32"/>
          <w:szCs w:val="32"/>
          <w:shd w:val="clear" w:color="auto" w:fill="FFFFFF"/>
        </w:rPr>
      </w:pPr>
      <w:r>
        <w:fldChar w:fldCharType="begin"/>
      </w:r>
      <w:r>
        <w:instrText xml:space="preserve"> HYPERLINK "http://zjj.xxz.gov.cn/zwgk_159/fdzdgknr/czxx/202006/t20200630_1698329.html" \l "_Toc44226888" </w:instrText>
      </w:r>
      <w:r>
        <w:fldChar w:fldCharType="separate"/>
      </w:r>
      <w:r>
        <w:rPr>
          <w:rFonts w:ascii="Times New Roman" w:hAnsi="Times New Roman" w:eastAsia="方正黑体_GBK"/>
          <w:b w:val="0"/>
          <w:color w:val="333333"/>
          <w:kern w:val="0"/>
          <w:sz w:val="32"/>
          <w:szCs w:val="32"/>
          <w:shd w:val="clear" w:color="auto" w:fill="FFFFFF"/>
        </w:rPr>
        <w:t>十一</w:t>
      </w:r>
      <w:r>
        <w:rPr>
          <w:rFonts w:hint="default" w:ascii="Times New Roman" w:hAnsi="Times New Roman" w:eastAsia="方正黑体_GBK"/>
          <w:b w:val="0"/>
          <w:color w:val="333333"/>
          <w:kern w:val="0"/>
          <w:sz w:val="32"/>
          <w:szCs w:val="32"/>
          <w:shd w:val="clear" w:color="auto" w:fill="FFFFFF"/>
        </w:rPr>
        <w:t>、其他需要说明的情况</w:t>
      </w:r>
      <w:r>
        <w:rPr>
          <w:rFonts w:hint="default" w:ascii="Times New Roman" w:hAnsi="Times New Roman" w:eastAsia="方正黑体_GBK"/>
          <w:b w:val="0"/>
          <w:color w:val="333333"/>
          <w:kern w:val="0"/>
          <w:sz w:val="32"/>
          <w:szCs w:val="32"/>
          <w:shd w:val="clear" w:color="auto" w:fill="FFFFFF"/>
        </w:rPr>
        <w:fldChar w:fldCharType="end"/>
      </w:r>
    </w:p>
    <w:p>
      <w:pPr>
        <w:pStyle w:val="4"/>
        <w:widowControl/>
        <w:shd w:val="clear" w:color="auto" w:fill="FFFFFF"/>
        <w:adjustRightInd w:val="0"/>
        <w:snapToGrid w:val="0"/>
        <w:spacing w:before="0" w:beforeAutospacing="0" w:after="0" w:afterAutospacing="0"/>
        <w:textAlignment w:val="center"/>
        <w:rPr>
          <w:rFonts w:ascii="Times New Roman" w:hAnsi="Times New Roman"/>
          <w:color w:val="333333"/>
        </w:rPr>
      </w:pPr>
    </w:p>
    <w:p>
      <w:pPr>
        <w:pStyle w:val="4"/>
        <w:widowControl/>
        <w:shd w:val="clear" w:color="auto" w:fill="FFFFFF"/>
        <w:adjustRightInd w:val="0"/>
        <w:snapToGrid w:val="0"/>
        <w:spacing w:before="0" w:beforeAutospacing="0" w:after="0" w:afterAutospacing="0"/>
        <w:jc w:val="center"/>
        <w:textAlignment w:val="center"/>
        <w:outlineLvl w:val="0"/>
        <w:rPr>
          <w:rFonts w:ascii="Times New Roman" w:hAnsi="Times New Roman" w:eastAsia="方正小标宋_GBK"/>
          <w:color w:val="000000"/>
          <w:sz w:val="36"/>
          <w:szCs w:val="36"/>
          <w:shd w:val="clear" w:color="auto" w:fill="FFFFFF"/>
        </w:rPr>
      </w:pPr>
      <w:r>
        <w:rPr>
          <w:rFonts w:ascii="Times New Roman" w:hAnsi="Times New Roman" w:eastAsia="黑体"/>
          <w:color w:val="000000"/>
          <w:shd w:val="clear" w:color="auto" w:fill="FFFFFF"/>
        </w:rPr>
        <w:br w:type="page"/>
      </w:r>
      <w:r>
        <w:rPr>
          <w:rFonts w:ascii="Times New Roman" w:hAnsi="Times New Roman" w:eastAsia="方正小标宋_GBK"/>
          <w:color w:val="000000"/>
          <w:sz w:val="36"/>
          <w:szCs w:val="36"/>
          <w:shd w:val="clear" w:color="auto" w:fill="FFFFFF"/>
        </w:rPr>
        <w:t>重庆市万州区残疾人联合会</w:t>
      </w:r>
    </w:p>
    <w:p>
      <w:pPr>
        <w:pStyle w:val="4"/>
        <w:widowControl/>
        <w:shd w:val="clear" w:color="auto" w:fill="FFFFFF"/>
        <w:adjustRightInd w:val="0"/>
        <w:snapToGrid w:val="0"/>
        <w:spacing w:before="0" w:beforeAutospacing="0" w:after="0" w:afterAutospacing="0"/>
        <w:jc w:val="center"/>
        <w:textAlignment w:val="center"/>
        <w:outlineLvl w:val="0"/>
        <w:rPr>
          <w:rFonts w:ascii="Times New Roman" w:hAnsi="Times New Roman" w:eastAsia="方正小标宋_GBK"/>
          <w:color w:val="000000"/>
          <w:sz w:val="36"/>
          <w:szCs w:val="36"/>
          <w:shd w:val="clear" w:color="auto" w:fill="FFFFFF"/>
        </w:rPr>
      </w:pPr>
      <w:r>
        <w:rPr>
          <w:rFonts w:ascii="Times New Roman" w:hAnsi="Times New Roman" w:eastAsia="方正小标宋_GBK"/>
          <w:color w:val="000000"/>
          <w:sz w:val="36"/>
          <w:szCs w:val="36"/>
          <w:shd w:val="clear" w:color="auto" w:fill="FFFFFF"/>
        </w:rPr>
        <w:t>部门整体支出绩效评价报告</w:t>
      </w:r>
    </w:p>
    <w:p>
      <w:pPr>
        <w:pStyle w:val="4"/>
        <w:widowControl/>
        <w:shd w:val="clear" w:color="auto" w:fill="FFFFFF"/>
        <w:adjustRightInd w:val="0"/>
        <w:snapToGrid w:val="0"/>
        <w:spacing w:before="0" w:beforeAutospacing="0" w:after="0" w:afterAutospacing="0"/>
        <w:textAlignment w:val="center"/>
        <w:rPr>
          <w:rFonts w:ascii="Times New Roman" w:hAnsi="Times New Roman"/>
          <w:color w:val="333333"/>
        </w:rPr>
      </w:pPr>
      <w:r>
        <w:rPr>
          <w:rFonts w:ascii="Times New Roman" w:hAnsi="Times New Roman"/>
          <w:color w:val="333333"/>
          <w:sz w:val="21"/>
          <w:szCs w:val="21"/>
          <w:shd w:val="clear" w:color="auto" w:fill="FFFFFF"/>
        </w:rPr>
        <w:t>     </w:t>
      </w:r>
    </w:p>
    <w:p>
      <w:pPr>
        <w:ind w:firstLine="560" w:firstLineChars="200"/>
        <w:rPr>
          <w:rFonts w:hint="eastAsia" w:ascii="宋体" w:hAnsi="宋体" w:cs="宋体"/>
          <w:sz w:val="28"/>
          <w:szCs w:val="28"/>
        </w:rPr>
      </w:pPr>
      <w:r>
        <w:rPr>
          <w:rFonts w:hint="eastAsia" w:ascii="宋体" w:hAnsi="宋体" w:cs="宋体"/>
          <w:sz w:val="28"/>
          <w:szCs w:val="28"/>
        </w:rPr>
        <w:t>为加强重庆市万州区残疾人联合会(以下简称“本部门”）财政资金管理，强化支出责任，提高财政资金的使用效益，建立科学、合理的财政支出绩效评价管理体系，提高本部门财政资金的使用效益，根据中共中央国务院《关于全面实施预算绩效管理的意见》（中发〔2018〕34号）、《重庆市委 市政府关于全面实施预算绩效管理的意见》（渝委发〔2019〕12号）精神，从全方位、全过程、全覆盖三个层面推动预算绩效管理改革，增强预算资金主管部门和使用单位绩效意识和部门资金管理水平，根据《重庆市万州区人民政府办公室关于印发贯彻全面实施预算绩效管理任务分解方案的通知》（万州府办发〔2019〕79号）的要求，结合《万州区2019年度经济社会发展实绩考核实施细则》和本部门实际情况，于2020年12月对2019年本部门整体支出绩效进行了自评，本次评价遵循了“科学规范、公正公开、分类管理、绩效相关”的原则，运用了科学、合理的绩效评价指标、评价标准和评价方法，坚持客观、公正的评价。现将情况汇报如下：</w:t>
      </w:r>
    </w:p>
    <w:p>
      <w:pPr>
        <w:rPr>
          <w:rFonts w:hint="eastAsia" w:ascii="宋体" w:hAnsi="宋体" w:cs="宋体"/>
          <w:b/>
          <w:bCs/>
          <w:sz w:val="32"/>
          <w:szCs w:val="32"/>
        </w:rPr>
      </w:pPr>
      <w:r>
        <w:rPr>
          <w:rFonts w:hint="eastAsia" w:ascii="宋体" w:hAnsi="宋体" w:cs="宋体"/>
          <w:b/>
          <w:bCs/>
          <w:sz w:val="32"/>
          <w:szCs w:val="32"/>
        </w:rPr>
        <w:t>一、部门概况</w:t>
      </w:r>
    </w:p>
    <w:p>
      <w:pPr>
        <w:ind w:firstLine="562" w:firstLineChars="200"/>
        <w:rPr>
          <w:rFonts w:hint="eastAsia" w:ascii="宋体" w:hAnsi="宋体" w:cs="宋体"/>
          <w:b/>
          <w:bCs/>
          <w:sz w:val="28"/>
          <w:szCs w:val="28"/>
        </w:rPr>
      </w:pPr>
      <w:r>
        <w:rPr>
          <w:rFonts w:hint="eastAsia" w:ascii="宋体" w:hAnsi="宋体" w:cs="宋体"/>
          <w:b/>
          <w:bCs/>
          <w:sz w:val="28"/>
          <w:szCs w:val="28"/>
        </w:rPr>
        <w:t>（一）部门基本情况，部门职责概述</w:t>
      </w:r>
    </w:p>
    <w:p>
      <w:pPr>
        <w:ind w:firstLine="560" w:firstLineChars="200"/>
        <w:rPr>
          <w:rFonts w:hint="eastAsia" w:ascii="宋体" w:hAnsi="宋体" w:cs="宋体"/>
          <w:sz w:val="28"/>
          <w:szCs w:val="28"/>
        </w:rPr>
      </w:pPr>
      <w:r>
        <w:rPr>
          <w:rFonts w:hint="eastAsia" w:ascii="宋体" w:hAnsi="宋体" w:cs="宋体"/>
          <w:sz w:val="28"/>
          <w:szCs w:val="28"/>
        </w:rPr>
        <w:t>万州区残疾人联合会属于财政全额拨款的社会群团组织,内设办公室、教就部、康复部,下属唯一直属单位万州区残疾人综合服务中心为财政补助事业单位。万州区残疾人联合会编制人数11人。2019年年末实有人数为一般公共预算财政拨款开支人数11人，实职领导3人（1正2副）；退休职工17人已全部纳入社保部门管理；万州区残疾人综合服务中心财政补助人员编制为9人，经费自理人员编制为2人。2019年年末实有人数为一般公共预算财政补助开支人数为9人，经费自理人数为2人，退休职工1人已纳入社保部门管理。</w:t>
      </w:r>
    </w:p>
    <w:p>
      <w:pPr>
        <w:rPr>
          <w:rFonts w:hint="eastAsia" w:ascii="宋体" w:hAnsi="宋体" w:cs="宋体"/>
          <w:sz w:val="28"/>
          <w:szCs w:val="28"/>
        </w:rPr>
      </w:pPr>
      <w:r>
        <w:rPr>
          <w:rFonts w:hint="eastAsia" w:ascii="宋体" w:hAnsi="宋体" w:cs="宋体"/>
          <w:sz w:val="28"/>
          <w:szCs w:val="28"/>
        </w:rPr>
        <w:t>部门职责概述：</w:t>
      </w:r>
    </w:p>
    <w:p>
      <w:pPr>
        <w:rPr>
          <w:rFonts w:hint="eastAsia" w:ascii="宋体" w:hAnsi="宋体" w:cs="宋体"/>
          <w:sz w:val="28"/>
          <w:szCs w:val="28"/>
        </w:rPr>
      </w:pPr>
      <w:r>
        <w:rPr>
          <w:rFonts w:hint="eastAsia" w:ascii="宋体" w:hAnsi="宋体" w:cs="宋体"/>
          <w:sz w:val="28"/>
          <w:szCs w:val="28"/>
        </w:rPr>
        <w:t xml:space="preserve">    （1）、听取残疾人意见，反映残疾人需求，维护残疾人权益，为残疾人服务。 </w:t>
      </w:r>
    </w:p>
    <w:p>
      <w:pPr>
        <w:rPr>
          <w:rFonts w:hint="eastAsia" w:ascii="宋体" w:hAnsi="宋体" w:cs="宋体"/>
          <w:sz w:val="28"/>
          <w:szCs w:val="28"/>
        </w:rPr>
      </w:pPr>
      <w:r>
        <w:rPr>
          <w:rFonts w:hint="eastAsia" w:ascii="宋体" w:hAnsi="宋体" w:cs="宋体"/>
          <w:sz w:val="28"/>
          <w:szCs w:val="28"/>
        </w:rPr>
        <w:t xml:space="preserve">    （2）、团结教育残疾人遵守法律，履行应尽的义务；发扬乐观进取精神，自尊、自信、自强、自立，为社会主义建设贡献力量。 </w:t>
      </w:r>
    </w:p>
    <w:p>
      <w:pPr>
        <w:rPr>
          <w:rFonts w:hint="eastAsia" w:ascii="宋体" w:hAnsi="宋体" w:cs="宋体"/>
          <w:sz w:val="28"/>
          <w:szCs w:val="28"/>
        </w:rPr>
      </w:pPr>
      <w:r>
        <w:rPr>
          <w:rFonts w:hint="eastAsia" w:ascii="宋体" w:hAnsi="宋体" w:cs="宋体"/>
          <w:sz w:val="28"/>
          <w:szCs w:val="28"/>
        </w:rPr>
        <w:t xml:space="preserve">    （3）、弘扬人道主义，宣传残疾人事业，沟通政府、社会与残疾人之间的联系，动员社会理解、尊重、关心、帮助残疾人。 </w:t>
      </w:r>
    </w:p>
    <w:p>
      <w:pPr>
        <w:rPr>
          <w:rFonts w:hint="eastAsia" w:ascii="宋体" w:hAnsi="宋体" w:cs="宋体"/>
          <w:sz w:val="28"/>
          <w:szCs w:val="28"/>
        </w:rPr>
      </w:pPr>
      <w:r>
        <w:rPr>
          <w:rFonts w:hint="eastAsia" w:ascii="宋体" w:hAnsi="宋体" w:cs="宋体"/>
          <w:sz w:val="28"/>
          <w:szCs w:val="28"/>
        </w:rPr>
        <w:t xml:space="preserve">    （4）、开展残疾人康复、教育、劳动就业、文化、体育、科研、用品用具供应、福利、社会服务、无障碍设施和残疾预防工作，创造良好的环境和条件，扶助残疾人平等参与社会生活。 </w:t>
      </w:r>
    </w:p>
    <w:p>
      <w:pPr>
        <w:rPr>
          <w:rFonts w:hint="eastAsia" w:ascii="宋体" w:hAnsi="宋体" w:cs="宋体"/>
          <w:sz w:val="28"/>
          <w:szCs w:val="28"/>
        </w:rPr>
      </w:pPr>
      <w:r>
        <w:rPr>
          <w:rFonts w:hint="eastAsia" w:ascii="宋体" w:hAnsi="宋体" w:cs="宋体"/>
          <w:sz w:val="28"/>
          <w:szCs w:val="28"/>
        </w:rPr>
        <w:t xml:space="preserve">    （5）、协助政府研究、制定和实施残疾人事业的法规、政策、规划和计划，对有关业务领域进行指导和管理。 </w:t>
      </w:r>
    </w:p>
    <w:p>
      <w:pPr>
        <w:rPr>
          <w:rFonts w:hint="eastAsia" w:ascii="宋体" w:hAnsi="宋体" w:cs="宋体"/>
          <w:sz w:val="28"/>
          <w:szCs w:val="28"/>
        </w:rPr>
      </w:pPr>
      <w:r>
        <w:rPr>
          <w:rFonts w:hint="eastAsia" w:ascii="宋体" w:hAnsi="宋体" w:cs="宋体"/>
          <w:sz w:val="28"/>
          <w:szCs w:val="28"/>
        </w:rPr>
        <w:t xml:space="preserve">    （6）、承担政府残疾人工作协调委员会的日常工作，做好综合、组织、协调和服务。 </w:t>
      </w:r>
    </w:p>
    <w:p>
      <w:pPr>
        <w:rPr>
          <w:rFonts w:hint="eastAsia" w:ascii="宋体" w:hAnsi="宋体" w:cs="宋体"/>
          <w:sz w:val="28"/>
          <w:szCs w:val="28"/>
        </w:rPr>
      </w:pPr>
      <w:r>
        <w:rPr>
          <w:rFonts w:hint="eastAsia" w:ascii="宋体" w:hAnsi="宋体" w:cs="宋体"/>
          <w:sz w:val="28"/>
          <w:szCs w:val="28"/>
        </w:rPr>
        <w:t xml:space="preserve">    （7）、指导和管理各类残疾人社团组织。 </w:t>
      </w:r>
    </w:p>
    <w:p>
      <w:pPr>
        <w:ind w:firstLine="560" w:firstLineChars="200"/>
        <w:rPr>
          <w:rFonts w:hint="eastAsia" w:ascii="宋体" w:hAnsi="宋体" w:cs="宋体"/>
          <w:sz w:val="28"/>
          <w:szCs w:val="28"/>
        </w:rPr>
      </w:pPr>
      <w:r>
        <w:rPr>
          <w:rFonts w:hint="eastAsia" w:ascii="宋体" w:hAnsi="宋体" w:cs="宋体"/>
          <w:sz w:val="28"/>
          <w:szCs w:val="28"/>
        </w:rPr>
        <w:t xml:space="preserve">（8）、开展残疾人事业的国际交流与合作。 </w:t>
      </w:r>
    </w:p>
    <w:p>
      <w:pPr>
        <w:ind w:firstLine="560" w:firstLineChars="200"/>
        <w:rPr>
          <w:rFonts w:hint="eastAsia" w:ascii="宋体" w:hAnsi="宋体" w:cs="宋体"/>
          <w:sz w:val="28"/>
          <w:szCs w:val="28"/>
        </w:rPr>
      </w:pPr>
      <w:r>
        <w:rPr>
          <w:rFonts w:hint="eastAsia" w:ascii="宋体" w:hAnsi="宋体" w:cs="宋体"/>
          <w:sz w:val="28"/>
          <w:szCs w:val="28"/>
        </w:rPr>
        <w:t>（9）、承担政府交办的其他工作。</w:t>
      </w:r>
    </w:p>
    <w:p>
      <w:pPr>
        <w:rPr>
          <w:rFonts w:hint="eastAsia" w:ascii="宋体" w:hAnsi="宋体" w:cs="宋体"/>
          <w:sz w:val="28"/>
          <w:szCs w:val="28"/>
        </w:rPr>
      </w:pPr>
    </w:p>
    <w:p>
      <w:pPr>
        <w:ind w:firstLine="562" w:firstLineChars="200"/>
        <w:rPr>
          <w:rFonts w:hint="eastAsia" w:ascii="宋体" w:hAnsi="宋体" w:cs="宋体"/>
          <w:b/>
          <w:bCs/>
          <w:sz w:val="28"/>
          <w:szCs w:val="28"/>
        </w:rPr>
      </w:pPr>
      <w:r>
        <w:rPr>
          <w:rFonts w:hint="eastAsia" w:ascii="宋体" w:hAnsi="宋体" w:cs="宋体"/>
          <w:b/>
          <w:bCs/>
          <w:sz w:val="28"/>
          <w:szCs w:val="28"/>
        </w:rPr>
        <w:t>（二）部门整体支出规模、使用方向和主要内容、涉及范围等</w:t>
      </w:r>
    </w:p>
    <w:p>
      <w:pPr>
        <w:ind w:firstLine="560" w:firstLineChars="200"/>
        <w:rPr>
          <w:rFonts w:hint="eastAsia" w:ascii="宋体" w:hAnsi="宋体" w:cs="宋体"/>
          <w:sz w:val="28"/>
          <w:szCs w:val="28"/>
        </w:rPr>
      </w:pPr>
      <w:bookmarkStart w:id="0" w:name="_Toc21606"/>
      <w:r>
        <w:rPr>
          <w:rFonts w:hint="eastAsia" w:ascii="宋体" w:hAnsi="宋体" w:cs="宋体"/>
          <w:sz w:val="28"/>
          <w:szCs w:val="28"/>
        </w:rPr>
        <w:t>本部门2019年度部门整体支出4855.49万元，主要用于日常开支及残疾人康复、教育、体育、扶贫、技能培训及就业等方面。</w:t>
      </w:r>
      <w:bookmarkEnd w:id="0"/>
    </w:p>
    <w:p>
      <w:pPr>
        <w:rPr>
          <w:rFonts w:hint="eastAsia" w:ascii="宋体" w:hAnsi="宋体" w:cs="宋体"/>
          <w:b/>
          <w:bCs/>
          <w:sz w:val="32"/>
          <w:szCs w:val="32"/>
        </w:rPr>
      </w:pPr>
      <w:bookmarkStart w:id="1" w:name="_Toc21875"/>
      <w:bookmarkEnd w:id="1"/>
      <w:bookmarkStart w:id="2" w:name="_Toc1680"/>
      <w:bookmarkEnd w:id="2"/>
      <w:bookmarkStart w:id="3" w:name="_Toc21164"/>
      <w:bookmarkEnd w:id="3"/>
      <w:bookmarkStart w:id="4" w:name="_Toc43128216"/>
      <w:r>
        <w:rPr>
          <w:rFonts w:hint="eastAsia" w:ascii="宋体" w:hAnsi="宋体" w:cs="宋体"/>
          <w:b/>
          <w:bCs/>
          <w:sz w:val="32"/>
          <w:szCs w:val="32"/>
        </w:rPr>
        <w:t>二、部门决算情况</w:t>
      </w:r>
    </w:p>
    <w:p>
      <w:pPr>
        <w:ind w:firstLine="562" w:firstLineChars="200"/>
        <w:rPr>
          <w:rFonts w:hint="eastAsia" w:ascii="宋体" w:hAnsi="宋体" w:cs="宋体"/>
          <w:b/>
          <w:bCs/>
          <w:sz w:val="28"/>
          <w:szCs w:val="28"/>
        </w:rPr>
      </w:pPr>
      <w:r>
        <w:rPr>
          <w:rFonts w:hint="eastAsia" w:ascii="宋体" w:hAnsi="宋体" w:cs="宋体"/>
          <w:b/>
          <w:bCs/>
          <w:sz w:val="28"/>
          <w:szCs w:val="28"/>
        </w:rPr>
        <w:t>(一)、收入支出总体情况</w:t>
      </w:r>
    </w:p>
    <w:p>
      <w:pPr>
        <w:ind w:firstLine="560" w:firstLineChars="200"/>
        <w:rPr>
          <w:rFonts w:hint="eastAsia" w:ascii="宋体" w:hAnsi="宋体" w:cs="宋体"/>
          <w:sz w:val="28"/>
          <w:szCs w:val="28"/>
        </w:rPr>
      </w:pPr>
      <w:r>
        <w:rPr>
          <w:rFonts w:hint="eastAsia" w:ascii="宋体" w:hAnsi="宋体" w:cs="宋体"/>
          <w:sz w:val="28"/>
          <w:szCs w:val="28"/>
        </w:rPr>
        <w:t>1.总体情况。2019年度收入总计4,895.26万元，支出总计4,895.26万元。收支较上年决算数增加685.10万元、增长16.27%，主要原因是各级政府加大了残疾人事业发展投入。本部分的收入总计包括收入合计、用事业基金弥补收支差额、年初结转和结余，支出总计包括本年支出合计、结余分配、年末结转和结余。</w:t>
      </w:r>
    </w:p>
    <w:p>
      <w:pPr>
        <w:ind w:firstLine="560" w:firstLineChars="200"/>
        <w:rPr>
          <w:rFonts w:hint="eastAsia" w:ascii="宋体" w:hAnsi="宋体" w:cs="宋体"/>
          <w:sz w:val="28"/>
          <w:szCs w:val="28"/>
        </w:rPr>
      </w:pPr>
      <w:r>
        <w:rPr>
          <w:rFonts w:hint="eastAsia" w:ascii="宋体" w:hAnsi="宋体" w:cs="宋体"/>
          <w:sz w:val="28"/>
          <w:szCs w:val="28"/>
        </w:rPr>
        <w:t>2.收入情况。2019年度收入合计4,856.98万元，较上年决算数增加696.88万元，增长16.75%，主要原因是市级转移性资金用于残疾运动员参加全国十残会暨第七届特奥会奖金和残疾冬送温暖项目资金增加。其中：财政拨款收入4,274.18万元，占88.00%；其他收入582.79万元，占12.00%。年初结转和结余38.28万元。</w:t>
      </w:r>
    </w:p>
    <w:p>
      <w:pPr>
        <w:ind w:firstLine="560" w:firstLineChars="200"/>
        <w:rPr>
          <w:rFonts w:hint="eastAsia" w:ascii="宋体" w:hAnsi="宋体" w:cs="宋体"/>
          <w:sz w:val="28"/>
          <w:szCs w:val="28"/>
        </w:rPr>
      </w:pPr>
      <w:r>
        <w:rPr>
          <w:rFonts w:hint="eastAsia" w:ascii="宋体" w:hAnsi="宋体" w:cs="宋体"/>
          <w:sz w:val="28"/>
          <w:szCs w:val="28"/>
        </w:rPr>
        <w:t>3.支出情况。2019年度支出合计4,855.49万元，较上年决算数增加679.06万元，增长16.26%，主要原因是市级转移性资金用于残疾运动员参加全国十残会暨第七届特奥会奖金和残疾冬送温暖项目资金支出增加。其中：基本支出604.76万元，占12.46%；项目支出4,250.73万元，占87.54%。</w:t>
      </w:r>
    </w:p>
    <w:p>
      <w:pPr>
        <w:ind w:firstLine="560" w:firstLineChars="200"/>
        <w:rPr>
          <w:rFonts w:hint="eastAsia" w:ascii="宋体" w:hAnsi="宋体" w:cs="宋体"/>
          <w:sz w:val="28"/>
          <w:szCs w:val="28"/>
        </w:rPr>
      </w:pPr>
      <w:r>
        <w:rPr>
          <w:rFonts w:hint="eastAsia" w:ascii="宋体" w:hAnsi="宋体" w:cs="宋体"/>
          <w:sz w:val="28"/>
          <w:szCs w:val="28"/>
        </w:rPr>
        <w:t>4.结转结余情况。2019年度年末结转和结余39.76万元，较上年决算数增加6.02万元，增长17.84%，主要原因是其他收入用于残疾人事业支出结转。</w:t>
      </w:r>
    </w:p>
    <w:p>
      <w:pPr>
        <w:ind w:firstLine="562" w:firstLineChars="200"/>
        <w:rPr>
          <w:rFonts w:hint="eastAsia" w:ascii="宋体" w:hAnsi="宋体" w:cs="宋体"/>
          <w:b/>
          <w:bCs/>
          <w:sz w:val="28"/>
          <w:szCs w:val="28"/>
        </w:rPr>
      </w:pPr>
      <w:r>
        <w:rPr>
          <w:rFonts w:hint="eastAsia" w:ascii="宋体" w:hAnsi="宋体" w:cs="宋体"/>
          <w:b/>
          <w:bCs/>
          <w:sz w:val="28"/>
          <w:szCs w:val="28"/>
        </w:rPr>
        <w:t>(二)、财政拨款收支情况</w:t>
      </w:r>
    </w:p>
    <w:p>
      <w:pPr>
        <w:rPr>
          <w:rFonts w:hint="eastAsia" w:ascii="宋体" w:hAnsi="宋体" w:cs="宋体"/>
          <w:sz w:val="28"/>
          <w:szCs w:val="28"/>
        </w:rPr>
      </w:pPr>
      <w:r>
        <w:rPr>
          <w:rFonts w:hint="eastAsia" w:ascii="宋体" w:hAnsi="宋体" w:cs="宋体"/>
          <w:sz w:val="28"/>
          <w:szCs w:val="28"/>
        </w:rPr>
        <w:t xml:space="preserve">    2019年度财政拨款收、支总计4,274.18万元。与2018年相比，财政拨款收、支总计各增加756.85万元，增长21.52%。主要原因是市级转移性资金用于残疾运动员参加全国十残会暨第七届特奥会奖金和残疾冬送温暖项目资金支出增加。</w:t>
      </w:r>
    </w:p>
    <w:p>
      <w:pPr>
        <w:ind w:firstLine="562" w:firstLineChars="200"/>
        <w:rPr>
          <w:rFonts w:hint="eastAsia" w:ascii="宋体" w:hAnsi="宋体" w:cs="宋体"/>
          <w:b/>
          <w:bCs/>
          <w:sz w:val="28"/>
          <w:szCs w:val="28"/>
        </w:rPr>
      </w:pPr>
      <w:r>
        <w:rPr>
          <w:rFonts w:hint="eastAsia" w:ascii="宋体" w:hAnsi="宋体" w:cs="宋体"/>
          <w:b/>
          <w:bCs/>
          <w:sz w:val="28"/>
          <w:szCs w:val="28"/>
        </w:rPr>
        <w:t>(三)、一般公共预算财政拨款收支情况</w:t>
      </w:r>
    </w:p>
    <w:p>
      <w:pPr>
        <w:ind w:firstLine="562" w:firstLineChars="200"/>
        <w:rPr>
          <w:rFonts w:hint="eastAsia" w:ascii="宋体" w:hAnsi="宋体" w:cs="宋体"/>
          <w:sz w:val="28"/>
          <w:szCs w:val="28"/>
        </w:rPr>
      </w:pPr>
      <w:r>
        <w:rPr>
          <w:rFonts w:hint="eastAsia" w:ascii="宋体" w:hAnsi="宋体" w:cs="宋体"/>
          <w:b/>
          <w:bCs/>
          <w:sz w:val="28"/>
          <w:szCs w:val="28"/>
        </w:rPr>
        <w:t>1.收入情况。</w:t>
      </w:r>
      <w:r>
        <w:rPr>
          <w:rFonts w:hint="eastAsia" w:ascii="宋体" w:hAnsi="宋体" w:cs="宋体"/>
          <w:sz w:val="28"/>
          <w:szCs w:val="28"/>
        </w:rPr>
        <w:t>2019年度一般公共预算财政拨款收入3,866.43万元，较上年决算数增加593.86万元，增长18.15%。主要原因是市级转移性资金用于残疾运动员参加全国十残会暨第七届特奥会奖金和残疾冬送温暖项目资金支出增加。较年初预算数增加3,199.64万元，增长479.86%。主要原因是下达追加2018年本级目标考核及健康</w:t>
      </w:r>
      <w:r>
        <w:rPr>
          <w:rFonts w:hint="eastAsia" w:ascii="宋体" w:hAnsi="宋体" w:cs="宋体"/>
          <w:sz w:val="28"/>
          <w:szCs w:val="28"/>
          <w:lang w:eastAsia="zh-CN"/>
        </w:rPr>
        <w:t>休</w:t>
      </w:r>
      <w:r>
        <w:rPr>
          <w:rFonts w:hint="eastAsia" w:ascii="宋体" w:hAnsi="宋体" w:cs="宋体"/>
          <w:sz w:val="28"/>
          <w:szCs w:val="28"/>
        </w:rPr>
        <w:t>养71.5万元；追加2018年目标绩效7万元；追加2018年应休未休的带薪年休假16.9万元；追加区本级2017绩效目标考核奖励2.6万元；追加2018年一次性奖金结算1.23万元；市级转移性资金341.97万元；市级残疾人事业发展资金433.64万元；追加下达2018年市级残疾人事业发展资金20万元；中央资金33万元；追加2019年残疾人就业保障金2271.8万元。此外，年初财政拨款结转和结余0.00万元。</w:t>
      </w:r>
    </w:p>
    <w:p>
      <w:pPr>
        <w:ind w:firstLine="562" w:firstLineChars="200"/>
        <w:rPr>
          <w:rFonts w:hint="eastAsia" w:ascii="宋体" w:hAnsi="宋体" w:cs="宋体"/>
          <w:sz w:val="28"/>
          <w:szCs w:val="28"/>
        </w:rPr>
      </w:pPr>
      <w:r>
        <w:rPr>
          <w:rFonts w:hint="eastAsia" w:ascii="宋体" w:hAnsi="宋体" w:cs="宋体"/>
          <w:b/>
          <w:bCs/>
          <w:sz w:val="28"/>
          <w:szCs w:val="28"/>
        </w:rPr>
        <w:t>2.支出情况。</w:t>
      </w:r>
      <w:r>
        <w:rPr>
          <w:rFonts w:hint="eastAsia" w:ascii="宋体" w:hAnsi="宋体" w:cs="宋体"/>
          <w:sz w:val="28"/>
          <w:szCs w:val="28"/>
        </w:rPr>
        <w:t>2019年度一般公共预算财政拨款支出3,866.43万元，较上年决算数增加585.57万元，增长17.85%。主要原因是市级转移性资金用于残疾运动员参加全国十残会暨第七届特奥会奖金和残疾冬送温暖项目资金支出增加。较年初预算数增加3,199.64万元，增长479.86%。主要原因是2018年本级目标考核及健康</w:t>
      </w:r>
      <w:r>
        <w:rPr>
          <w:rFonts w:hint="eastAsia" w:ascii="宋体" w:hAnsi="宋体" w:cs="宋体"/>
          <w:sz w:val="28"/>
          <w:szCs w:val="28"/>
          <w:lang w:eastAsia="zh-CN"/>
        </w:rPr>
        <w:t>休</w:t>
      </w:r>
      <w:r>
        <w:rPr>
          <w:rFonts w:hint="eastAsia" w:ascii="宋体" w:hAnsi="宋体" w:cs="宋体"/>
          <w:sz w:val="28"/>
          <w:szCs w:val="28"/>
        </w:rPr>
        <w:t>养支出71.5万元；2018年目标绩效支出7万元；2018年应休未休的带薪年休假支出16.9万元；区本级2017绩效目标考核奖励支出2.6万元；2018年一次性奖金结算支出1.23万元；市级转移性资金支出341.97万元；市级残疾人事业发展资金支出433.64万元；下达2018年市级残疾人事业发展资金支出20万元；中央资金支出33万元；2019年残疾人就业保障金支出2271.8万元。</w:t>
      </w:r>
    </w:p>
    <w:p>
      <w:pPr>
        <w:ind w:firstLine="562" w:firstLineChars="200"/>
        <w:rPr>
          <w:rFonts w:hint="eastAsia" w:ascii="宋体" w:hAnsi="宋体" w:cs="宋体"/>
          <w:sz w:val="28"/>
          <w:szCs w:val="28"/>
        </w:rPr>
      </w:pPr>
      <w:r>
        <w:rPr>
          <w:rFonts w:hint="eastAsia" w:ascii="宋体" w:hAnsi="宋体" w:cs="宋体"/>
          <w:b/>
          <w:bCs/>
          <w:sz w:val="28"/>
          <w:szCs w:val="28"/>
        </w:rPr>
        <w:t>3.结转结余情况。</w:t>
      </w:r>
      <w:r>
        <w:rPr>
          <w:rFonts w:hint="eastAsia" w:ascii="宋体" w:hAnsi="宋体" w:cs="宋体"/>
          <w:sz w:val="28"/>
          <w:szCs w:val="28"/>
        </w:rPr>
        <w:t>2019年度年末一般公共预算财政拨款结转和结余0.00万元。</w:t>
      </w:r>
    </w:p>
    <w:p>
      <w:pPr>
        <w:ind w:firstLine="562" w:firstLineChars="200"/>
        <w:rPr>
          <w:rFonts w:hint="eastAsia" w:ascii="宋体" w:hAnsi="宋体" w:cs="宋体"/>
          <w:b/>
          <w:bCs/>
          <w:sz w:val="28"/>
          <w:szCs w:val="28"/>
        </w:rPr>
      </w:pPr>
      <w:r>
        <w:rPr>
          <w:rFonts w:hint="eastAsia" w:ascii="宋体" w:hAnsi="宋体" w:cs="宋体"/>
          <w:b/>
          <w:bCs/>
          <w:sz w:val="28"/>
          <w:szCs w:val="28"/>
        </w:rPr>
        <w:t>4.比较情况。</w:t>
      </w:r>
      <w:r>
        <w:rPr>
          <w:rFonts w:hint="eastAsia" w:ascii="宋体" w:hAnsi="宋体" w:cs="宋体"/>
          <w:sz w:val="28"/>
          <w:szCs w:val="28"/>
        </w:rPr>
        <w:t>本部门2019年度一般公共预算财政拨款支出主要用于以下几个方面：</w:t>
      </w:r>
    </w:p>
    <w:p>
      <w:pPr>
        <w:ind w:firstLine="560" w:firstLineChars="200"/>
        <w:rPr>
          <w:rFonts w:hint="eastAsia" w:ascii="宋体" w:hAnsi="宋体" w:cs="宋体"/>
          <w:sz w:val="28"/>
          <w:szCs w:val="28"/>
        </w:rPr>
      </w:pPr>
      <w:r>
        <w:rPr>
          <w:rFonts w:hint="eastAsia" w:ascii="宋体" w:hAnsi="宋体" w:cs="宋体"/>
          <w:sz w:val="28"/>
          <w:szCs w:val="28"/>
        </w:rPr>
        <w:t>（1）教育支出14.03万元，占0.36%，较年初预算数增加14.03万元，增长0.00%，主要原因是增加2019年春季普惠性幼儿园公用经费。</w:t>
      </w:r>
    </w:p>
    <w:p>
      <w:pPr>
        <w:ind w:firstLine="560" w:firstLineChars="200"/>
        <w:rPr>
          <w:rFonts w:hint="eastAsia" w:ascii="宋体" w:hAnsi="宋体" w:cs="宋体"/>
          <w:sz w:val="28"/>
          <w:szCs w:val="28"/>
        </w:rPr>
      </w:pPr>
      <w:r>
        <w:rPr>
          <w:rFonts w:hint="eastAsia" w:ascii="宋体" w:hAnsi="宋体" w:cs="宋体"/>
          <w:sz w:val="28"/>
          <w:szCs w:val="28"/>
        </w:rPr>
        <w:t>（2）社会保障与就业支出3,819.04万元，占98.77%，较年初预算数增加3,298.73万元，增长633.99%，主要原因是增加项目支出-残疾人康复1059.66万元；项目支出-残疾人就业和扶贫211.8万元；项目支出-残疾人体育429.22万元；项目支出-其他残疾人事业支出1498.82万元；基本支出-人员经费支出99.23万元。</w:t>
      </w:r>
    </w:p>
    <w:p>
      <w:pPr>
        <w:ind w:firstLine="560" w:firstLineChars="200"/>
        <w:rPr>
          <w:rFonts w:hint="eastAsia" w:ascii="宋体" w:hAnsi="宋体" w:cs="宋体"/>
          <w:sz w:val="28"/>
          <w:szCs w:val="28"/>
        </w:rPr>
      </w:pPr>
      <w:r>
        <w:rPr>
          <w:rFonts w:hint="eastAsia" w:ascii="宋体" w:hAnsi="宋体" w:cs="宋体"/>
          <w:sz w:val="28"/>
          <w:szCs w:val="28"/>
        </w:rPr>
        <w:t>（3）卫生健康支出23.72万元，占0.61%，较年初预算数减少1.81万元，下降7.09%，主要原因是医疗保险费降低。</w:t>
      </w:r>
    </w:p>
    <w:p>
      <w:pPr>
        <w:rPr>
          <w:rFonts w:hint="eastAsia" w:ascii="宋体" w:hAnsi="宋体" w:cs="宋体"/>
          <w:sz w:val="28"/>
          <w:szCs w:val="28"/>
        </w:rPr>
      </w:pPr>
      <w:r>
        <w:rPr>
          <w:rFonts w:hint="eastAsia" w:ascii="宋体" w:hAnsi="宋体" w:cs="宋体"/>
          <w:sz w:val="28"/>
          <w:szCs w:val="28"/>
        </w:rPr>
        <w:t>（4）住房保障支出9.65万元，占0.25%，较年初预算数增加0.70万元，增长7.82%，主要原因是增加了职工住房公积金。</w:t>
      </w:r>
    </w:p>
    <w:p>
      <w:pPr>
        <w:ind w:firstLine="562" w:firstLineChars="200"/>
        <w:rPr>
          <w:rFonts w:hint="eastAsia" w:ascii="宋体" w:hAnsi="宋体" w:cs="宋体"/>
          <w:b/>
          <w:bCs/>
          <w:sz w:val="28"/>
          <w:szCs w:val="28"/>
        </w:rPr>
      </w:pPr>
      <w:r>
        <w:rPr>
          <w:rFonts w:hint="eastAsia" w:ascii="宋体" w:hAnsi="宋体" w:cs="宋体"/>
          <w:b/>
          <w:bCs/>
          <w:sz w:val="28"/>
          <w:szCs w:val="28"/>
        </w:rPr>
        <w:t>(四)、政府性基金预算收支情况</w:t>
      </w:r>
    </w:p>
    <w:p>
      <w:pPr>
        <w:ind w:firstLine="560" w:firstLineChars="200"/>
        <w:rPr>
          <w:rFonts w:hint="eastAsia" w:ascii="宋体" w:hAnsi="宋体" w:cs="宋体"/>
          <w:sz w:val="28"/>
          <w:szCs w:val="28"/>
        </w:rPr>
      </w:pPr>
      <w:r>
        <w:rPr>
          <w:rFonts w:hint="eastAsia" w:ascii="宋体" w:hAnsi="宋体" w:cs="宋体"/>
          <w:sz w:val="28"/>
          <w:szCs w:val="28"/>
        </w:rPr>
        <w:t>2019年度政府性基金预算财政拨款年初结转结余0.00万元，年末结转结余0.00万元。本年收入407.75万元，较上年决算数增加171.28万元，增长72.43%，主要原因是加大了彩票公益金对残疾人体育事业的投入。本年支出407.75万元，较上年决算数增加171.28万元，增长72.43%，主要原因是彩票公益金对残疾人体育事业的支出增加。</w:t>
      </w:r>
    </w:p>
    <w:p>
      <w:pPr>
        <w:rPr>
          <w:rFonts w:hint="eastAsia" w:ascii="宋体" w:hAnsi="宋体" w:cs="宋体"/>
          <w:b/>
          <w:bCs/>
          <w:sz w:val="32"/>
          <w:szCs w:val="32"/>
        </w:rPr>
      </w:pPr>
      <w:r>
        <w:rPr>
          <w:rFonts w:hint="eastAsia" w:ascii="宋体" w:hAnsi="宋体" w:cs="宋体"/>
          <w:b/>
          <w:bCs/>
          <w:sz w:val="32"/>
          <w:szCs w:val="32"/>
        </w:rPr>
        <w:t>三、“三公”经费情况</w:t>
      </w:r>
    </w:p>
    <w:p>
      <w:pPr>
        <w:rPr>
          <w:rFonts w:hint="eastAsia" w:ascii="宋体" w:hAnsi="宋体" w:cs="宋体"/>
          <w:b/>
          <w:bCs/>
          <w:sz w:val="28"/>
          <w:szCs w:val="28"/>
        </w:rPr>
      </w:pPr>
      <w:r>
        <w:rPr>
          <w:rFonts w:hint="eastAsia" w:ascii="宋体" w:hAnsi="宋体" w:cs="宋体"/>
          <w:b/>
          <w:bCs/>
          <w:sz w:val="28"/>
          <w:szCs w:val="28"/>
        </w:rPr>
        <w:t xml:space="preserve">  （一）“三公”经费支出总体情况说明</w:t>
      </w:r>
    </w:p>
    <w:p>
      <w:pPr>
        <w:rPr>
          <w:rFonts w:hint="eastAsia" w:ascii="宋体" w:hAnsi="宋体" w:cs="宋体"/>
          <w:sz w:val="28"/>
          <w:szCs w:val="28"/>
        </w:rPr>
      </w:pPr>
      <w:r>
        <w:rPr>
          <w:rFonts w:hint="eastAsia" w:ascii="宋体" w:hAnsi="宋体" w:cs="宋体"/>
          <w:sz w:val="28"/>
          <w:szCs w:val="28"/>
        </w:rPr>
        <w:t xml:space="preserve">   2019年度“三公”经费支出共计27.87万元，较年初预算数增加9.77万元，增长53.98%，主要原因是今年由于我们报废了一辆公务用车，同时采购了一辆公务用车，因此公务用车购置费比上年增加。较上年支出数增加17.61万元，增长171.64%，主要原因是今年由于我们报废了一辆公务车，同时来采购了一辆公务车车价为17.98万元，因此公务用车购置费比上年增加，运行维护实际是下降了0.28万元，公务接待费也下降了0.092万元。</w:t>
      </w:r>
    </w:p>
    <w:p>
      <w:pPr>
        <w:rPr>
          <w:rFonts w:hint="eastAsia" w:ascii="宋体" w:hAnsi="宋体" w:cs="宋体"/>
          <w:b/>
          <w:bCs/>
          <w:sz w:val="28"/>
          <w:szCs w:val="28"/>
        </w:rPr>
      </w:pPr>
      <w:r>
        <w:rPr>
          <w:rFonts w:hint="eastAsia" w:ascii="宋体" w:hAnsi="宋体" w:cs="宋体"/>
          <w:b/>
          <w:bCs/>
          <w:sz w:val="28"/>
          <w:szCs w:val="28"/>
        </w:rPr>
        <w:t xml:space="preserve">  （二）“三公”经费分项支出情况</w:t>
      </w:r>
    </w:p>
    <w:p>
      <w:pPr>
        <w:rPr>
          <w:rFonts w:hint="eastAsia" w:ascii="宋体" w:hAnsi="宋体" w:cs="宋体"/>
          <w:sz w:val="28"/>
          <w:szCs w:val="28"/>
        </w:rPr>
      </w:pPr>
      <w:r>
        <w:rPr>
          <w:rFonts w:hint="eastAsia" w:ascii="宋体" w:hAnsi="宋体" w:cs="宋体"/>
          <w:sz w:val="28"/>
          <w:szCs w:val="28"/>
        </w:rPr>
        <w:t xml:space="preserve">    2019年度本部门因公出国（境）费用0万元，2019年我单位无出国（境）费用。与上年支出数持平，都为0万元；与年初预算数一致，都为0万元。</w:t>
      </w:r>
    </w:p>
    <w:p>
      <w:pPr>
        <w:rPr>
          <w:rFonts w:hint="eastAsia" w:ascii="宋体" w:hAnsi="宋体" w:cs="宋体"/>
          <w:sz w:val="28"/>
          <w:szCs w:val="28"/>
        </w:rPr>
      </w:pPr>
      <w:r>
        <w:rPr>
          <w:rFonts w:hint="eastAsia" w:ascii="宋体" w:hAnsi="宋体" w:cs="宋体"/>
          <w:sz w:val="28"/>
          <w:szCs w:val="28"/>
        </w:rPr>
        <w:t xml:space="preserve">     公务车购置费17.98万元，主要用于购买机要通信车。费用支出较年初预算数增加17.98万元，增长0.00%，主要原因是今年由于我们报废了一辆公务用车，同时规定采购了一辆公务用车。较上年支出数增加17.98万元，增长0.00%，主要原因是今年由于我们报废了一辆公务用车，同时规定采购了一辆公务用车。</w:t>
      </w:r>
    </w:p>
    <w:p>
      <w:pPr>
        <w:rPr>
          <w:rFonts w:hint="eastAsia" w:ascii="宋体" w:hAnsi="宋体" w:cs="宋体"/>
          <w:sz w:val="28"/>
          <w:szCs w:val="28"/>
        </w:rPr>
      </w:pPr>
      <w:r>
        <w:rPr>
          <w:rFonts w:hint="eastAsia" w:ascii="宋体" w:hAnsi="宋体" w:cs="宋体"/>
          <w:sz w:val="28"/>
          <w:szCs w:val="28"/>
        </w:rPr>
        <w:t xml:space="preserve">     公务车运行维护费7.84万元，主要用于机要文件交换、市内因公出行、财政业务检查等工作所需车辆的燃料费、维修费、过桥过路费、保险费等。费用支出较年初预算数减少6.16万元，下降44.00%，主要原因是实行了公车改革，公务车减少，因此公务运行费减少。较上年支出数增加0.28万元，增长3.45%，主要原因是车辆燃料费及维修费增加。</w:t>
      </w:r>
    </w:p>
    <w:p>
      <w:pPr>
        <w:rPr>
          <w:rFonts w:hint="eastAsia" w:ascii="宋体" w:hAnsi="宋体" w:cs="宋体"/>
          <w:sz w:val="28"/>
          <w:szCs w:val="28"/>
        </w:rPr>
      </w:pPr>
      <w:r>
        <w:rPr>
          <w:rFonts w:hint="eastAsia" w:ascii="宋体" w:hAnsi="宋体" w:cs="宋体"/>
          <w:sz w:val="28"/>
          <w:szCs w:val="28"/>
        </w:rPr>
        <w:t xml:space="preserve">     公务接待费2.05万元，主要用于接待接待其他区县残联到我单位学习考察残疾人工作，接受相关部门检查指导工作发生的接待支出。费用支出较年初预算数减少2.05万元，下降50.00%，主要原因是强化公务接待支出管理，严格遵守公务接待开支范围和开支标准，严格控制陪餐人数，对应由接待对象承担的费用一律由接待对象自行支付。较上年支出数增加0.09万元，增长4.21%，主要原因是东西部扶贫协作加大。</w:t>
      </w:r>
    </w:p>
    <w:p>
      <w:pPr>
        <w:rPr>
          <w:rFonts w:hint="eastAsia" w:ascii="宋体" w:hAnsi="宋体" w:cs="宋体"/>
          <w:b/>
          <w:bCs/>
          <w:sz w:val="28"/>
          <w:szCs w:val="28"/>
        </w:rPr>
      </w:pPr>
      <w:r>
        <w:rPr>
          <w:rFonts w:hint="eastAsia" w:ascii="宋体" w:hAnsi="宋体" w:cs="宋体"/>
          <w:b/>
          <w:bCs/>
          <w:sz w:val="28"/>
          <w:szCs w:val="28"/>
        </w:rPr>
        <w:t xml:space="preserve">  （三）“三公”经费实物量情况</w:t>
      </w:r>
    </w:p>
    <w:p>
      <w:pPr>
        <w:rPr>
          <w:rFonts w:hint="eastAsia" w:ascii="宋体" w:hAnsi="宋体" w:cs="宋体"/>
          <w:sz w:val="28"/>
          <w:szCs w:val="28"/>
        </w:rPr>
      </w:pPr>
      <w:r>
        <w:rPr>
          <w:rFonts w:hint="eastAsia" w:ascii="宋体" w:hAnsi="宋体" w:cs="宋体"/>
          <w:sz w:val="28"/>
          <w:szCs w:val="28"/>
        </w:rPr>
        <w:t xml:space="preserve">    2019年度本部门因公出国（境）共计0个团组，0人；公务用车购置1辆，公务车保有量为3辆；国内公务接待24批次263人，其中：国内外事接待0批次，0人；国（境）外公务接待0批次，0人。2019年本部门人均接待费77.99元，车均购置费17.98万元，车均维护费2.61万元。</w:t>
      </w:r>
    </w:p>
    <w:p>
      <w:pPr>
        <w:rPr>
          <w:rFonts w:hint="eastAsia" w:ascii="宋体" w:hAnsi="宋体" w:cs="宋体"/>
          <w:b/>
          <w:bCs/>
          <w:sz w:val="32"/>
          <w:szCs w:val="32"/>
        </w:rPr>
      </w:pPr>
      <w:r>
        <w:rPr>
          <w:rFonts w:hint="eastAsia" w:ascii="宋体" w:hAnsi="宋体" w:cs="宋体"/>
          <w:b/>
          <w:bCs/>
          <w:sz w:val="32"/>
          <w:szCs w:val="32"/>
        </w:rPr>
        <w:t xml:space="preserve">  四、其他需要说明的事项</w:t>
      </w:r>
    </w:p>
    <w:p>
      <w:pPr>
        <w:ind w:firstLine="562" w:firstLineChars="200"/>
        <w:rPr>
          <w:rFonts w:hint="eastAsia" w:ascii="宋体" w:hAnsi="宋体" w:cs="宋体"/>
          <w:sz w:val="28"/>
          <w:szCs w:val="28"/>
        </w:rPr>
      </w:pPr>
      <w:r>
        <w:rPr>
          <w:rFonts w:hint="eastAsia" w:ascii="宋体" w:hAnsi="宋体" w:cs="宋体"/>
          <w:b/>
          <w:bCs/>
          <w:sz w:val="28"/>
          <w:szCs w:val="28"/>
        </w:rPr>
        <w:t>（一）机关运行经费情况说明</w:t>
      </w:r>
      <w:r>
        <w:rPr>
          <w:rFonts w:hint="eastAsia" w:ascii="宋体" w:hAnsi="宋体" w:cs="宋体"/>
          <w:sz w:val="28"/>
          <w:szCs w:val="28"/>
        </w:rPr>
        <w:t>。2019年度本部门机关运行经费支出171.63万元，机关运行经费主要用于新大楼运行开支、办公费、公务车运行维护费、信息网络购置更新费等。机关运行经费较上年决算数增加48.75万元，增长39.67%，主要原因是因今年报废了一台公务车，因此有采购一台公务车，增加了一个人员，所以公用经费增加，另外就是把差补助纳入了日常公用经费核算，因此导致了日常公用经费增加。下属事业单位残疾人综合服务中心按照部门预算列报口径，该单位不在机关运行经费统计范围之内。</w:t>
      </w:r>
    </w:p>
    <w:p>
      <w:pPr>
        <w:rPr>
          <w:rFonts w:hint="eastAsia" w:ascii="宋体" w:hAnsi="宋体" w:cs="宋体"/>
          <w:sz w:val="28"/>
          <w:szCs w:val="28"/>
        </w:rPr>
      </w:pPr>
      <w:r>
        <w:rPr>
          <w:rFonts w:hint="eastAsia" w:ascii="宋体" w:hAnsi="宋体" w:cs="宋体"/>
          <w:sz w:val="28"/>
          <w:szCs w:val="28"/>
        </w:rPr>
        <w:t>此外，本年度一般公共预算财政拨款培训费支出4.41万元，较上年决算数减少112.34万元，减少96.22%，主要原因是由于今年调整了残疾人技能培训项目不在该科目下核算，因此费用减少。</w:t>
      </w:r>
    </w:p>
    <w:p>
      <w:pPr>
        <w:rPr>
          <w:rFonts w:hint="eastAsia" w:ascii="宋体" w:hAnsi="宋体" w:cs="宋体"/>
          <w:sz w:val="28"/>
          <w:szCs w:val="28"/>
        </w:rPr>
      </w:pPr>
      <w:r>
        <w:rPr>
          <w:rFonts w:hint="eastAsia" w:ascii="宋体" w:hAnsi="宋体" w:cs="宋体"/>
          <w:b/>
          <w:bCs/>
          <w:sz w:val="28"/>
          <w:szCs w:val="28"/>
        </w:rPr>
        <w:t xml:space="preserve">    （二）国有资产占用情况说明。</w:t>
      </w:r>
      <w:r>
        <w:rPr>
          <w:rFonts w:hint="eastAsia" w:ascii="宋体" w:hAnsi="宋体" w:cs="宋体"/>
          <w:sz w:val="28"/>
          <w:szCs w:val="28"/>
        </w:rPr>
        <w:t>截至2019年12月31日，本部门共有车辆5辆，其中，副部（省）级及以上领导用车0辆、主要领导干部用车0辆、机要通信用车3辆、应急保障用车0辆、执法执勤用车0辆，特种专业技术用车2辆，离退休干部用车0辆，其他用车0辆。单价50万元（含）以上通用设备0台（套），单价100万元（含）以上专用设备0台（套）。</w:t>
      </w:r>
    </w:p>
    <w:p>
      <w:pPr>
        <w:rPr>
          <w:rFonts w:hint="eastAsia" w:ascii="宋体" w:hAnsi="宋体" w:cs="宋体"/>
          <w:sz w:val="28"/>
          <w:szCs w:val="28"/>
        </w:rPr>
      </w:pPr>
      <w:r>
        <w:rPr>
          <w:rFonts w:hint="eastAsia" w:ascii="宋体" w:hAnsi="宋体" w:cs="宋体"/>
          <w:b/>
          <w:bCs/>
          <w:sz w:val="28"/>
          <w:szCs w:val="28"/>
        </w:rPr>
        <w:t xml:space="preserve">    （三）政府采购支出情况说明。</w:t>
      </w:r>
      <w:r>
        <w:rPr>
          <w:rFonts w:hint="eastAsia" w:ascii="宋体" w:hAnsi="宋体" w:cs="宋体"/>
          <w:sz w:val="28"/>
          <w:szCs w:val="28"/>
        </w:rPr>
        <w:t>2019年度本部门政府采购支出总额151.94万元，其中：政府采购货物支出75.44万元、政府采购工程支出0.00万元、政府采购服务支出76.50万元。授予中小企业合同金额75.44万元，占政府采购支出总额的49.65%。</w:t>
      </w:r>
    </w:p>
    <w:bookmarkEnd w:id="4"/>
    <w:p>
      <w:pPr>
        <w:rPr>
          <w:rFonts w:hint="eastAsia" w:ascii="宋体" w:hAnsi="宋体" w:cs="宋体"/>
          <w:b/>
          <w:bCs/>
          <w:sz w:val="32"/>
          <w:szCs w:val="32"/>
        </w:rPr>
      </w:pPr>
      <w:bookmarkStart w:id="5" w:name="_Toc31388"/>
      <w:r>
        <w:rPr>
          <w:rFonts w:hint="eastAsia" w:ascii="宋体" w:hAnsi="宋体" w:cs="宋体"/>
          <w:b/>
          <w:bCs/>
          <w:sz w:val="32"/>
          <w:szCs w:val="32"/>
        </w:rPr>
        <w:t>五、</w:t>
      </w:r>
      <w:bookmarkEnd w:id="5"/>
      <w:r>
        <w:rPr>
          <w:rFonts w:hint="eastAsia" w:ascii="宋体" w:hAnsi="宋体" w:cs="宋体"/>
          <w:b/>
          <w:bCs/>
          <w:sz w:val="32"/>
          <w:szCs w:val="32"/>
        </w:rPr>
        <w:t>政府性基金预算支出情况</w:t>
      </w:r>
    </w:p>
    <w:p>
      <w:pPr>
        <w:rPr>
          <w:rFonts w:hint="eastAsia" w:ascii="宋体" w:hAnsi="宋体" w:cs="宋体"/>
          <w:sz w:val="28"/>
          <w:szCs w:val="28"/>
        </w:rPr>
      </w:pPr>
      <w:r>
        <w:rPr>
          <w:rFonts w:hint="eastAsia" w:ascii="宋体" w:hAnsi="宋体" w:cs="宋体"/>
          <w:sz w:val="28"/>
          <w:szCs w:val="28"/>
        </w:rPr>
        <w:t>本部门无政府性基金预算。</w:t>
      </w:r>
    </w:p>
    <w:p>
      <w:pPr>
        <w:rPr>
          <w:rFonts w:hint="eastAsia" w:ascii="宋体" w:hAnsi="宋体" w:cs="宋体"/>
          <w:b/>
          <w:bCs/>
          <w:sz w:val="32"/>
          <w:szCs w:val="32"/>
        </w:rPr>
      </w:pPr>
      <w:bookmarkStart w:id="6" w:name="_Toc19975"/>
      <w:r>
        <w:rPr>
          <w:rFonts w:hint="eastAsia" w:ascii="宋体" w:hAnsi="宋体" w:cs="宋体"/>
          <w:b/>
          <w:bCs/>
          <w:sz w:val="32"/>
          <w:szCs w:val="32"/>
        </w:rPr>
        <w:t>六、</w:t>
      </w:r>
      <w:bookmarkEnd w:id="6"/>
      <w:r>
        <w:rPr>
          <w:rFonts w:hint="eastAsia" w:ascii="宋体" w:hAnsi="宋体" w:cs="宋体"/>
          <w:b/>
          <w:bCs/>
          <w:sz w:val="32"/>
          <w:szCs w:val="32"/>
        </w:rPr>
        <w:t>国有资本经营预算支出情况</w:t>
      </w:r>
    </w:p>
    <w:p>
      <w:pPr>
        <w:rPr>
          <w:rFonts w:hint="eastAsia" w:ascii="宋体" w:hAnsi="宋体" w:cs="宋体"/>
          <w:sz w:val="28"/>
          <w:szCs w:val="28"/>
        </w:rPr>
      </w:pPr>
      <w:r>
        <w:rPr>
          <w:rFonts w:hint="eastAsia" w:ascii="宋体" w:hAnsi="宋体" w:cs="宋体"/>
          <w:sz w:val="28"/>
          <w:szCs w:val="28"/>
        </w:rPr>
        <w:t>本部门无国有资本经营预算。</w:t>
      </w:r>
    </w:p>
    <w:p>
      <w:pPr>
        <w:rPr>
          <w:rFonts w:hint="eastAsia" w:ascii="宋体" w:hAnsi="宋体" w:cs="宋体"/>
          <w:b/>
          <w:bCs/>
          <w:sz w:val="32"/>
          <w:szCs w:val="32"/>
        </w:rPr>
      </w:pPr>
      <w:bookmarkStart w:id="7" w:name="_Toc44226880"/>
      <w:r>
        <w:rPr>
          <w:rFonts w:hint="eastAsia" w:ascii="宋体" w:hAnsi="宋体" w:cs="宋体"/>
          <w:b/>
          <w:bCs/>
          <w:sz w:val="32"/>
          <w:szCs w:val="32"/>
        </w:rPr>
        <w:t>七、</w:t>
      </w:r>
      <w:bookmarkEnd w:id="7"/>
      <w:r>
        <w:rPr>
          <w:rFonts w:hint="eastAsia" w:ascii="宋体" w:hAnsi="宋体" w:cs="宋体"/>
          <w:b/>
          <w:bCs/>
          <w:sz w:val="32"/>
          <w:szCs w:val="32"/>
        </w:rPr>
        <w:t>社会保险基金预算支出情况</w:t>
      </w:r>
    </w:p>
    <w:p>
      <w:pPr>
        <w:rPr>
          <w:rFonts w:hint="eastAsia" w:ascii="宋体" w:hAnsi="宋体" w:cs="宋体"/>
          <w:sz w:val="28"/>
          <w:szCs w:val="28"/>
        </w:rPr>
      </w:pPr>
      <w:r>
        <w:rPr>
          <w:rFonts w:hint="eastAsia" w:ascii="宋体" w:hAnsi="宋体" w:cs="宋体"/>
          <w:sz w:val="28"/>
          <w:szCs w:val="28"/>
        </w:rPr>
        <w:t>本部门无社会保险基金预算。</w:t>
      </w:r>
    </w:p>
    <w:p>
      <w:pPr>
        <w:rPr>
          <w:rFonts w:hint="eastAsia" w:ascii="宋体" w:hAnsi="宋体" w:cs="宋体"/>
          <w:b/>
          <w:bCs/>
          <w:sz w:val="32"/>
          <w:szCs w:val="32"/>
        </w:rPr>
      </w:pPr>
      <w:bookmarkStart w:id="8" w:name="_Toc44226881"/>
      <w:r>
        <w:rPr>
          <w:rFonts w:hint="eastAsia" w:ascii="宋体" w:hAnsi="宋体" w:cs="宋体"/>
          <w:b/>
          <w:bCs/>
          <w:sz w:val="32"/>
          <w:szCs w:val="32"/>
        </w:rPr>
        <w:t>八、部门整体支出绩效情况</w:t>
      </w:r>
      <w:bookmarkEnd w:id="8"/>
    </w:p>
    <w:p>
      <w:pPr>
        <w:ind w:firstLine="562" w:firstLineChars="200"/>
        <w:rPr>
          <w:rFonts w:hint="eastAsia" w:ascii="宋体" w:hAnsi="宋体" w:cs="宋体"/>
          <w:b/>
          <w:bCs/>
          <w:sz w:val="28"/>
          <w:szCs w:val="28"/>
        </w:rPr>
      </w:pPr>
      <w:r>
        <w:rPr>
          <w:rFonts w:hint="eastAsia" w:ascii="宋体" w:hAnsi="宋体" w:cs="宋体"/>
          <w:b/>
          <w:bCs/>
          <w:sz w:val="28"/>
          <w:szCs w:val="28"/>
        </w:rPr>
        <w:t>（一）年度部门总体运行情况及取得的成绩。</w:t>
      </w:r>
    </w:p>
    <w:p>
      <w:pPr>
        <w:ind w:firstLine="560" w:firstLineChars="200"/>
        <w:rPr>
          <w:rFonts w:hint="eastAsia" w:ascii="宋体" w:hAnsi="宋体" w:cs="宋体"/>
          <w:sz w:val="28"/>
          <w:szCs w:val="28"/>
        </w:rPr>
      </w:pPr>
      <w:r>
        <w:rPr>
          <w:rFonts w:hint="eastAsia" w:ascii="宋体" w:hAnsi="宋体" w:cs="宋体"/>
          <w:sz w:val="28"/>
          <w:szCs w:val="28"/>
        </w:rPr>
        <w:t>2019年，在区委、区政府的坚强领导下和市残联的精心指导下，区残联全面贯彻落实党的十九大和十九届四中全会精神，坚持以习近平新时代中国特色社会主义思想为指导，认真贯彻落实中央重大决策部署和习近平总书记关于做好重庆当前工作的重要指示精神、视察重庆重要讲话精神，以及市委、市政府和区委、区政府的决议决定，通过不断深化残联专项改革，扎实开展“不忘初心、牢记使命”主题教育，进一步焕发残联系统工作活力，推动机关干部“走转改”，着力去“四化”、强“三性”，认真开展“两走一贴近”，进一步加快推进残疾人小康奔进程，有力地推动了全年残疾人各项工作目标任务的完成。取得成绩如下：</w:t>
      </w:r>
    </w:p>
    <w:p>
      <w:pPr>
        <w:ind w:firstLine="560" w:firstLineChars="200"/>
        <w:rPr>
          <w:rFonts w:hint="eastAsia" w:ascii="宋体" w:hAnsi="宋体" w:cs="宋体"/>
          <w:sz w:val="28"/>
          <w:szCs w:val="28"/>
        </w:rPr>
      </w:pPr>
      <w:r>
        <w:rPr>
          <w:rFonts w:hint="eastAsia" w:ascii="宋体" w:hAnsi="宋体" w:cs="宋体"/>
          <w:sz w:val="28"/>
          <w:szCs w:val="28"/>
        </w:rPr>
        <w:t>1、制定了《万州区“一户多残”贫困残疾人家庭脱贫攻坚帮扶方案》，投入资金142万元，对“一户2残”以上的建档立卡贫困户和“一户4残”以上的残疾人家庭开展脱贫攻坚帮扶工作；编制了《重庆市万州区深度贫困镇残疾人脱贫攻坚帮扶方案》，安排第二批资金30万元从康复、社会保障、职业培训、障碍改造等项目上对龙驹镇的贫困残疾人开展脱贫工作；</w:t>
      </w:r>
    </w:p>
    <w:p>
      <w:pPr>
        <w:ind w:firstLine="560" w:firstLineChars="200"/>
        <w:rPr>
          <w:rFonts w:hint="eastAsia" w:ascii="宋体" w:hAnsi="宋体" w:cs="宋体"/>
          <w:sz w:val="28"/>
          <w:szCs w:val="28"/>
        </w:rPr>
      </w:pPr>
      <w:r>
        <w:rPr>
          <w:rFonts w:hint="eastAsia" w:ascii="宋体" w:hAnsi="宋体" w:cs="宋体"/>
          <w:sz w:val="28"/>
          <w:szCs w:val="28"/>
        </w:rPr>
        <w:t>2、组织召开残疾人就业专场招聘会共2次，为残疾人求职者提供了100余个工作岗位</w:t>
      </w:r>
    </w:p>
    <w:p>
      <w:pPr>
        <w:ind w:firstLine="560" w:firstLineChars="200"/>
        <w:rPr>
          <w:rFonts w:hint="eastAsia" w:ascii="宋体" w:hAnsi="宋体" w:cs="宋体"/>
          <w:sz w:val="28"/>
          <w:szCs w:val="28"/>
        </w:rPr>
      </w:pPr>
      <w:r>
        <w:rPr>
          <w:rFonts w:hint="eastAsia" w:ascii="宋体" w:hAnsi="宋体" w:cs="宋体"/>
          <w:sz w:val="28"/>
          <w:szCs w:val="28"/>
        </w:rPr>
        <w:t>3、积极协调配合出台了《关于做好2019年残疾人精准康复工作的通知》（万州残发〔2019〕52）和《关于印发重庆市万州区残疾人精准康复家庭医生签约服务工作实施方案的通知》（万州卫〔2019〕102号）等相关政策，全年为17151名残疾人进行了康复服务，完成率为166%，康复服务率为97.68%。</w:t>
      </w:r>
    </w:p>
    <w:p>
      <w:pPr>
        <w:ind w:firstLine="560" w:firstLineChars="200"/>
        <w:rPr>
          <w:rFonts w:hint="eastAsia" w:ascii="宋体" w:hAnsi="宋体" w:cs="宋体"/>
          <w:sz w:val="28"/>
          <w:szCs w:val="28"/>
        </w:rPr>
      </w:pPr>
      <w:r>
        <w:rPr>
          <w:rFonts w:hint="eastAsia" w:ascii="宋体" w:hAnsi="宋体" w:cs="宋体"/>
          <w:sz w:val="28"/>
          <w:szCs w:val="28"/>
        </w:rPr>
        <w:t>4、积极组织和参与市残联乒乓球、游泳以及特奥篮球项目的比赛，分别获得5.5金6银2.5铜、2银3铜、1金1银2铜的好成绩。</w:t>
      </w:r>
    </w:p>
    <w:p>
      <w:pPr>
        <w:rPr>
          <w:rFonts w:hint="eastAsia" w:ascii="宋体" w:hAnsi="宋体" w:cs="宋体"/>
          <w:b/>
          <w:bCs/>
          <w:sz w:val="28"/>
          <w:szCs w:val="28"/>
        </w:rPr>
      </w:pPr>
      <w:r>
        <w:rPr>
          <w:rFonts w:hint="eastAsia" w:ascii="宋体" w:hAnsi="宋体" w:cs="宋体"/>
          <w:b/>
          <w:bCs/>
          <w:sz w:val="28"/>
          <w:szCs w:val="28"/>
        </w:rPr>
        <w:t>（二）绩效评价分析</w:t>
      </w:r>
    </w:p>
    <w:p>
      <w:pPr>
        <w:ind w:firstLine="562" w:firstLineChars="200"/>
        <w:rPr>
          <w:rFonts w:hint="eastAsia" w:ascii="宋体" w:hAnsi="宋体" w:cs="宋体"/>
          <w:b/>
          <w:bCs/>
          <w:sz w:val="28"/>
          <w:szCs w:val="28"/>
        </w:rPr>
      </w:pPr>
      <w:r>
        <w:rPr>
          <w:rFonts w:hint="eastAsia" w:ascii="宋体" w:hAnsi="宋体" w:cs="宋体"/>
          <w:b/>
          <w:bCs/>
          <w:sz w:val="28"/>
          <w:szCs w:val="28"/>
        </w:rPr>
        <w:t>1.投入</w:t>
      </w:r>
    </w:p>
    <w:p>
      <w:pPr>
        <w:ind w:firstLine="562" w:firstLineChars="200"/>
        <w:rPr>
          <w:rFonts w:hint="eastAsia" w:ascii="宋体" w:hAnsi="宋体" w:cs="宋体"/>
          <w:b/>
          <w:bCs/>
          <w:sz w:val="28"/>
          <w:szCs w:val="28"/>
        </w:rPr>
      </w:pPr>
      <w:r>
        <w:rPr>
          <w:rFonts w:hint="eastAsia" w:ascii="宋体" w:hAnsi="宋体" w:cs="宋体"/>
          <w:b/>
          <w:bCs/>
          <w:sz w:val="28"/>
          <w:szCs w:val="28"/>
        </w:rPr>
        <w:t>（1）预算配置</w:t>
      </w:r>
    </w:p>
    <w:p>
      <w:pPr>
        <w:ind w:firstLine="562" w:firstLineChars="200"/>
        <w:rPr>
          <w:rFonts w:hint="eastAsia" w:ascii="宋体" w:hAnsi="宋体" w:cs="宋体"/>
          <w:sz w:val="28"/>
          <w:szCs w:val="28"/>
        </w:rPr>
      </w:pPr>
      <w:r>
        <w:rPr>
          <w:rFonts w:hint="eastAsia" w:ascii="宋体" w:hAnsi="宋体" w:cs="宋体"/>
          <w:b/>
          <w:bCs/>
          <w:sz w:val="28"/>
          <w:szCs w:val="28"/>
        </w:rPr>
        <w:t>①财政供养人员控制率（5分）</w:t>
      </w:r>
      <w:r>
        <w:rPr>
          <w:rFonts w:hint="eastAsia" w:ascii="宋体" w:hAnsi="宋体" w:cs="宋体"/>
          <w:sz w:val="28"/>
          <w:szCs w:val="28"/>
        </w:rPr>
        <w:t>：本部门2019年年末实际在职人员为22人，编委核定的编制人数为22人，实际在职人员数占编委核定的编制数的比率＝（在职人员数÷编制数）×100%＝100%，部门对人员成本的控制程度符合规定要求，根据评价标准该项得满分5分。</w:t>
      </w:r>
    </w:p>
    <w:p>
      <w:pPr>
        <w:ind w:firstLine="562" w:firstLineChars="200"/>
        <w:rPr>
          <w:rFonts w:hint="eastAsia" w:ascii="宋体" w:hAnsi="宋体" w:cs="宋体"/>
          <w:sz w:val="28"/>
          <w:szCs w:val="28"/>
        </w:rPr>
      </w:pPr>
      <w:r>
        <w:rPr>
          <w:rFonts w:hint="eastAsia" w:ascii="宋体" w:hAnsi="宋体" w:cs="宋体"/>
          <w:b/>
          <w:bCs/>
          <w:sz w:val="28"/>
          <w:szCs w:val="28"/>
        </w:rPr>
        <w:t>② “三公经费”变动率（5分）</w:t>
      </w:r>
      <w:r>
        <w:rPr>
          <w:rFonts w:hint="eastAsia" w:ascii="宋体" w:hAnsi="宋体" w:cs="宋体"/>
          <w:sz w:val="28"/>
          <w:szCs w:val="28"/>
        </w:rPr>
        <w:t>：2019年度本部门一般公共预算财政拨款安排“三公经费”预算总额为27.86万元(区残联27.15万元，区残疾人综合服务中心0.71万元)，其中公务用车购置17.98万元，公车运行维护费7.83万元，公务接待费2.05万元，2018年度一般公共预算财政拨款安排“三公经费”预算总额为16.14万元。本部门“三公经费”变动率（因2019年工作需要报请政府同意后购买机要通讯车除外）＝（本年度“三公经费”预算数－上年度“三公经费”预算数）÷上年度“三公经费”预算数＝-39% ＜0。根据评分标准，本部门该项指标得5分。</w:t>
      </w:r>
    </w:p>
    <w:p>
      <w:pPr>
        <w:ind w:firstLine="562" w:firstLineChars="200"/>
        <w:rPr>
          <w:rFonts w:hint="eastAsia" w:ascii="宋体" w:hAnsi="宋体" w:cs="宋体"/>
          <w:sz w:val="28"/>
          <w:szCs w:val="28"/>
        </w:rPr>
      </w:pPr>
      <w:r>
        <w:rPr>
          <w:rFonts w:hint="eastAsia" w:ascii="宋体" w:hAnsi="宋体" w:cs="宋体"/>
          <w:b/>
          <w:bCs/>
          <w:sz w:val="28"/>
          <w:szCs w:val="28"/>
        </w:rPr>
        <w:t>③重点支出安排率（5分）</w:t>
      </w:r>
      <w:r>
        <w:rPr>
          <w:rFonts w:hint="eastAsia" w:ascii="宋体" w:hAnsi="宋体" w:cs="宋体"/>
          <w:sz w:val="28"/>
          <w:szCs w:val="28"/>
        </w:rPr>
        <w:t>。残疾人事业属于区政府定的2019年重点事项，其中重点项目支出4250.72万元，占总支出4855.49万元的87.5%，根据评分标准，本部门该项指标得分4分</w:t>
      </w:r>
    </w:p>
    <w:p>
      <w:pPr>
        <w:ind w:firstLine="562" w:firstLineChars="200"/>
        <w:rPr>
          <w:rFonts w:hint="eastAsia" w:ascii="宋体" w:hAnsi="宋体" w:cs="宋体"/>
          <w:b/>
          <w:bCs/>
          <w:sz w:val="28"/>
          <w:szCs w:val="28"/>
        </w:rPr>
      </w:pPr>
      <w:r>
        <w:rPr>
          <w:rFonts w:hint="eastAsia" w:ascii="宋体" w:hAnsi="宋体" w:cs="宋体"/>
          <w:b/>
          <w:bCs/>
          <w:sz w:val="28"/>
          <w:szCs w:val="28"/>
        </w:rPr>
        <w:t>2.过程</w:t>
      </w:r>
    </w:p>
    <w:p>
      <w:pPr>
        <w:ind w:firstLine="562" w:firstLineChars="200"/>
        <w:rPr>
          <w:rFonts w:hint="eastAsia" w:ascii="宋体" w:hAnsi="宋体" w:cs="宋体"/>
          <w:b/>
          <w:bCs/>
          <w:sz w:val="28"/>
          <w:szCs w:val="28"/>
        </w:rPr>
      </w:pPr>
      <w:r>
        <w:rPr>
          <w:rFonts w:hint="eastAsia" w:ascii="宋体" w:hAnsi="宋体" w:cs="宋体"/>
          <w:b/>
          <w:bCs/>
          <w:sz w:val="28"/>
          <w:szCs w:val="28"/>
        </w:rPr>
        <w:t>（1）预算执行</w:t>
      </w:r>
    </w:p>
    <w:p>
      <w:pPr>
        <w:ind w:firstLine="562" w:firstLineChars="200"/>
        <w:rPr>
          <w:rFonts w:hint="eastAsia" w:ascii="宋体" w:hAnsi="宋体" w:cs="宋体"/>
          <w:sz w:val="28"/>
          <w:szCs w:val="28"/>
        </w:rPr>
      </w:pPr>
      <w:r>
        <w:rPr>
          <w:rFonts w:hint="eastAsia" w:ascii="宋体" w:hAnsi="宋体" w:cs="宋体"/>
          <w:b/>
          <w:bCs/>
          <w:sz w:val="28"/>
          <w:szCs w:val="28"/>
        </w:rPr>
        <w:t>①预算完成率（3分）</w:t>
      </w:r>
      <w:r>
        <w:rPr>
          <w:rFonts w:hint="eastAsia" w:ascii="宋体" w:hAnsi="宋体" w:cs="宋体"/>
          <w:sz w:val="28"/>
          <w:szCs w:val="28"/>
        </w:rPr>
        <w:t>：本部门2019年收入4856.97万元，其中年初结转和结余38.28万元，年初预算666.79万元，本年追加3866.43万元，其他收入582.79万元，政府性基金收入407.75万元，本期支出4855.49万元，用本期支出除以本期收入=99.96%，根据评分标准，本部门该项指标得3分。</w:t>
      </w:r>
    </w:p>
    <w:p>
      <w:pPr>
        <w:ind w:firstLine="562" w:firstLineChars="200"/>
        <w:rPr>
          <w:rFonts w:hint="eastAsia" w:ascii="宋体" w:hAnsi="宋体" w:cs="宋体"/>
          <w:sz w:val="28"/>
          <w:szCs w:val="28"/>
        </w:rPr>
      </w:pPr>
      <w:r>
        <w:rPr>
          <w:rFonts w:hint="eastAsia" w:ascii="宋体" w:hAnsi="宋体" w:cs="宋体"/>
          <w:b/>
          <w:bCs/>
          <w:sz w:val="28"/>
          <w:szCs w:val="28"/>
        </w:rPr>
        <w:t>② 支付进度（3分）</w:t>
      </w:r>
      <w:r>
        <w:rPr>
          <w:rFonts w:hint="eastAsia" w:ascii="宋体" w:hAnsi="宋体" w:cs="宋体"/>
          <w:sz w:val="28"/>
          <w:szCs w:val="28"/>
        </w:rPr>
        <w:t>。所有项目都实现了支出，根据评分标准，本部门该项指标得3分。</w:t>
      </w:r>
    </w:p>
    <w:p>
      <w:pPr>
        <w:ind w:firstLine="562" w:firstLineChars="200"/>
        <w:rPr>
          <w:rFonts w:hint="eastAsia" w:ascii="宋体" w:hAnsi="宋体" w:cs="宋体"/>
          <w:sz w:val="28"/>
          <w:szCs w:val="28"/>
        </w:rPr>
      </w:pPr>
      <w:r>
        <w:rPr>
          <w:rFonts w:hint="eastAsia" w:ascii="宋体" w:hAnsi="宋体" w:cs="宋体"/>
          <w:b/>
          <w:bCs/>
          <w:sz w:val="28"/>
          <w:szCs w:val="28"/>
        </w:rPr>
        <w:t>③资金结余（3分）。</w:t>
      </w:r>
      <w:r>
        <w:rPr>
          <w:rFonts w:hint="eastAsia" w:ascii="宋体" w:hAnsi="宋体" w:cs="宋体"/>
          <w:sz w:val="28"/>
          <w:szCs w:val="28"/>
        </w:rPr>
        <w:t>2019年年初结转上年资金38.28万元，年底结余39.75万元。2019年有结余，且超过上年结转，扣分原因是因为收款方提供账号出错，导致资金未实现支付。根据评分标准，本部门该项指标得0分。</w:t>
      </w:r>
    </w:p>
    <w:p>
      <w:pPr>
        <w:ind w:firstLine="562" w:firstLineChars="200"/>
        <w:rPr>
          <w:rFonts w:hint="eastAsia" w:ascii="宋体" w:hAnsi="宋体" w:cs="宋体"/>
          <w:sz w:val="28"/>
          <w:szCs w:val="28"/>
        </w:rPr>
      </w:pPr>
      <w:r>
        <w:rPr>
          <w:rFonts w:hint="eastAsia" w:ascii="宋体" w:hAnsi="宋体" w:cs="宋体"/>
          <w:b/>
          <w:bCs/>
          <w:sz w:val="28"/>
          <w:szCs w:val="28"/>
        </w:rPr>
        <w:t>④“三公经费”控制率（6分）</w:t>
      </w:r>
      <w:r>
        <w:rPr>
          <w:rFonts w:hint="eastAsia" w:ascii="宋体" w:hAnsi="宋体" w:cs="宋体"/>
          <w:sz w:val="28"/>
          <w:szCs w:val="28"/>
        </w:rPr>
        <w:t>2019度本部门“三公经费”实际支出数为27.86万元（残联27.15万元，残疾人综合服务中心0.71万元），三公经费年初预算数18.10万元（残联16.9万元，残疾人综合服务中心1.2万元），因2019年工作需要，区政府同意残联购买了一辆机要通讯车，故新增公车购置费17.98万元，排除车辆后“三公经费”控制率＝（“三公经费”实际支出数÷“三公经费”预算安排数）×100%＝54%&lt;100%，根据评分标准，本部门该项指标得满分6分。</w:t>
      </w:r>
    </w:p>
    <w:p>
      <w:pPr>
        <w:ind w:firstLine="562" w:firstLineChars="200"/>
        <w:rPr>
          <w:rFonts w:hint="eastAsia" w:ascii="宋体" w:hAnsi="宋体" w:cs="宋体"/>
          <w:b/>
          <w:bCs/>
          <w:sz w:val="28"/>
          <w:szCs w:val="28"/>
        </w:rPr>
      </w:pPr>
      <w:r>
        <w:rPr>
          <w:rFonts w:hint="eastAsia" w:ascii="宋体" w:hAnsi="宋体" w:cs="宋体"/>
          <w:b/>
          <w:bCs/>
          <w:sz w:val="28"/>
          <w:szCs w:val="28"/>
        </w:rPr>
        <w:t>（2）预算管理</w:t>
      </w:r>
    </w:p>
    <w:p>
      <w:pPr>
        <w:ind w:firstLine="562" w:firstLineChars="200"/>
        <w:rPr>
          <w:rFonts w:hint="eastAsia" w:ascii="宋体" w:hAnsi="宋体" w:cs="宋体"/>
          <w:sz w:val="28"/>
          <w:szCs w:val="28"/>
        </w:rPr>
      </w:pPr>
      <w:r>
        <w:rPr>
          <w:rFonts w:hint="eastAsia" w:ascii="宋体" w:hAnsi="宋体" w:cs="宋体"/>
          <w:b/>
          <w:bCs/>
          <w:sz w:val="28"/>
          <w:szCs w:val="28"/>
        </w:rPr>
        <w:t>①管理制度健全性（3分）。</w:t>
      </w:r>
      <w:r>
        <w:rPr>
          <w:rFonts w:hint="eastAsia" w:ascii="宋体" w:hAnsi="宋体" w:cs="宋体"/>
          <w:sz w:val="28"/>
          <w:szCs w:val="28"/>
        </w:rPr>
        <w:t>本部门制定了内部财务管理制度、会计核算制度、公务接待制度、出差管理办法、公车管理、会议制度、预案销号制度、厉行节约制度等制度，相关管理制度合法、合规、完整，相关管理制度得到有效执行，根据评分标准，本部门该项指标得满分3分。</w:t>
      </w:r>
    </w:p>
    <w:p>
      <w:pPr>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b/>
          <w:bCs/>
          <w:sz w:val="28"/>
          <w:szCs w:val="28"/>
        </w:rPr>
        <w:t>②资金使用合规（3分）</w:t>
      </w:r>
      <w:r>
        <w:rPr>
          <w:rFonts w:hint="eastAsia" w:ascii="宋体" w:hAnsi="宋体" w:cs="宋体"/>
          <w:sz w:val="28"/>
          <w:szCs w:val="28"/>
        </w:rPr>
        <w:t>。本部门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根据评分标准，本部门该项指标得满分3分。</w:t>
      </w:r>
    </w:p>
    <w:p>
      <w:pPr>
        <w:ind w:firstLine="562" w:firstLineChars="200"/>
        <w:rPr>
          <w:rFonts w:hint="eastAsia" w:ascii="宋体" w:hAnsi="宋体" w:cs="宋体"/>
          <w:sz w:val="28"/>
          <w:szCs w:val="28"/>
        </w:rPr>
      </w:pPr>
      <w:r>
        <w:rPr>
          <w:rFonts w:hint="eastAsia" w:ascii="宋体" w:hAnsi="宋体" w:cs="宋体"/>
          <w:b/>
          <w:bCs/>
          <w:sz w:val="28"/>
          <w:szCs w:val="28"/>
        </w:rPr>
        <w:t>③预决算信息公开性（3分）。</w:t>
      </w:r>
      <w:r>
        <w:rPr>
          <w:rFonts w:hint="eastAsia" w:ascii="宋体" w:hAnsi="宋体" w:cs="宋体"/>
          <w:sz w:val="28"/>
          <w:szCs w:val="28"/>
        </w:rPr>
        <w:t>本部门2018年度决算及2019年度预算信息已按要求公开（对于按保密规定不作公开部分不予公开），单位基础数据信息和会计信息资料真实、完整，基础数据信息和汇集信息资料准确。根据评分标准，本部门该项指标得满分3分。</w:t>
      </w:r>
    </w:p>
    <w:p>
      <w:pPr>
        <w:ind w:firstLine="562" w:firstLineChars="200"/>
        <w:rPr>
          <w:rFonts w:hint="eastAsia" w:ascii="宋体" w:hAnsi="宋体" w:cs="宋体"/>
          <w:sz w:val="28"/>
          <w:szCs w:val="28"/>
        </w:rPr>
      </w:pPr>
      <w:r>
        <w:rPr>
          <w:rFonts w:hint="eastAsia" w:ascii="宋体" w:hAnsi="宋体" w:cs="宋体"/>
          <w:b/>
          <w:bCs/>
          <w:sz w:val="28"/>
          <w:szCs w:val="28"/>
        </w:rPr>
        <w:t>⑤公务卡刷卡率（6分）。</w:t>
      </w:r>
      <w:r>
        <w:rPr>
          <w:rFonts w:hint="eastAsia" w:ascii="宋体" w:hAnsi="宋体" w:cs="宋体"/>
          <w:sz w:val="28"/>
          <w:szCs w:val="28"/>
        </w:rPr>
        <w:t>本部门出差全部使用公务卡结算，不使用现金结算，故公务卡刷卡率为100%。根据评分标准，本部门该项指标得满分6分。</w:t>
      </w:r>
    </w:p>
    <w:p>
      <w:pPr>
        <w:ind w:firstLine="562" w:firstLineChars="200"/>
        <w:rPr>
          <w:rFonts w:hint="eastAsia" w:ascii="宋体" w:hAnsi="宋体" w:cs="宋体"/>
          <w:b/>
          <w:bCs/>
          <w:sz w:val="28"/>
          <w:szCs w:val="28"/>
        </w:rPr>
      </w:pPr>
      <w:r>
        <w:rPr>
          <w:rFonts w:hint="eastAsia" w:ascii="宋体" w:hAnsi="宋体" w:cs="宋体"/>
          <w:b/>
          <w:bCs/>
          <w:sz w:val="28"/>
          <w:szCs w:val="28"/>
        </w:rPr>
        <w:t>（3）资产管理</w:t>
      </w:r>
    </w:p>
    <w:p>
      <w:pPr>
        <w:ind w:firstLine="562" w:firstLineChars="200"/>
        <w:rPr>
          <w:rFonts w:hint="eastAsia" w:ascii="宋体" w:hAnsi="宋体" w:cs="宋体"/>
          <w:sz w:val="28"/>
          <w:szCs w:val="28"/>
        </w:rPr>
      </w:pPr>
      <w:r>
        <w:rPr>
          <w:rFonts w:hint="eastAsia" w:ascii="宋体" w:hAnsi="宋体" w:cs="宋体"/>
          <w:b/>
          <w:bCs/>
          <w:sz w:val="28"/>
          <w:szCs w:val="28"/>
        </w:rPr>
        <w:t>①资产管理制度健全性（3分）</w:t>
      </w:r>
      <w:r>
        <w:rPr>
          <w:rFonts w:hint="eastAsia" w:ascii="宋体" w:hAnsi="宋体" w:cs="宋体"/>
          <w:sz w:val="28"/>
          <w:szCs w:val="28"/>
        </w:rPr>
        <w:t>。本部门为加强资产管理、规范资产管理行为，制定了合法、合规、完整的资产管理制度，相关资产管理制度得到有效执行，促进了职责履行和绩效目标任务完成。根据评分标准，本部门该项指标得3分 。</w:t>
      </w:r>
    </w:p>
    <w:p>
      <w:pPr>
        <w:ind w:firstLine="562" w:firstLineChars="200"/>
        <w:rPr>
          <w:rFonts w:hint="eastAsia" w:ascii="宋体" w:hAnsi="宋体" w:cs="宋体"/>
          <w:sz w:val="28"/>
          <w:szCs w:val="28"/>
        </w:rPr>
      </w:pPr>
      <w:r>
        <w:rPr>
          <w:rFonts w:hint="eastAsia" w:ascii="宋体" w:hAnsi="宋体" w:cs="宋体"/>
          <w:b/>
          <w:bCs/>
          <w:sz w:val="28"/>
          <w:szCs w:val="28"/>
        </w:rPr>
        <w:t>②资产管理安全性（4分）</w:t>
      </w:r>
      <w:r>
        <w:rPr>
          <w:rFonts w:hint="eastAsia" w:ascii="宋体" w:hAnsi="宋体" w:cs="宋体"/>
          <w:sz w:val="28"/>
          <w:szCs w:val="28"/>
        </w:rPr>
        <w:t>。本部门的资产保存完整、使用合规、配置合理、处置规范、收入及时足额上缴，资产账务管理合规，账实相符。根据评分标准，本部门该项指标得4分 。</w:t>
      </w:r>
    </w:p>
    <w:p>
      <w:pPr>
        <w:ind w:firstLine="562" w:firstLineChars="200"/>
        <w:rPr>
          <w:rFonts w:hint="eastAsia" w:ascii="宋体" w:hAnsi="宋体" w:cs="宋体"/>
          <w:sz w:val="28"/>
          <w:szCs w:val="28"/>
        </w:rPr>
      </w:pPr>
      <w:r>
        <w:rPr>
          <w:rFonts w:hint="eastAsia" w:ascii="宋体" w:hAnsi="宋体" w:cs="宋体"/>
          <w:b/>
          <w:bCs/>
          <w:sz w:val="28"/>
          <w:szCs w:val="28"/>
        </w:rPr>
        <w:t>③固定资产利用率（3分）</w:t>
      </w:r>
      <w:r>
        <w:rPr>
          <w:rFonts w:hint="eastAsia" w:ascii="宋体" w:hAnsi="宋体" w:cs="宋体"/>
          <w:sz w:val="28"/>
          <w:szCs w:val="28"/>
        </w:rPr>
        <w:t>本部门2019年实际在用固定资产总额为11294.56万元（其中残联10657.49万元，残疾人综合服务中心637.07万元），固定资产利用总额为11294.56万元，固定资产利用率=（实际在用固定资产总额/所有固定资产总额）×100%=100%，根据评分标准，本部门该项指标得3分 。</w:t>
      </w:r>
    </w:p>
    <w:p>
      <w:pPr>
        <w:rPr>
          <w:rFonts w:hint="eastAsia" w:ascii="宋体" w:hAnsi="宋体" w:cs="宋体"/>
          <w:sz w:val="28"/>
          <w:szCs w:val="28"/>
        </w:rPr>
      </w:pPr>
      <w:r>
        <w:rPr>
          <w:rFonts w:hint="eastAsia" w:ascii="宋体" w:hAnsi="宋体" w:cs="宋体"/>
          <w:sz w:val="28"/>
          <w:szCs w:val="28"/>
        </w:rPr>
        <w:t>产出</w:t>
      </w:r>
    </w:p>
    <w:p>
      <w:pPr>
        <w:rPr>
          <w:rFonts w:ascii="宋体" w:hAnsi="宋体" w:cs="宋体"/>
          <w:b/>
          <w:bCs/>
          <w:sz w:val="28"/>
          <w:szCs w:val="28"/>
        </w:rPr>
      </w:pPr>
      <w:r>
        <w:rPr>
          <w:rFonts w:hint="eastAsia" w:ascii="宋体" w:hAnsi="宋体" w:cs="宋体"/>
          <w:b/>
          <w:bCs/>
          <w:sz w:val="28"/>
          <w:szCs w:val="28"/>
        </w:rPr>
        <w:t xml:space="preserve">    3、产出</w:t>
      </w:r>
    </w:p>
    <w:p>
      <w:pPr>
        <w:ind w:firstLine="562" w:firstLineChars="200"/>
        <w:rPr>
          <w:rFonts w:hint="eastAsia" w:ascii="宋体" w:hAnsi="宋体" w:cs="宋体"/>
          <w:b/>
          <w:bCs/>
          <w:sz w:val="28"/>
          <w:szCs w:val="28"/>
        </w:rPr>
      </w:pPr>
      <w:r>
        <w:rPr>
          <w:rFonts w:hint="eastAsia" w:ascii="宋体" w:hAnsi="宋体" w:cs="宋体"/>
          <w:b/>
          <w:bCs/>
          <w:sz w:val="28"/>
          <w:szCs w:val="28"/>
        </w:rPr>
        <w:t>（1）职责履行情况（25分）</w:t>
      </w:r>
    </w:p>
    <w:p>
      <w:pPr>
        <w:ind w:firstLine="562" w:firstLineChars="200"/>
        <w:rPr>
          <w:rFonts w:hint="eastAsia" w:ascii="宋体" w:hAnsi="宋体" w:cs="宋体"/>
          <w:sz w:val="28"/>
          <w:szCs w:val="28"/>
        </w:rPr>
      </w:pPr>
      <w:r>
        <w:rPr>
          <w:rFonts w:hint="eastAsia" w:ascii="宋体" w:hAnsi="宋体" w:cs="宋体"/>
          <w:b/>
          <w:bCs/>
          <w:sz w:val="28"/>
          <w:szCs w:val="28"/>
        </w:rPr>
        <w:t>①残疾人康复工作完成情况（5分）。</w:t>
      </w:r>
      <w:r>
        <w:rPr>
          <w:rFonts w:hint="eastAsia" w:ascii="宋体" w:hAnsi="宋体" w:cs="宋体"/>
          <w:sz w:val="28"/>
          <w:szCs w:val="28"/>
        </w:rPr>
        <w:t>全年为17151名残疾人进行了康复服务，完成率为166%，康复服务率为97.68%；精神病人服药救助2467人，住院救助424人；贫困白内障复明手术384例；</w:t>
      </w:r>
      <w:r>
        <w:rPr>
          <w:rFonts w:hint="eastAsia" w:ascii="宋体" w:hAnsi="宋体" w:cs="宋体"/>
          <w:sz w:val="28"/>
          <w:szCs w:val="28"/>
          <w:lang w:val="zh-CN"/>
        </w:rPr>
        <w:t>累计</w:t>
      </w:r>
      <w:r>
        <w:rPr>
          <w:rFonts w:hint="eastAsia" w:ascii="宋体" w:hAnsi="宋体" w:cs="宋体"/>
          <w:sz w:val="28"/>
          <w:szCs w:val="28"/>
        </w:rPr>
        <w:t>救助万州籍各类残疾儿童康复救助214名，258人次；全年新建社区康复室40个。根据评分标准，本部门该项指标得5分 。</w:t>
      </w:r>
    </w:p>
    <w:p>
      <w:pPr>
        <w:ind w:firstLine="562" w:firstLineChars="200"/>
        <w:rPr>
          <w:rFonts w:hint="eastAsia" w:ascii="宋体" w:hAnsi="宋体" w:cs="宋体"/>
          <w:sz w:val="28"/>
          <w:szCs w:val="28"/>
        </w:rPr>
      </w:pPr>
      <w:r>
        <w:rPr>
          <w:rFonts w:hint="eastAsia" w:ascii="宋体" w:hAnsi="宋体" w:cs="宋体"/>
          <w:b/>
          <w:bCs/>
          <w:sz w:val="28"/>
          <w:szCs w:val="28"/>
        </w:rPr>
        <w:t>②残疾人教育宣传服务工作完成情况(6分)</w:t>
      </w:r>
      <w:r>
        <w:rPr>
          <w:rFonts w:hint="eastAsia" w:ascii="宋体" w:hAnsi="宋体" w:cs="宋体"/>
          <w:sz w:val="28"/>
          <w:szCs w:val="28"/>
        </w:rPr>
        <w:t>。全区救助残疾大学生80名，发放入学救助和生活救助资金18.7万元；救助残疾人子女22名，发放入学救助资金4.95万元；全面普及残疾儿童少年义务教育，加大力度发展残疾儿童学前教育，建成天翌幼儿园解决未入学适龄残疾儿童少年入园问题；投入36多万元为600名贫困智力、精神和重度肢体残疾人提供居家服务，切实保障残疾人的衣食住行，对300名残疾人提供残疾人托养政府购买服务；教育引导全区广大残疾人提高思想认识，累计组织学习25次，教育培训14期，媒体宣传200余次，开展活动21次；实现了全区残疾人生活补贴和护理补贴全覆盖。根据评分标准，本部门该项指标得6分 。</w:t>
      </w:r>
    </w:p>
    <w:p>
      <w:pPr>
        <w:ind w:firstLine="562" w:firstLineChars="200"/>
        <w:rPr>
          <w:rFonts w:hint="eastAsia" w:ascii="宋体" w:hAnsi="宋体" w:cs="宋体"/>
          <w:sz w:val="28"/>
          <w:szCs w:val="28"/>
        </w:rPr>
      </w:pPr>
      <w:r>
        <w:rPr>
          <w:rFonts w:hint="eastAsia" w:ascii="宋体" w:hAnsi="宋体" w:cs="宋体"/>
          <w:b/>
          <w:bCs/>
          <w:sz w:val="28"/>
          <w:szCs w:val="28"/>
        </w:rPr>
        <w:t>③残疾人职业技能培训工作完成情况（5分）</w:t>
      </w:r>
      <w:r>
        <w:rPr>
          <w:rFonts w:hint="eastAsia" w:ascii="宋体" w:hAnsi="宋体" w:cs="宋体"/>
          <w:sz w:val="28"/>
          <w:szCs w:val="28"/>
        </w:rPr>
        <w:t>。组织召开残疾人就业专场招聘会共2次，借助“世界残疾人日”这个契机，经市残联和万州区政府同意，在万州区人力资源市场举行了“重庆市（万州区）残疾人就业专场招聘会”；承接的2019年重庆市盲人医疗按摩人员国家级、市级继续教育培训班，我市24个区县200余名取得医疗资质的盲人按摩人员及陪护参加了此次培训；全年累计完成残疾人职业培训950人次；区残疾人综合服务中心对我区200名残疾人进行农村实用技术培训并对其中80名残疾青壮年文盲开展扫盲工作；继续对6家盲人按摩机构中的27名盲人按摩师给予就业扶持。根据评分标准，本部门该项指标得5分 。</w:t>
      </w:r>
    </w:p>
    <w:p>
      <w:pPr>
        <w:ind w:firstLine="562" w:firstLineChars="200"/>
        <w:rPr>
          <w:rFonts w:hint="eastAsia" w:ascii="宋体" w:hAnsi="宋体" w:cs="宋体"/>
          <w:sz w:val="28"/>
          <w:szCs w:val="28"/>
        </w:rPr>
      </w:pPr>
      <w:r>
        <w:rPr>
          <w:rFonts w:hint="eastAsia" w:ascii="宋体" w:hAnsi="宋体" w:cs="宋体"/>
          <w:b/>
          <w:bCs/>
          <w:sz w:val="28"/>
          <w:szCs w:val="28"/>
        </w:rPr>
        <w:t>④残疾人扶贫与社会保障工作完成情况（6分）</w:t>
      </w:r>
      <w:r>
        <w:rPr>
          <w:rFonts w:hint="eastAsia" w:ascii="宋体" w:hAnsi="宋体" w:cs="宋体"/>
          <w:sz w:val="28"/>
          <w:szCs w:val="28"/>
        </w:rPr>
        <w:t>。扶持了1个农村残疾人种养殖大户和1个扶贫基地；实施“阳光安居”工程，加大农村贫困残疾人家庭危房改造的投入力度，区残联下发了《关于下达2019年农村贫困残疾人危房改造项目任务的通知》（万州残发〔2019〕33号），投入资金530多万元，对346户农村贫困残疾人D级危房进行改造；“万州区残疾人康复就业指导中心”全面投入使用，建成集残疾人康复、教育、职业培训、宣传文化体育为一体的综合性服务机构。根据评分标准，本部门该项指标得6分 。</w:t>
      </w:r>
    </w:p>
    <w:p>
      <w:pPr>
        <w:ind w:firstLine="562" w:firstLineChars="200"/>
        <w:rPr>
          <w:rFonts w:hint="eastAsia" w:ascii="宋体" w:hAnsi="宋体" w:cs="宋体"/>
          <w:b/>
          <w:bCs/>
          <w:sz w:val="28"/>
          <w:szCs w:val="28"/>
        </w:rPr>
      </w:pPr>
      <w:r>
        <w:rPr>
          <w:rFonts w:hint="eastAsia" w:ascii="宋体" w:hAnsi="宋体" w:cs="宋体"/>
          <w:b/>
          <w:bCs/>
          <w:sz w:val="28"/>
          <w:szCs w:val="28"/>
        </w:rPr>
        <w:t>⑤残疾人组织联络工作情况（3分）。</w:t>
      </w:r>
      <w:r>
        <w:rPr>
          <w:rFonts w:hint="eastAsia" w:ascii="宋体" w:hAnsi="宋体" w:cs="宋体"/>
          <w:sz w:val="28"/>
          <w:szCs w:val="28"/>
        </w:rPr>
        <w:t xml:space="preserve">全面完成了2019年全国残疾人基本服务状况和需求信息动态更新工作；投入资金75万元为全区近5万名持证残疾人购买了人身意外保险；根据评分标准，本部门该项指标得3分 </w:t>
      </w:r>
    </w:p>
    <w:p>
      <w:pPr>
        <w:numPr>
          <w:ilvl w:val="0"/>
          <w:numId w:val="2"/>
        </w:numPr>
        <w:ind w:firstLine="562" w:firstLineChars="200"/>
        <w:rPr>
          <w:rFonts w:hint="eastAsia" w:ascii="宋体" w:hAnsi="宋体" w:cs="宋体"/>
          <w:b/>
          <w:bCs/>
          <w:sz w:val="28"/>
          <w:szCs w:val="28"/>
        </w:rPr>
      </w:pPr>
      <w:r>
        <w:rPr>
          <w:rFonts w:hint="eastAsia" w:ascii="宋体" w:hAnsi="宋体" w:cs="宋体"/>
          <w:b/>
          <w:bCs/>
          <w:sz w:val="28"/>
          <w:szCs w:val="28"/>
        </w:rPr>
        <w:t>效果</w:t>
      </w:r>
    </w:p>
    <w:p>
      <w:pPr>
        <w:rPr>
          <w:rFonts w:ascii="宋体" w:hAnsi="宋体" w:cs="宋体"/>
          <w:b/>
          <w:bCs/>
          <w:sz w:val="28"/>
          <w:szCs w:val="28"/>
        </w:rPr>
      </w:pPr>
      <w:r>
        <w:rPr>
          <w:rFonts w:hint="eastAsia" w:ascii="宋体" w:hAnsi="宋体" w:cs="宋体"/>
          <w:b/>
          <w:bCs/>
          <w:sz w:val="28"/>
          <w:szCs w:val="28"/>
        </w:rPr>
        <w:t xml:space="preserve">    （1）履职效益</w:t>
      </w:r>
    </w:p>
    <w:p>
      <w:pPr>
        <w:ind w:firstLine="562" w:firstLineChars="200"/>
        <w:rPr>
          <w:rFonts w:ascii="宋体" w:hAnsi="宋体" w:cs="宋体"/>
          <w:sz w:val="28"/>
          <w:szCs w:val="28"/>
        </w:rPr>
      </w:pPr>
      <w:r>
        <w:rPr>
          <w:rFonts w:hint="eastAsia" w:ascii="宋体" w:hAnsi="宋体" w:cs="宋体"/>
          <w:b/>
          <w:bCs/>
          <w:sz w:val="28"/>
          <w:szCs w:val="28"/>
        </w:rPr>
        <w:t>①经济效益（5分）。</w:t>
      </w:r>
      <w:r>
        <w:rPr>
          <w:rFonts w:hint="eastAsia" w:ascii="宋体" w:hAnsi="宋体" w:cs="宋体"/>
          <w:sz w:val="28"/>
          <w:szCs w:val="28"/>
        </w:rPr>
        <w:t>“重庆市（万州区）残疾人就业专场招聘会”吸引了40家企事业单位参加，其中重庆市主城区企业10家，万州区本地用人单位30家，为残疾人求职者提供了100余个工作岗位。我区300多名残疾人参加了本次招聘会，有83名残疾人完成申请填表和现场面试，最终签订意向协议的有35人；大力开展残保金的征收工作，最终完成4200多万元。根据评分标准，本部门该项指标得5分 。</w:t>
      </w:r>
    </w:p>
    <w:p>
      <w:pPr>
        <w:ind w:firstLine="562" w:firstLineChars="200"/>
        <w:rPr>
          <w:rFonts w:hint="eastAsia" w:ascii="宋体" w:hAnsi="宋体" w:cs="宋体"/>
          <w:sz w:val="28"/>
          <w:szCs w:val="28"/>
        </w:rPr>
      </w:pPr>
      <w:r>
        <w:rPr>
          <w:rFonts w:hint="eastAsia" w:ascii="宋体" w:hAnsi="宋体" w:cs="宋体"/>
          <w:b/>
          <w:bCs/>
          <w:sz w:val="28"/>
          <w:szCs w:val="28"/>
        </w:rPr>
        <w:t>②社会效益（5分）。</w:t>
      </w:r>
      <w:r>
        <w:rPr>
          <w:rFonts w:hint="eastAsia" w:ascii="宋体" w:hAnsi="宋体" w:cs="宋体"/>
          <w:sz w:val="28"/>
          <w:szCs w:val="28"/>
        </w:rPr>
        <w:t>累计安排近80万元在“全国助残日”“国际残疾人日”、元旦春节等节点，开展“关注残疾 冬送温暖”走访慰问活动，对全区未脱贫的贫困残疾人和其他贫困残疾人1200余名进行慰问，让残疾人切实感受到党和政府的关怀和残联组织的温暖；制定了《万州区“一户多残”贫困残疾人家庭脱贫攻坚帮扶方案》，投入资金142万元，“一户2残”以上的建档立卡贫困户和“一户4残”以上的残疾人家庭开展脱贫攻坚帮扶工作；根据评分标准，本部门该项指标得5分 。</w:t>
      </w:r>
    </w:p>
    <w:p>
      <w:pPr>
        <w:ind w:firstLine="562" w:firstLineChars="200"/>
        <w:rPr>
          <w:rFonts w:hint="eastAsia" w:ascii="宋体" w:hAnsi="宋体" w:cs="宋体"/>
          <w:sz w:val="28"/>
          <w:szCs w:val="28"/>
        </w:rPr>
      </w:pPr>
      <w:r>
        <w:rPr>
          <w:rFonts w:hint="eastAsia" w:ascii="宋体" w:hAnsi="宋体" w:cs="宋体"/>
          <w:b/>
          <w:bCs/>
          <w:sz w:val="28"/>
          <w:szCs w:val="28"/>
        </w:rPr>
        <w:t>③生态效益（5分）。</w:t>
      </w:r>
      <w:r>
        <w:rPr>
          <w:rFonts w:hint="eastAsia" w:ascii="宋体" w:hAnsi="宋体" w:cs="宋体"/>
          <w:sz w:val="28"/>
          <w:szCs w:val="28"/>
        </w:rPr>
        <w:t>扶持了1个农村残疾人种养殖大户，扩大了林木种植面积，涵养水土，防止水土流失。根据评分标准，本部门该项指标得5分 。</w:t>
      </w:r>
    </w:p>
    <w:p>
      <w:pPr>
        <w:ind w:firstLine="562" w:firstLineChars="200"/>
        <w:rPr>
          <w:rFonts w:hint="eastAsia" w:ascii="宋体" w:hAnsi="宋体" w:cs="宋体"/>
          <w:sz w:val="28"/>
          <w:szCs w:val="28"/>
        </w:rPr>
      </w:pPr>
      <w:r>
        <w:rPr>
          <w:rFonts w:hint="eastAsia" w:ascii="宋体" w:hAnsi="宋体" w:cs="宋体"/>
          <w:b/>
          <w:bCs/>
          <w:sz w:val="28"/>
          <w:szCs w:val="28"/>
        </w:rPr>
        <w:t>④社会公众或服务对象满意度（5分）</w:t>
      </w:r>
      <w:r>
        <w:rPr>
          <w:rFonts w:hint="eastAsia" w:ascii="宋体" w:hAnsi="宋体" w:cs="宋体"/>
          <w:sz w:val="28"/>
          <w:szCs w:val="28"/>
        </w:rPr>
        <w:t>。本次绩效自评，我们向社会群众、服务对象、本部门内部员工发放问卷调查90份（本部门员工30份、服务对象30份、社会群众30份），从收回的问卷调查了解，社会公众对本部门的工作现状评价、深入基层调查研究、掌握真实、准确情况，促进社会经济发展，依法办事、依法行政，杜绝不作为和乱作为，改革和完善机关办事制度，缩短办事时间，提高工作效率，厉行节约、制止奢侈浪费行为等各方面均给予了满意的评价，满意度分别为：服务对象为93%、社会群众96%、部门内部员工为95%，社会公众或服务对象综合满意度＝（服务对象满意度×50%+社会公众满意度×40%+部门内部员工满意度×10%）为94.4%，因此，根据评分标准，本部门该项指标得3分。</w:t>
      </w:r>
    </w:p>
    <w:p>
      <w:pPr>
        <w:ind w:firstLine="562" w:firstLineChars="200"/>
        <w:rPr>
          <w:rFonts w:hint="eastAsia" w:ascii="宋体" w:hAnsi="宋体" w:cs="宋体"/>
          <w:b/>
          <w:bCs/>
          <w:sz w:val="28"/>
          <w:szCs w:val="28"/>
        </w:rPr>
      </w:pPr>
      <w:r>
        <w:rPr>
          <w:rFonts w:hint="eastAsia" w:ascii="宋体" w:hAnsi="宋体" w:cs="宋体"/>
          <w:b/>
          <w:bCs/>
          <w:sz w:val="28"/>
          <w:szCs w:val="28"/>
        </w:rPr>
        <w:t>5、绩效评价结论</w:t>
      </w:r>
    </w:p>
    <w:p>
      <w:pPr>
        <w:ind w:firstLine="562" w:firstLineChars="200"/>
        <w:rPr>
          <w:rFonts w:hint="eastAsia" w:ascii="宋体" w:hAnsi="宋体" w:cs="宋体"/>
          <w:sz w:val="28"/>
          <w:szCs w:val="28"/>
        </w:rPr>
      </w:pPr>
      <w:r>
        <w:rPr>
          <w:rFonts w:hint="eastAsia" w:ascii="宋体" w:hAnsi="宋体" w:cs="宋体"/>
          <w:b/>
          <w:bCs/>
          <w:sz w:val="28"/>
          <w:szCs w:val="28"/>
        </w:rPr>
        <w:t>根据评价指标体系测算</w:t>
      </w:r>
      <w:r>
        <w:rPr>
          <w:rFonts w:hint="eastAsia" w:ascii="宋体" w:hAnsi="宋体" w:cs="宋体"/>
          <w:sz w:val="28"/>
          <w:szCs w:val="28"/>
        </w:rPr>
        <w:t>。本部门2019年度部门整体支出绩效评价得分是：投入绩效为15分，过程绩效为37分，产出绩效为25分，效果绩效18分，总绩效为95分。评价结果等次为“优”。</w:t>
      </w:r>
    </w:p>
    <w:p>
      <w:pPr>
        <w:rPr>
          <w:rFonts w:hint="eastAsia" w:ascii="宋体" w:hAnsi="宋体" w:cs="宋体"/>
          <w:b/>
          <w:bCs/>
          <w:sz w:val="32"/>
          <w:szCs w:val="32"/>
        </w:rPr>
      </w:pPr>
      <w:r>
        <w:rPr>
          <w:rFonts w:hint="eastAsia" w:ascii="宋体" w:hAnsi="宋体" w:cs="宋体"/>
          <w:b/>
          <w:bCs/>
          <w:sz w:val="32"/>
          <w:szCs w:val="32"/>
        </w:rPr>
        <w:t>九、存在的主要问题及下一步改进措施</w:t>
      </w:r>
    </w:p>
    <w:p>
      <w:pPr>
        <w:ind w:firstLine="562" w:firstLineChars="200"/>
        <w:rPr>
          <w:rFonts w:hint="eastAsia" w:ascii="宋体" w:hAnsi="宋体" w:cs="宋体"/>
          <w:b/>
          <w:bCs/>
          <w:sz w:val="28"/>
          <w:szCs w:val="28"/>
        </w:rPr>
      </w:pPr>
      <w:r>
        <w:rPr>
          <w:rFonts w:hint="eastAsia" w:ascii="宋体" w:hAnsi="宋体" w:cs="宋体"/>
          <w:b/>
          <w:bCs/>
          <w:sz w:val="28"/>
          <w:szCs w:val="28"/>
        </w:rPr>
        <w:t>（一）存在主要问题：</w:t>
      </w:r>
    </w:p>
    <w:p>
      <w:pPr>
        <w:ind w:firstLine="560" w:firstLineChars="200"/>
        <w:rPr>
          <w:rFonts w:hint="eastAsia" w:ascii="宋体" w:hAnsi="宋体" w:cs="宋体"/>
          <w:sz w:val="28"/>
          <w:szCs w:val="28"/>
        </w:rPr>
      </w:pPr>
      <w:r>
        <w:rPr>
          <w:rFonts w:hint="eastAsia" w:ascii="宋体" w:hAnsi="宋体" w:cs="宋体"/>
          <w:sz w:val="28"/>
          <w:szCs w:val="28"/>
        </w:rPr>
        <w:t>1、预算完成率虽取得5分的成绩，但预算完成率还是未达到100%。</w:t>
      </w:r>
    </w:p>
    <w:p>
      <w:pPr>
        <w:ind w:firstLine="560" w:firstLineChars="200"/>
        <w:rPr>
          <w:rFonts w:hint="eastAsia" w:ascii="宋体" w:hAnsi="宋体" w:cs="宋体"/>
          <w:sz w:val="28"/>
          <w:szCs w:val="28"/>
        </w:rPr>
      </w:pPr>
      <w:r>
        <w:rPr>
          <w:rFonts w:hint="eastAsia" w:ascii="宋体" w:hAnsi="宋体" w:cs="宋体"/>
          <w:sz w:val="28"/>
          <w:szCs w:val="28"/>
        </w:rPr>
        <w:t>2、资金结余超标。2019年年底结转结余39.75万元大于2019年年初结转上年资金38.28万元。</w:t>
      </w:r>
    </w:p>
    <w:p>
      <w:pPr>
        <w:ind w:firstLine="560" w:firstLineChars="200"/>
        <w:rPr>
          <w:rFonts w:hint="eastAsia" w:ascii="宋体" w:hAnsi="宋体" w:cs="宋体"/>
          <w:sz w:val="28"/>
          <w:szCs w:val="28"/>
        </w:rPr>
      </w:pPr>
      <w:r>
        <w:rPr>
          <w:rFonts w:hint="eastAsia" w:ascii="宋体" w:hAnsi="宋体" w:cs="宋体"/>
          <w:sz w:val="28"/>
          <w:szCs w:val="28"/>
        </w:rPr>
        <w:t>3、社会公众或服务对象满意度还不够高，缺乏群众的理解和支持。</w:t>
      </w:r>
    </w:p>
    <w:p>
      <w:pPr>
        <w:ind w:firstLine="562" w:firstLineChars="200"/>
        <w:rPr>
          <w:rFonts w:hint="eastAsia" w:ascii="宋体" w:hAnsi="宋体" w:cs="宋体"/>
          <w:b/>
          <w:bCs/>
          <w:sz w:val="28"/>
          <w:szCs w:val="28"/>
        </w:rPr>
      </w:pPr>
      <w:r>
        <w:rPr>
          <w:rFonts w:hint="eastAsia" w:ascii="宋体" w:hAnsi="宋体" w:cs="宋体"/>
          <w:b/>
          <w:bCs/>
          <w:sz w:val="28"/>
          <w:szCs w:val="28"/>
        </w:rPr>
        <w:t>（二）改进措施：</w:t>
      </w:r>
    </w:p>
    <w:p>
      <w:pPr>
        <w:ind w:firstLine="562" w:firstLineChars="200"/>
        <w:rPr>
          <w:rFonts w:hint="eastAsia" w:ascii="宋体" w:hAnsi="宋体" w:cs="宋体"/>
          <w:sz w:val="28"/>
          <w:szCs w:val="28"/>
        </w:rPr>
      </w:pPr>
      <w:r>
        <w:rPr>
          <w:rFonts w:hint="eastAsia" w:ascii="宋体" w:hAnsi="宋体" w:cs="宋体"/>
          <w:b/>
          <w:bCs/>
          <w:sz w:val="28"/>
          <w:szCs w:val="28"/>
        </w:rPr>
        <w:t>（1）强化预算执行，提高预算完成率。</w:t>
      </w:r>
      <w:r>
        <w:rPr>
          <w:rFonts w:hint="eastAsia" w:ascii="宋体" w:hAnsi="宋体" w:cs="宋体"/>
          <w:sz w:val="28"/>
          <w:szCs w:val="28"/>
        </w:rPr>
        <w:t>严格按项目和进度执行预算，合理安排资金支出，增强预算执行的规范性和严肃性；完善项目责任制，业务科室为项目实施责任单位，应加强与财务部门的沟通协调和项目实施，定期做好预算执行分析，及时了解预算执行差异，合理调整、纠正预算执行偏差，加快预算的执行进度，减少存量资金，切实提高预算完成率及资金使用效益。</w:t>
      </w:r>
    </w:p>
    <w:p>
      <w:pPr>
        <w:ind w:firstLine="562" w:firstLineChars="200"/>
        <w:rPr>
          <w:rFonts w:hint="eastAsia" w:ascii="宋体" w:hAnsi="宋体" w:cs="宋体"/>
          <w:sz w:val="28"/>
          <w:szCs w:val="28"/>
        </w:rPr>
      </w:pPr>
      <w:r>
        <w:rPr>
          <w:rFonts w:hint="eastAsia" w:ascii="宋体" w:hAnsi="宋体" w:cs="宋体"/>
          <w:b/>
          <w:bCs/>
          <w:sz w:val="28"/>
          <w:szCs w:val="28"/>
        </w:rPr>
        <w:t>（2）科学合理编制资金计划</w:t>
      </w:r>
      <w:r>
        <w:rPr>
          <w:rFonts w:hint="eastAsia" w:ascii="宋体" w:hAnsi="宋体" w:cs="宋体"/>
          <w:sz w:val="28"/>
          <w:szCs w:val="28"/>
        </w:rPr>
        <w:t>。对可能结余的资金及时调整项目用途，切实发挥资金的作用，避免项目进度受阻的现象。</w:t>
      </w:r>
    </w:p>
    <w:p>
      <w:pPr>
        <w:ind w:firstLine="562" w:firstLineChars="200"/>
        <w:rPr>
          <w:rFonts w:hint="eastAsia" w:ascii="宋体" w:hAnsi="宋体" w:cs="宋体"/>
          <w:sz w:val="28"/>
          <w:szCs w:val="28"/>
        </w:rPr>
      </w:pPr>
      <w:r>
        <w:rPr>
          <w:rFonts w:hint="eastAsia" w:ascii="宋体" w:hAnsi="宋体" w:cs="宋体"/>
          <w:b/>
          <w:bCs/>
          <w:sz w:val="28"/>
          <w:szCs w:val="28"/>
        </w:rPr>
        <w:t>（3）加大残疾人政策宣传力度</w:t>
      </w:r>
      <w:r>
        <w:rPr>
          <w:rFonts w:hint="eastAsia" w:ascii="宋体" w:hAnsi="宋体" w:cs="宋体"/>
          <w:sz w:val="28"/>
          <w:szCs w:val="28"/>
        </w:rPr>
        <w:t>。宣传要注重情怀，放下架子、俯下身子，深入残疾人的家庭中去帮助他们，要加大内部职工培训力度，特别是服务窗口的员工更应该严格要求，提高服务意，转变服务态度，努力提升群众理解度和认可度。</w:t>
      </w:r>
    </w:p>
    <w:p>
      <w:pPr>
        <w:rPr>
          <w:rFonts w:hint="eastAsia" w:ascii="宋体" w:hAnsi="宋体" w:cs="宋体"/>
          <w:b/>
          <w:bCs/>
          <w:sz w:val="32"/>
          <w:szCs w:val="32"/>
        </w:rPr>
      </w:pPr>
      <w:r>
        <w:rPr>
          <w:rFonts w:hint="eastAsia" w:ascii="宋体" w:hAnsi="宋体" w:cs="宋体"/>
          <w:b/>
          <w:bCs/>
          <w:sz w:val="32"/>
          <w:szCs w:val="32"/>
        </w:rPr>
        <w:t>十、绩效自评结果拟应用和公开情况</w:t>
      </w:r>
    </w:p>
    <w:p>
      <w:pPr>
        <w:ind w:firstLine="560" w:firstLineChars="200"/>
        <w:rPr>
          <w:rFonts w:hint="eastAsia" w:ascii="宋体" w:hAnsi="宋体" w:cs="宋体"/>
          <w:sz w:val="28"/>
          <w:szCs w:val="28"/>
        </w:rPr>
      </w:pPr>
      <w:r>
        <w:rPr>
          <w:rFonts w:hint="eastAsia" w:ascii="宋体" w:hAnsi="宋体" w:cs="宋体"/>
          <w:sz w:val="28"/>
          <w:szCs w:val="28"/>
        </w:rPr>
        <w:t>本绩效评价完成后，绩效自评结果将在本部门网站上进行信息公开，接受社会监督。</w:t>
      </w:r>
      <w:bookmarkStart w:id="9" w:name="_GoBack"/>
      <w:bookmarkEnd w:id="9"/>
    </w:p>
    <w:p>
      <w:pPr>
        <w:rPr>
          <w:rFonts w:hint="eastAsia" w:ascii="宋体" w:hAnsi="宋体" w:cs="宋体"/>
          <w:b/>
          <w:bCs/>
          <w:sz w:val="32"/>
          <w:szCs w:val="32"/>
        </w:rPr>
      </w:pPr>
      <w:r>
        <w:fldChar w:fldCharType="begin"/>
      </w:r>
      <w:r>
        <w:instrText xml:space="preserve"> HYPERLINK "http://zjj.xxz.gov.cn/zwgk_159/fdzdgknr/czxx/202006/t20200630_1698329.html" \l "_Toc44226888" </w:instrText>
      </w:r>
      <w:r>
        <w:fldChar w:fldCharType="separate"/>
      </w:r>
      <w:r>
        <w:rPr>
          <w:rFonts w:hint="eastAsia" w:ascii="宋体" w:hAnsi="宋体" w:cs="宋体"/>
          <w:b/>
          <w:bCs/>
          <w:sz w:val="32"/>
          <w:szCs w:val="32"/>
        </w:rPr>
        <w:t>十一、其他需要说明的情况</w:t>
      </w:r>
      <w:r>
        <w:rPr>
          <w:rFonts w:hint="eastAsia" w:ascii="宋体" w:hAnsi="宋体" w:cs="宋体"/>
          <w:b/>
          <w:bCs/>
          <w:sz w:val="32"/>
          <w:szCs w:val="32"/>
        </w:rPr>
        <w:fldChar w:fldCharType="end"/>
      </w:r>
    </w:p>
    <w:p>
      <w:pPr>
        <w:ind w:firstLine="560" w:firstLineChars="200"/>
        <w:rPr>
          <w:rFonts w:hint="eastAsia" w:ascii="宋体" w:hAnsi="宋体" w:cs="宋体"/>
          <w:sz w:val="28"/>
          <w:szCs w:val="28"/>
        </w:rPr>
      </w:pPr>
      <w:r>
        <w:rPr>
          <w:rFonts w:hint="eastAsia" w:ascii="宋体" w:hAnsi="宋体" w:cs="宋体"/>
          <w:sz w:val="28"/>
          <w:szCs w:val="28"/>
        </w:rPr>
        <w:t>无</w:t>
      </w:r>
    </w:p>
    <w:p>
      <w:pPr>
        <w:rPr>
          <w:rFonts w:hint="eastAsia"/>
        </w:rPr>
      </w:pPr>
    </w:p>
    <w:p>
      <w:pPr>
        <w:adjustRightInd w:val="0"/>
        <w:snapToGrid w:val="0"/>
        <w:rPr>
          <w:rFonts w:ascii="Times New Roman" w:hAnsi="Times New Roma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joinstyle="miter"/>
              <v:imagedata o:title=""/>
              <o:lock v:ext="edit"/>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E992D2"/>
    <w:multiLevelType w:val="singleLevel"/>
    <w:tmpl w:val="EFE992D2"/>
    <w:lvl w:ilvl="0" w:tentative="0">
      <w:start w:val="4"/>
      <w:numFmt w:val="decimal"/>
      <w:suff w:val="nothing"/>
      <w:lvlText w:val="%1、"/>
      <w:lvlJc w:val="left"/>
    </w:lvl>
  </w:abstractNum>
  <w:abstractNum w:abstractNumId="1">
    <w:nsid w:val="34416E88"/>
    <w:multiLevelType w:val="singleLevel"/>
    <w:tmpl w:val="34416E88"/>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DC0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0"/>
    <w:rPr>
      <w:b/>
    </w:rPr>
  </w:style>
  <w:style w:type="paragraph" w:customStyle="1" w:styleId="8">
    <w:name w:val="默认段落字体 Para Char Char Char Char Char Char Char Char Char Char"/>
    <w:basedOn w:val="1"/>
    <w:qFormat/>
    <w:uiPriority w:val="0"/>
    <w:pPr>
      <w:widowControl/>
      <w:jc w:val="left"/>
    </w:pPr>
    <w:rPr>
      <w:rFonts w:ascii="Times New Roman" w:hAnsi="Times New Roman"/>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2022-05-23T06:38:33Z</dcterms:created>
  <dc:creator>Administrator</dc:creator>
  <cp:lastModifiedBy>Administrator</cp:lastModifiedBy>
  <dcterms:modified xsi:type="dcterms:W3CDTF">2022-05-23T06:38:56Z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