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中国共产党重庆市万州区委员会政法委员会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1．深入贯彻习近平新时代中国特色社会主义思想，深</w:t>
      </w:r>
      <w:r>
        <w:rPr>
          <w:rFonts w:hint="eastAsia" w:ascii="Times New Roman" w:hAnsi="Times New Roman" w:eastAsia="方正仿宋_GBK" w:cs="方正仿宋_GBK"/>
          <w:sz w:val="32"/>
          <w:szCs w:val="32"/>
          <w:shd w:val="clear" w:color="auto" w:fill="auto"/>
        </w:rPr>
        <w:t>入贯彻党的路线方针政策和决策部署，统一政法各部门思想</w:t>
      </w:r>
      <w:r>
        <w:rPr>
          <w:rFonts w:hint="eastAsia" w:ascii="Times New Roman" w:hAnsi="Times New Roman" w:eastAsia="方正仿宋_GBK" w:cs="方正仿宋_GBK"/>
          <w:sz w:val="32"/>
          <w:szCs w:val="32"/>
        </w:rPr>
        <w:t>和行动，坚持党对政法工作的绝对领导，坚决维护党中央权威和集中统一领导。</w:t>
      </w:r>
    </w:p>
    <w:p>
      <w:pPr>
        <w:pStyle w:val="6"/>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2．深入贯彻党中央、市委决定和区委工作部署，推进平安建设、法治建设，加强过硬队伍建设，深化智能化建设，坚决维护国家政治安全、确保社会大局稳定、促进社会公平正义、保障人民安居乐业。</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3．了解掌握和分析研判政法工作情况动态，分析社会稳定形势，创新完善多部门参与的综治维稳工作机制，协调推动预防、化解影响稳定的重大社会矛盾和风险，协调应对和处置重大突发事件。</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4．加强对政法工作的督查，统筹协调社会治安综合治理、维护社会稳定、反邪教、反暴恐等有关法律法规政策的实施工作。</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5．组织开展政法领域的调查研究，研究拟订政法工作的有关具体措施，及时向市委政法委、区委提出建议。</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6．掌握分析政法舆情动态，指导协调政法部门媒体网络宣传工作，指导政法部门做好涉及政法工作的重大宣传工作。</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7．支持和监督政法各部门依法行使职权，指导和协调政法各部门密切配合，研究和协调重大、疑难案件，推进严格执法、公正司法。</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8．组织研究政法改革中带有方向性、倾向性和普遍性的重大问题，深化政法改革。</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9．指导推动全区政法系统党的建设和政法队伍建设。协助区委及区委组织部管理政法部门领导班子和领导干部。代管万州区法学会。</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10．完成区委交办的其他任务</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42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本部门本级为一级预算单位，</w:t>
      </w:r>
      <w:r>
        <w:rPr>
          <w:rFonts w:hint="eastAsia" w:ascii="Times New Roman" w:hAnsi="Times New Roman" w:eastAsia="方正仿宋_GBK" w:cs="方正仿宋_GBK"/>
          <w:sz w:val="32"/>
          <w:szCs w:val="32"/>
        </w:rPr>
        <w:t>内设机构共7个，具体为：办公室、研究室、维稳指导科、综治督导科（挂专项行动办公室牌子）、基层社会治理科、执法监督科、政治部。</w:t>
      </w:r>
      <w:r>
        <w:rPr>
          <w:rFonts w:hint="eastAsia" w:ascii="Times New Roman" w:hAnsi="Times New Roman" w:eastAsia="方正仿宋_GBK" w:cs="方正仿宋_GBK"/>
          <w:sz w:val="32"/>
          <w:szCs w:val="32"/>
          <w:lang w:eastAsia="zh-CN"/>
        </w:rPr>
        <w:t>下属</w:t>
      </w:r>
      <w:r>
        <w:rPr>
          <w:rFonts w:hint="eastAsia" w:ascii="Times New Roman" w:hAnsi="Times New Roman" w:eastAsia="方正仿宋_GBK" w:cs="方正仿宋_GBK"/>
          <w:sz w:val="32"/>
          <w:szCs w:val="32"/>
        </w:rPr>
        <w:t>区社会治安综合治理中心</w:t>
      </w:r>
      <w:r>
        <w:rPr>
          <w:rFonts w:hint="eastAsia" w:ascii="Times New Roman" w:hAnsi="Times New Roman" w:eastAsia="方正仿宋_GBK" w:cs="方正仿宋_GBK"/>
          <w:sz w:val="32"/>
          <w:szCs w:val="32"/>
          <w:lang w:eastAsia="zh-CN"/>
        </w:rPr>
        <w:t>系财政</w:t>
      </w:r>
      <w:r>
        <w:rPr>
          <w:rFonts w:hint="eastAsia" w:ascii="方正仿宋_GBK" w:hAnsi="方正仿宋_GBK" w:eastAsia="方正仿宋_GBK" w:cs="方正仿宋_GBK"/>
          <w:sz w:val="32"/>
          <w:szCs w:val="32"/>
          <w:lang w:eastAsia="zh-CN"/>
        </w:rPr>
        <w:t>全额补助事业单位，为二级预算单位，无内设机构，编制</w:t>
      </w:r>
      <w:r>
        <w:rPr>
          <w:rFonts w:hint="eastAsia" w:ascii="方正仿宋_GBK" w:hAnsi="方正仿宋_GBK" w:eastAsia="方正仿宋_GBK" w:cs="方正仿宋_GBK"/>
          <w:sz w:val="32"/>
          <w:szCs w:val="32"/>
          <w:lang w:val="en-US" w:eastAsia="zh-CN"/>
        </w:rPr>
        <w:t>6人，本年末实有3人</w:t>
      </w:r>
      <w:r>
        <w:rPr>
          <w:rFonts w:hint="eastAsia" w:ascii="方正仿宋_GBK" w:hAnsi="方正仿宋_GBK" w:eastAsia="方正仿宋_GBK" w:cs="方正仿宋_GBK"/>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二、部门决算情况说明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2023年度收入总计1232.00万元，支出总计</w:t>
      </w:r>
      <w:r>
        <w:rPr>
          <w:rFonts w:ascii="方正仿宋_GBK" w:hAnsi="方正仿宋_GBK" w:eastAsia="方正仿宋_GBK" w:cs="方正仿宋_GBK"/>
          <w:sz w:val="32"/>
          <w:szCs w:val="32"/>
        </w:rPr>
        <w:t>1232.00</w:t>
      </w:r>
      <w:r>
        <w:rPr>
          <w:rFonts w:ascii="方正仿宋_GBK" w:hAnsi="方正仿宋_GBK" w:eastAsia="方正仿宋_GBK" w:cs="方正仿宋_GBK"/>
          <w:sz w:val="32"/>
          <w:szCs w:val="32"/>
          <w:shd w:val="clear" w:color="auto" w:fill="FFFFFF"/>
        </w:rPr>
        <w:t>万元。收支较上年决算数增加268.47万元，增长27.86%，主要原因</w:t>
      </w:r>
      <w:r>
        <w:rPr>
          <w:rFonts w:hint="eastAsia" w:ascii="方正仿宋_GBK" w:hAnsi="方正仿宋_GBK" w:eastAsia="方正仿宋_GBK" w:cs="方正仿宋_GBK"/>
          <w:sz w:val="32"/>
          <w:szCs w:val="32"/>
          <w:shd w:val="clear" w:color="auto" w:fill="FFFFFF"/>
          <w:lang w:eastAsia="zh-CN"/>
        </w:rPr>
        <w:t>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w:t>
      </w:r>
      <w:r>
        <w:rPr>
          <w:rFonts w:hint="eastAsia" w:ascii="方正仿宋_GBK" w:hAnsi="方正仿宋_GBK" w:eastAsia="方正仿宋_GBK" w:cs="方正仿宋_GBK"/>
          <w:sz w:val="32"/>
          <w:szCs w:val="32"/>
          <w:shd w:val="clear" w:color="auto" w:fill="FFFFFF"/>
          <w:lang w:eastAsia="zh-CN"/>
        </w:rPr>
        <w:t>工作任务加重项目经费较上年增多，本年度委本级承接了</w:t>
      </w:r>
      <w:r>
        <w:rPr>
          <w:rFonts w:hint="eastAsia" w:ascii="方正仿宋_GBK" w:hAnsi="方正仿宋_GBK" w:eastAsia="方正仿宋_GBK" w:cs="方正仿宋_GBK"/>
          <w:sz w:val="32"/>
          <w:szCs w:val="32"/>
          <w:shd w:val="clear" w:color="auto" w:fill="FFFFFF"/>
          <w:lang w:val="en-US" w:eastAsia="zh-CN"/>
        </w:rPr>
        <w:t>全区基层社会治理先进个人和先进集体表彰及全国省级法制（治）媒体社长总编辑年会暨重庆万州行大型采访活动二专项工作，按上级要求下属事业单位开始实体化运行并需建设机密级会议室，共新增项目经费约209万元；三是下属区综治中心实体化运行，本年度开始预决算，本年度决算收支</w:t>
      </w:r>
      <w:r>
        <w:rPr>
          <w:rFonts w:ascii="方正仿宋_GBK" w:hAnsi="方正仿宋_GBK" w:eastAsia="方正仿宋_GBK" w:cs="方正仿宋_GBK"/>
          <w:sz w:val="32"/>
          <w:szCs w:val="32"/>
          <w:shd w:val="clear" w:color="auto" w:fill="FFFFFF"/>
        </w:rPr>
        <w:t>31.15万元</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2023年度收入合计1232.00万元，较上年决算数增加268.47万元，增长27.86%，主要原因是</w:t>
      </w:r>
      <w:r>
        <w:rPr>
          <w:rFonts w:hint="eastAsia" w:ascii="方正仿宋_GBK" w:hAnsi="方正仿宋_GBK" w:eastAsia="方正仿宋_GBK" w:cs="方正仿宋_GBK"/>
          <w:sz w:val="32"/>
          <w:szCs w:val="32"/>
          <w:shd w:val="clear" w:color="auto" w:fill="FFFFFF"/>
          <w:lang w:eastAsia="zh-CN"/>
        </w:rPr>
        <w:t>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w:t>
      </w:r>
      <w:r>
        <w:rPr>
          <w:rFonts w:hint="eastAsia" w:ascii="方正仿宋_GBK" w:hAnsi="方正仿宋_GBK" w:eastAsia="方正仿宋_GBK" w:cs="方正仿宋_GBK"/>
          <w:sz w:val="32"/>
          <w:szCs w:val="32"/>
          <w:shd w:val="clear" w:color="auto" w:fill="FFFFFF"/>
          <w:lang w:eastAsia="zh-CN"/>
        </w:rPr>
        <w:t>工作任务加重项目经费较上年增多，本年度委本级承接了</w:t>
      </w:r>
      <w:r>
        <w:rPr>
          <w:rFonts w:hint="eastAsia" w:ascii="方正仿宋_GBK" w:hAnsi="方正仿宋_GBK" w:eastAsia="方正仿宋_GBK" w:cs="方正仿宋_GBK"/>
          <w:sz w:val="32"/>
          <w:szCs w:val="32"/>
          <w:shd w:val="clear" w:color="auto" w:fill="FFFFFF"/>
          <w:lang w:val="en-US" w:eastAsia="zh-CN"/>
        </w:rPr>
        <w:t>全区基层社会治理先进个人和先进集体表彰及全国省级法制（治）媒体社长总编辑年会暨重庆万州行大型采访活动二专项工作，按上级要求下属事业单位开始实体化运行并需建设机密级会议室，共新增项目经费约209万元；三是下属区综治中心实体化运行，本年度开始预决算，本年度决算收支</w:t>
      </w:r>
      <w:r>
        <w:rPr>
          <w:rFonts w:ascii="方正仿宋_GBK" w:hAnsi="方正仿宋_GBK" w:eastAsia="方正仿宋_GBK" w:cs="方正仿宋_GBK"/>
          <w:sz w:val="32"/>
          <w:szCs w:val="32"/>
          <w:shd w:val="clear" w:color="auto" w:fill="FFFFFF"/>
        </w:rPr>
        <w:t>31.15万元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1232.00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1232.00</w:t>
      </w:r>
      <w:r>
        <w:rPr>
          <w:rFonts w:ascii="方正仿宋_GBK" w:hAnsi="方正仿宋_GBK" w:eastAsia="方正仿宋_GBK" w:cs="方正仿宋_GBK"/>
          <w:sz w:val="32"/>
          <w:szCs w:val="32"/>
          <w:shd w:val="clear" w:color="auto" w:fill="FFFFFF"/>
        </w:rPr>
        <w:t>万元，较上年决算数增加268.47万元，增长27.86%，主要原因</w:t>
      </w:r>
      <w:r>
        <w:rPr>
          <w:rFonts w:hint="eastAsia" w:ascii="方正仿宋_GBK" w:hAnsi="方正仿宋_GBK" w:eastAsia="方正仿宋_GBK" w:cs="方正仿宋_GBK"/>
          <w:sz w:val="32"/>
          <w:szCs w:val="32"/>
          <w:shd w:val="clear" w:color="auto" w:fill="FFFFFF"/>
          <w:lang w:eastAsia="zh-CN"/>
        </w:rPr>
        <w:t>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w:t>
      </w:r>
      <w:r>
        <w:rPr>
          <w:rFonts w:hint="eastAsia" w:ascii="方正仿宋_GBK" w:hAnsi="方正仿宋_GBK" w:eastAsia="方正仿宋_GBK" w:cs="方正仿宋_GBK"/>
          <w:sz w:val="32"/>
          <w:szCs w:val="32"/>
          <w:shd w:val="clear" w:color="auto" w:fill="FFFFFF"/>
          <w:lang w:eastAsia="zh-CN"/>
        </w:rPr>
        <w:t>工作任务加重项目经费较上年增多，本年度委本级承接了</w:t>
      </w:r>
      <w:r>
        <w:rPr>
          <w:rFonts w:hint="eastAsia" w:ascii="方正仿宋_GBK" w:hAnsi="方正仿宋_GBK" w:eastAsia="方正仿宋_GBK" w:cs="方正仿宋_GBK"/>
          <w:sz w:val="32"/>
          <w:szCs w:val="32"/>
          <w:shd w:val="clear" w:color="auto" w:fill="FFFFFF"/>
          <w:lang w:val="en-US" w:eastAsia="zh-CN"/>
        </w:rPr>
        <w:t>全区基层社会治理先进个人和先进集体表彰及全国省级法制（治）媒体社长总编辑年会暨重庆万州行大型采访活动二专项工作，按上级要求下属事业单位开始实体化运行并需建设机密级会议室，共新增项目经费约209万元；三是下属区综治中心实体化运行，本年度开始预决算，本年度决算收支</w:t>
      </w:r>
      <w:r>
        <w:rPr>
          <w:rFonts w:ascii="方正仿宋_GBK" w:hAnsi="方正仿宋_GBK" w:eastAsia="方正仿宋_GBK" w:cs="方正仿宋_GBK"/>
          <w:sz w:val="32"/>
          <w:szCs w:val="32"/>
          <w:shd w:val="clear" w:color="auto" w:fill="FFFFFF"/>
        </w:rPr>
        <w:t>31.15万元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813.16</w:t>
      </w:r>
      <w:r>
        <w:rPr>
          <w:rFonts w:ascii="方正仿宋_GBK" w:hAnsi="方正仿宋_GBK" w:eastAsia="方正仿宋_GBK" w:cs="方正仿宋_GBK"/>
          <w:sz w:val="32"/>
          <w:szCs w:val="32"/>
          <w:shd w:val="clear" w:color="auto" w:fill="FFFFFF"/>
        </w:rPr>
        <w:t>万元，占66.00%；项目支出</w:t>
      </w:r>
      <w:r>
        <w:rPr>
          <w:rFonts w:ascii="方正仿宋_GBK" w:hAnsi="方正仿宋_GBK" w:eastAsia="方正仿宋_GBK" w:cs="方正仿宋_GBK"/>
          <w:sz w:val="32"/>
          <w:szCs w:val="32"/>
        </w:rPr>
        <w:t>418.84</w:t>
      </w:r>
      <w:r>
        <w:rPr>
          <w:rFonts w:ascii="方正仿宋_GBK" w:hAnsi="方正仿宋_GBK" w:eastAsia="方正仿宋_GBK" w:cs="方正仿宋_GBK"/>
          <w:sz w:val="32"/>
          <w:szCs w:val="32"/>
          <w:shd w:val="clear" w:color="auto" w:fill="FFFFFF"/>
        </w:rPr>
        <w:t>万元，占34.00%；经营支出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cs="方正仿宋_GBK"/>
          <w:color w:val="auto"/>
          <w:sz w:val="32"/>
          <w:szCs w:val="32"/>
          <w:shd w:val="clear" w:color="auto" w:fill="FFFFFF"/>
        </w:rPr>
        <w:t>较上年决算数无增减</w:t>
      </w:r>
      <w:r>
        <w:rPr>
          <w:rFonts w:hint="eastAsia" w:ascii="Times New Roman" w:hAnsi="Times New Roman"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方正仿宋_GBK"/>
          <w:kern w:val="0"/>
          <w:sz w:val="32"/>
          <w:szCs w:val="32"/>
          <w:shd w:val="clear" w:fill="FFFFFF"/>
          <w:lang w:val="en-US" w:eastAsia="zh-CN" w:bidi="ar"/>
        </w:rPr>
        <w:t>本年度无结转结余。</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2023年度财政拨款收、支总计1232.00万元。与2022年相比，财政拨款收、支总计各增加268.47万元，增长27.86%。主要原因</w:t>
      </w:r>
      <w:r>
        <w:rPr>
          <w:rFonts w:hint="eastAsia" w:ascii="方正仿宋_GBK" w:hAnsi="方正仿宋_GBK" w:eastAsia="方正仿宋_GBK" w:cs="方正仿宋_GBK"/>
          <w:sz w:val="32"/>
          <w:szCs w:val="32"/>
          <w:shd w:val="clear" w:color="auto" w:fill="FFFFFF"/>
          <w:lang w:eastAsia="zh-CN"/>
        </w:rPr>
        <w:t>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w:t>
      </w:r>
      <w:r>
        <w:rPr>
          <w:rFonts w:hint="eastAsia" w:ascii="方正仿宋_GBK" w:hAnsi="方正仿宋_GBK" w:eastAsia="方正仿宋_GBK" w:cs="方正仿宋_GBK"/>
          <w:sz w:val="32"/>
          <w:szCs w:val="32"/>
          <w:shd w:val="clear" w:color="auto" w:fill="FFFFFF"/>
          <w:lang w:eastAsia="zh-CN"/>
        </w:rPr>
        <w:t>工作任务加重项目经费较上年增多，本年度委本级承接了</w:t>
      </w:r>
      <w:r>
        <w:rPr>
          <w:rFonts w:hint="eastAsia" w:ascii="方正仿宋_GBK" w:hAnsi="方正仿宋_GBK" w:eastAsia="方正仿宋_GBK" w:cs="方正仿宋_GBK"/>
          <w:sz w:val="32"/>
          <w:szCs w:val="32"/>
          <w:shd w:val="clear" w:color="auto" w:fill="FFFFFF"/>
          <w:lang w:val="en-US" w:eastAsia="zh-CN"/>
        </w:rPr>
        <w:t>全区基层社会治理先进个人和先进集体表彰及全国省级法制（治）媒体社长总编辑年会暨重庆万州行大型采访活动二专项工作，按上级要求下属事业单位开始实体化运行并需建设机密级会议室，共新增项目经费约209万元；三是下属区综治中心实体化运行，本年度开始预决算，本年度决算收支</w:t>
      </w:r>
      <w:r>
        <w:rPr>
          <w:rFonts w:ascii="方正仿宋_GBK" w:hAnsi="方正仿宋_GBK" w:eastAsia="方正仿宋_GBK" w:cs="方正仿宋_GBK"/>
          <w:sz w:val="32"/>
          <w:szCs w:val="32"/>
          <w:shd w:val="clear" w:color="auto" w:fill="FFFFFF"/>
        </w:rPr>
        <w:t>31.15万元</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1232.00</w:t>
      </w:r>
      <w:r>
        <w:rPr>
          <w:rFonts w:ascii="方正仿宋_GBK" w:hAnsi="方正仿宋_GBK" w:eastAsia="方正仿宋_GBK" w:cs="方正仿宋_GBK"/>
          <w:sz w:val="32"/>
          <w:szCs w:val="32"/>
          <w:shd w:val="clear" w:color="auto" w:fill="FFFFFF"/>
        </w:rPr>
        <w:t>万元，较上年决算数增加268.47万元，增长27.86%。主要原因</w:t>
      </w:r>
      <w:r>
        <w:rPr>
          <w:rFonts w:hint="eastAsia" w:ascii="方正仿宋_GBK" w:hAnsi="方正仿宋_GBK" w:eastAsia="方正仿宋_GBK" w:cs="方正仿宋_GBK"/>
          <w:sz w:val="32"/>
          <w:szCs w:val="32"/>
          <w:shd w:val="clear" w:color="auto" w:fill="FFFFFF"/>
          <w:lang w:eastAsia="zh-CN"/>
        </w:rPr>
        <w:t>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w:t>
      </w:r>
      <w:r>
        <w:rPr>
          <w:rFonts w:hint="eastAsia" w:ascii="方正仿宋_GBK" w:hAnsi="方正仿宋_GBK" w:eastAsia="方正仿宋_GBK" w:cs="方正仿宋_GBK"/>
          <w:sz w:val="32"/>
          <w:szCs w:val="32"/>
          <w:shd w:val="clear" w:color="auto" w:fill="FFFFFF"/>
          <w:lang w:eastAsia="zh-CN"/>
        </w:rPr>
        <w:t>工作任务加重项目经费较上年增多，本年度委本级承接了</w:t>
      </w:r>
      <w:r>
        <w:rPr>
          <w:rFonts w:hint="eastAsia" w:ascii="方正仿宋_GBK" w:hAnsi="方正仿宋_GBK" w:eastAsia="方正仿宋_GBK" w:cs="方正仿宋_GBK"/>
          <w:sz w:val="32"/>
          <w:szCs w:val="32"/>
          <w:shd w:val="clear" w:color="auto" w:fill="FFFFFF"/>
          <w:lang w:val="en-US" w:eastAsia="zh-CN"/>
        </w:rPr>
        <w:t>全区基层社会治理先进个人和先进集体表彰及全国省级法制（治）媒体社长总编辑年会暨重庆万州行大型采访活动二专项工作，按上级要求下属事业单位开始实体化运行并需建设机密级会议室，共新增项目经费约209万元；三是下属区综治中心实体化运行，本年度开始预决算，本年度决算收支</w:t>
      </w:r>
      <w:r>
        <w:rPr>
          <w:rFonts w:ascii="方正仿宋_GBK" w:hAnsi="方正仿宋_GBK" w:eastAsia="方正仿宋_GBK" w:cs="方正仿宋_GBK"/>
          <w:sz w:val="32"/>
          <w:szCs w:val="32"/>
          <w:shd w:val="clear" w:color="auto" w:fill="FFFFFF"/>
        </w:rPr>
        <w:t>31.15万元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较年初预算数增加478.41万元，增长63.48%。主要原因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委本级因工作需要，年中追加各类项目经费</w:t>
      </w:r>
      <w:r>
        <w:rPr>
          <w:rFonts w:hint="eastAsia" w:ascii="方正仿宋_GBK" w:hAnsi="方正仿宋_GBK" w:eastAsia="方正仿宋_GBK" w:cs="方正仿宋_GBK"/>
          <w:sz w:val="32"/>
          <w:szCs w:val="32"/>
          <w:shd w:val="clear" w:color="auto" w:fill="FFFFFF"/>
          <w:lang w:val="en-US" w:eastAsia="zh-CN"/>
        </w:rPr>
        <w:t>380余万元，二是委本级年中追加丧葬费抚恤金93.71万元。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1232.00</w:t>
      </w:r>
      <w:r>
        <w:rPr>
          <w:rFonts w:ascii="方正仿宋_GBK" w:hAnsi="方正仿宋_GBK" w:eastAsia="方正仿宋_GBK" w:cs="方正仿宋_GBK"/>
          <w:sz w:val="32"/>
          <w:szCs w:val="32"/>
          <w:shd w:val="clear" w:color="auto" w:fill="FFFFFF"/>
        </w:rPr>
        <w:t>万元，较上年决算数增加268.47万元，增长27.86%。主要原因</w:t>
      </w:r>
      <w:r>
        <w:rPr>
          <w:rFonts w:hint="eastAsia" w:ascii="方正仿宋_GBK" w:hAnsi="方正仿宋_GBK" w:eastAsia="方正仿宋_GBK" w:cs="方正仿宋_GBK"/>
          <w:sz w:val="32"/>
          <w:szCs w:val="32"/>
          <w:shd w:val="clear" w:color="auto" w:fill="FFFFFF"/>
          <w:lang w:eastAsia="zh-CN"/>
        </w:rPr>
        <w:t>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w:t>
      </w:r>
      <w:r>
        <w:rPr>
          <w:rFonts w:hint="eastAsia" w:ascii="方正仿宋_GBK" w:hAnsi="方正仿宋_GBK" w:eastAsia="方正仿宋_GBK" w:cs="方正仿宋_GBK"/>
          <w:sz w:val="32"/>
          <w:szCs w:val="32"/>
          <w:shd w:val="clear" w:color="auto" w:fill="FFFFFF"/>
          <w:lang w:eastAsia="zh-CN"/>
        </w:rPr>
        <w:t>工作任务加重项目经费较上年增多，本年度委本级承接了</w:t>
      </w:r>
      <w:r>
        <w:rPr>
          <w:rFonts w:hint="eastAsia" w:ascii="方正仿宋_GBK" w:hAnsi="方正仿宋_GBK" w:eastAsia="方正仿宋_GBK" w:cs="方正仿宋_GBK"/>
          <w:sz w:val="32"/>
          <w:szCs w:val="32"/>
          <w:shd w:val="clear" w:color="auto" w:fill="FFFFFF"/>
          <w:lang w:val="en-US" w:eastAsia="zh-CN"/>
        </w:rPr>
        <w:t>全区基层社会治理先进个人和先进集体表彰及全国省级法制（治）媒体社长总编辑年会暨重庆万州行大型采访活动二专项工作，按上级要求下属事业单位开始实体化运行并需建设机密级会议室，共新增项目经费约209万元；三是下属区综治中心实体化运行，本年度开始预决算，本年度决算收支</w:t>
      </w:r>
      <w:r>
        <w:rPr>
          <w:rFonts w:ascii="方正仿宋_GBK" w:hAnsi="方正仿宋_GBK" w:eastAsia="方正仿宋_GBK" w:cs="方正仿宋_GBK"/>
          <w:sz w:val="32"/>
          <w:szCs w:val="32"/>
          <w:shd w:val="clear" w:color="auto" w:fill="FFFFFF"/>
        </w:rPr>
        <w:t>31.15万元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较年初预算数增加478.41万元，增长63.48%。主要原因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委本级因工作需要，年中追加各类项目经费</w:t>
      </w:r>
      <w:r>
        <w:rPr>
          <w:rFonts w:hint="eastAsia" w:ascii="方正仿宋_GBK" w:hAnsi="方正仿宋_GBK" w:eastAsia="方正仿宋_GBK" w:cs="方正仿宋_GBK"/>
          <w:sz w:val="32"/>
          <w:szCs w:val="32"/>
          <w:shd w:val="clear" w:color="auto" w:fill="FFFFFF"/>
          <w:lang w:val="en-US" w:eastAsia="zh-CN"/>
        </w:rPr>
        <w:t>380余万元，二是委本级年中追加丧葬费抚恤金93.71万元。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kern w:val="0"/>
          <w:sz w:val="32"/>
          <w:szCs w:val="32"/>
          <w:shd w:val="clear" w:fill="FFFFFF"/>
          <w:lang w:val="en-US" w:eastAsia="zh-CN" w:bidi="ar"/>
        </w:rPr>
        <w:t>本年度无结转结余。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947.69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76.92</w:t>
      </w:r>
      <w:r>
        <w:rPr>
          <w:rFonts w:ascii="方正仿宋_GBK" w:hAnsi="方正仿宋_GBK" w:eastAsia="方正仿宋_GBK" w:cs="方正仿宋_GBK"/>
          <w:sz w:val="32"/>
          <w:szCs w:val="32"/>
          <w:shd w:val="clear" w:color="auto" w:fill="FFFFFF"/>
        </w:rPr>
        <w:t>%，较年初预算数增加461.11万元，增长94.77%，主要原因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委本级因工作需要，年中追加各类项目经费</w:t>
      </w:r>
      <w:r>
        <w:rPr>
          <w:rFonts w:hint="eastAsia" w:ascii="方正仿宋_GBK" w:hAnsi="方正仿宋_GBK" w:eastAsia="方正仿宋_GBK" w:cs="方正仿宋_GBK"/>
          <w:sz w:val="32"/>
          <w:szCs w:val="32"/>
          <w:shd w:val="clear" w:color="auto" w:fill="FFFFFF"/>
          <w:lang w:val="en-US" w:eastAsia="zh-CN"/>
        </w:rPr>
        <w:t>380余万元，二是委本级年中追加丧葬费抚恤金93.71万元。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（8）社会保障与就业支出</w:t>
      </w:r>
      <w:r>
        <w:rPr>
          <w:rFonts w:ascii="方正仿宋_GBK" w:hAnsi="方正仿宋_GBK" w:eastAsia="方正仿宋_GBK" w:cs="方正仿宋_GBK"/>
          <w:sz w:val="32"/>
          <w:szCs w:val="32"/>
        </w:rPr>
        <w:t>195.82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15.89</w:t>
      </w:r>
      <w:r>
        <w:rPr>
          <w:rFonts w:ascii="方正仿宋_GBK" w:hAnsi="方正仿宋_GBK" w:eastAsia="方正仿宋_GBK" w:cs="方正仿宋_GBK"/>
          <w:sz w:val="32"/>
          <w:szCs w:val="32"/>
          <w:shd w:val="clear" w:color="auto" w:fill="FFFFFF"/>
        </w:rPr>
        <w:t>%，较年初预算数增加2.13万元，增长1.10%，主要原因</w:t>
      </w:r>
      <w:r>
        <w:rPr>
          <w:rFonts w:hint="eastAsia" w:ascii="方正仿宋_GBK" w:hAnsi="方正仿宋_GBK" w:eastAsia="方正仿宋_GBK" w:cs="方正仿宋_GBK"/>
          <w:sz w:val="32"/>
          <w:szCs w:val="32"/>
          <w:shd w:val="clear" w:color="auto" w:fill="FFFFFF"/>
          <w:lang w:eastAsia="zh-CN"/>
        </w:rPr>
        <w:t>是委本级及下属事业单位年中人员变动，新进人员社保经费未进入年初预算。</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（9）卫生健康支出</w:t>
      </w:r>
      <w:r>
        <w:rPr>
          <w:rFonts w:ascii="方正仿宋_GBK" w:hAnsi="方正仿宋_GBK" w:eastAsia="方正仿宋_GBK" w:cs="方正仿宋_GBK"/>
          <w:sz w:val="32"/>
          <w:szCs w:val="32"/>
        </w:rPr>
        <w:t>48.85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3.97</w:t>
      </w:r>
      <w:r>
        <w:rPr>
          <w:rFonts w:ascii="方正仿宋_GBK" w:hAnsi="方正仿宋_GBK" w:eastAsia="方正仿宋_GBK" w:cs="方正仿宋_GBK"/>
          <w:sz w:val="32"/>
          <w:szCs w:val="32"/>
          <w:shd w:val="clear" w:color="auto" w:fill="FFFFFF"/>
        </w:rPr>
        <w:t>%，较年初预算数增加14.46万元，增长42.05%，主要原因是</w:t>
      </w:r>
      <w:r>
        <w:rPr>
          <w:rFonts w:hint="eastAsia" w:ascii="方正仿宋_GBK" w:hAnsi="方正仿宋_GBK" w:eastAsia="方正仿宋_GBK" w:cs="方正仿宋_GBK"/>
          <w:sz w:val="32"/>
          <w:szCs w:val="32"/>
          <w:shd w:val="clear" w:color="auto" w:fill="FFFFFF"/>
          <w:lang w:eastAsia="zh-CN"/>
        </w:rPr>
        <w:t>委本级年中追加</w:t>
      </w:r>
      <w:r>
        <w:rPr>
          <w:rFonts w:ascii="方正仿宋_GBK" w:hAnsi="方正仿宋_GBK" w:eastAsia="方正仿宋_GBK" w:cs="方正仿宋_GBK"/>
          <w:sz w:val="32"/>
          <w:szCs w:val="32"/>
          <w:shd w:val="clear" w:color="auto" w:fill="FFFFFF"/>
        </w:rPr>
        <w:t>严重精神障碍患者意外保险金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方正仿宋_GBK"/>
          <w:kern w:val="0"/>
          <w:sz w:val="32"/>
          <w:szCs w:val="32"/>
          <w:shd w:val="clear" w:fill="FFFFFF"/>
          <w:lang w:val="en-US" w:eastAsia="zh-CN" w:bidi="ar"/>
        </w:rPr>
        <w:t>用于购买我区严重</w:t>
      </w:r>
      <w:r>
        <w:rPr>
          <w:rFonts w:ascii="方正仿宋_GBK" w:hAnsi="方正仿宋_GBK" w:eastAsia="方正仿宋_GBK" w:cs="方正仿宋_GBK"/>
          <w:sz w:val="32"/>
          <w:szCs w:val="32"/>
          <w:shd w:val="clear" w:color="auto" w:fill="FFFFFF"/>
        </w:rPr>
        <w:t>精神障碍患者</w:t>
      </w:r>
      <w:r>
        <w:rPr>
          <w:rFonts w:hint="eastAsia" w:ascii="Times New Roman" w:hAnsi="Times New Roman" w:eastAsia="方正仿宋_GBK" w:cs="方正仿宋_GBK"/>
          <w:kern w:val="0"/>
          <w:sz w:val="32"/>
          <w:szCs w:val="32"/>
          <w:shd w:val="clear" w:fill="FFFFFF"/>
          <w:lang w:val="en-US" w:eastAsia="zh-CN" w:bidi="ar"/>
        </w:rPr>
        <w:t>意外保险。</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rPr>
        <w:t>住房保障支出39.63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3.22</w:t>
      </w:r>
      <w:r>
        <w:rPr>
          <w:rFonts w:ascii="方正仿宋_GBK" w:hAnsi="方正仿宋_GBK" w:eastAsia="方正仿宋_GBK" w:cs="方正仿宋_GBK"/>
          <w:sz w:val="32"/>
          <w:szCs w:val="32"/>
          <w:shd w:val="clear" w:color="auto" w:fill="FFFFFF"/>
        </w:rPr>
        <w:t>%，较年初预算数增加0.69万元，增长1.77%，主要原因是</w:t>
      </w:r>
      <w:r>
        <w:rPr>
          <w:rFonts w:hint="eastAsia" w:ascii="方正仿宋_GBK" w:hAnsi="方正仿宋_GBK" w:eastAsia="方正仿宋_GBK" w:cs="方正仿宋_GBK"/>
          <w:sz w:val="32"/>
          <w:szCs w:val="32"/>
          <w:shd w:val="clear" w:color="auto" w:fill="FFFFFF"/>
          <w:lang w:eastAsia="zh-CN"/>
        </w:rPr>
        <w:t>年中人员变动，实际缴纳额与年初预算略有差额。</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600"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813.16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767.78</w:t>
      </w:r>
      <w:r>
        <w:rPr>
          <w:rFonts w:ascii="方正仿宋_GBK" w:hAnsi="方正仿宋_GBK" w:eastAsia="方正仿宋_GBK" w:cs="方正仿宋_GBK"/>
          <w:sz w:val="32"/>
          <w:szCs w:val="32"/>
          <w:shd w:val="clear" w:color="auto" w:fill="FFFFFF"/>
        </w:rPr>
        <w:t>万元，较上年决算数增加90.53万元，增长13.37%，主要原因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委本级本年度支出丧葬费抚恤金</w:t>
      </w:r>
      <w:r>
        <w:rPr>
          <w:rFonts w:hint="eastAsia" w:ascii="方正仿宋_GBK" w:hAnsi="方正仿宋_GBK" w:eastAsia="方正仿宋_GBK" w:cs="方正仿宋_GBK"/>
          <w:sz w:val="32"/>
          <w:szCs w:val="32"/>
          <w:shd w:val="clear" w:color="auto" w:fill="FFFFFF"/>
          <w:lang w:val="en-US" w:eastAsia="zh-CN"/>
        </w:rPr>
        <w:t>93.71，较上年度金额有所增加；二</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下属事业单位上年无决算，本年度新增人员经费。</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方正仿宋_GBK"/>
          <w:kern w:val="0"/>
          <w:sz w:val="32"/>
          <w:szCs w:val="32"/>
          <w:shd w:val="clear" w:fill="FFFFFF"/>
          <w:lang w:val="en-US" w:eastAsia="zh-CN" w:bidi="ar"/>
        </w:rPr>
        <w:t>基本工资、绩效工资、津贴补贴、奖金、社会保障缴费、丧葬费和抚恤金。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45.39</w:t>
      </w:r>
      <w:r>
        <w:rPr>
          <w:rFonts w:ascii="方正仿宋_GBK" w:hAnsi="方正仿宋_GBK" w:eastAsia="方正仿宋_GBK" w:cs="方正仿宋_GBK"/>
          <w:sz w:val="32"/>
          <w:szCs w:val="32"/>
          <w:shd w:val="clear" w:color="auto" w:fill="FFFFFF"/>
        </w:rPr>
        <w:t>万元，较上年决算数减少73.09万元，下降61.69%，主要原因是</w:t>
      </w:r>
      <w:r>
        <w:rPr>
          <w:rFonts w:hint="eastAsia" w:ascii="方正仿宋_GBK" w:hAnsi="方正仿宋_GBK" w:eastAsia="方正仿宋_GBK" w:cs="方正仿宋_GBK"/>
          <w:sz w:val="32"/>
          <w:szCs w:val="32"/>
          <w:shd w:val="clear" w:color="auto" w:fill="FFFFFF"/>
          <w:lang w:eastAsia="zh-CN"/>
        </w:rPr>
        <w:t>财政压减预算，公用人头经费减少。</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方正仿宋_GBK"/>
          <w:kern w:val="0"/>
          <w:sz w:val="32"/>
          <w:szCs w:val="32"/>
          <w:shd w:val="clear" w:fill="FFFFFF"/>
          <w:lang w:val="en-US" w:eastAsia="zh-CN" w:bidi="ar"/>
        </w:rPr>
        <w:t>办公费、印刷费、咨询费、手续费。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本部门2023年度无政府性基金预算财政拨款收支。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本部门2023年度无国有资本经营预算财政拨款支出。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9.70</w:t>
      </w:r>
      <w:r>
        <w:rPr>
          <w:rFonts w:ascii="方正仿宋_GBK" w:hAnsi="方正仿宋_GBK" w:eastAsia="方正仿宋_GBK" w:cs="方正仿宋_GBK"/>
          <w:sz w:val="32"/>
          <w:szCs w:val="32"/>
          <w:shd w:val="clear" w:color="auto" w:fill="FFFFFF"/>
        </w:rPr>
        <w:t>万元，较年初预算数减少0.55万元，下降5.37%，主要原因</w:t>
      </w:r>
      <w:r>
        <w:rPr>
          <w:rFonts w:hint="eastAsia" w:ascii="Times New Roman" w:hAnsi="Times New Roman" w:eastAsia="方正仿宋_GBK" w:cs="方正仿宋_GBK"/>
          <w:kern w:val="0"/>
          <w:sz w:val="32"/>
          <w:szCs w:val="32"/>
          <w:shd w:val="clear" w:fill="FFFFFF"/>
          <w:lang w:val="en-US" w:eastAsia="zh-CN" w:bidi="ar"/>
        </w:rPr>
        <w:t>一是认真贯彻落实中央八项规定精神，按照只减不增的要求从严控制“三公”经费，全年实际支出较预算有所下降。二是严格落实公车使用规定，公车运行维护成本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r>
        <w:rPr>
          <w:rFonts w:ascii="方正仿宋_GBK" w:hAnsi="方正仿宋_GBK" w:eastAsia="方正仿宋_GBK" w:cs="方正仿宋_GBK"/>
          <w:sz w:val="32"/>
          <w:szCs w:val="32"/>
          <w:shd w:val="clear" w:color="auto" w:fill="FFFFFF"/>
        </w:rPr>
        <w:t>较上年支出数增加0.39万元，增长4.19%，主要原因是</w:t>
      </w:r>
      <w:r>
        <w:rPr>
          <w:rFonts w:hint="eastAsia" w:ascii="Times New Roman" w:hAnsi="Times New Roman" w:eastAsia="方正仿宋_GBK" w:cs="方正仿宋_GBK"/>
          <w:kern w:val="0"/>
          <w:sz w:val="32"/>
          <w:szCs w:val="32"/>
          <w:shd w:val="clear" w:fill="FFFFFF"/>
          <w:lang w:val="en-US" w:eastAsia="zh-CN" w:bidi="ar"/>
        </w:rPr>
        <w:t>疫情结束全面放开后，公务接待频次增多，支出较上年略有增加。</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Times New Roman" w:hAnsi="Times New Roman" w:eastAsia="方正仿宋_GBK" w:cs="方正仿宋_GBK"/>
          <w:kern w:val="0"/>
          <w:sz w:val="32"/>
          <w:szCs w:val="32"/>
          <w:shd w:val="clear" w:fill="FFFFFF"/>
          <w:lang w:val="en-US" w:eastAsia="zh-CN" w:bidi="ar"/>
        </w:rPr>
        <w:t>本单位本年度未安排因公出国（境）。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Times New Roman" w:hAnsi="Times New Roman" w:eastAsia="方正仿宋_GBK" w:cs="方正仿宋_GBK"/>
          <w:kern w:val="0"/>
          <w:sz w:val="32"/>
          <w:szCs w:val="32"/>
          <w:shd w:val="clear" w:fill="FFFFFF"/>
          <w:lang w:val="en-US" w:eastAsia="zh-CN" w:bidi="ar"/>
        </w:rPr>
        <w:t>本年度未发生公务用车购置支出。</w:t>
      </w:r>
      <w:r>
        <w:rPr>
          <w:rFonts w:ascii="方正仿宋_GBK" w:hAnsi="方正仿宋_GBK" w:eastAsia="方正仿宋_GBK" w:cs="方正仿宋_GBK"/>
          <w:sz w:val="32"/>
          <w:szCs w:val="32"/>
          <w:shd w:val="clear" w:color="auto" w:fill="FFFFFF"/>
        </w:rPr>
        <w:t>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4.89</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cs="方正仿宋_GBK"/>
          <w:kern w:val="0"/>
          <w:sz w:val="32"/>
          <w:szCs w:val="32"/>
          <w:shd w:val="clear" w:fill="FFFFFF"/>
          <w:lang w:val="en-US" w:eastAsia="zh-CN" w:bidi="ar"/>
        </w:rPr>
        <w:t>机要文件交换、市内因公出行、下乡督导检查、乡村振兴对接等工作所需车辆的燃料费、维修费、过桥过路费、保险费等</w:t>
      </w:r>
      <w:r>
        <w:rPr>
          <w:rFonts w:ascii="方正仿宋_GBK" w:hAnsi="方正仿宋_GBK" w:eastAsia="方正仿宋_GBK" w:cs="方正仿宋_GBK"/>
          <w:sz w:val="32"/>
          <w:szCs w:val="32"/>
          <w:shd w:val="clear" w:color="auto" w:fill="FFFFFF"/>
        </w:rPr>
        <w:t>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费用支出较年初预算数减少0.11万元，下降2.20%，主要原因是</w:t>
      </w:r>
      <w:r>
        <w:rPr>
          <w:rFonts w:hint="eastAsia" w:ascii="Times New Roman" w:hAnsi="Times New Roman" w:eastAsia="方正仿宋_GBK" w:cs="方正仿宋_GBK"/>
          <w:kern w:val="0"/>
          <w:sz w:val="32"/>
          <w:szCs w:val="32"/>
          <w:shd w:val="clear" w:fill="FFFFFF"/>
          <w:lang w:val="en-US" w:eastAsia="zh-CN" w:bidi="ar"/>
        </w:rPr>
        <w:t>严格落实公车使用规定，公车运行维护成本有所下降。</w:t>
      </w:r>
      <w:r>
        <w:rPr>
          <w:rFonts w:ascii="方正仿宋_GBK" w:hAnsi="方正仿宋_GBK" w:eastAsia="方正仿宋_GBK" w:cs="方正仿宋_GBK"/>
          <w:sz w:val="32"/>
          <w:szCs w:val="32"/>
          <w:shd w:val="clear" w:color="auto" w:fill="FFFFFF"/>
        </w:rPr>
        <w:t>较上年支出数减少0.01万元，下降0.20%，主要原因是</w:t>
      </w:r>
      <w:r>
        <w:rPr>
          <w:rFonts w:hint="eastAsia" w:ascii="Times New Roman" w:hAnsi="Times New Roman" w:eastAsia="方正仿宋_GBK" w:cs="方正仿宋_GBK"/>
          <w:kern w:val="0"/>
          <w:sz w:val="32"/>
          <w:szCs w:val="32"/>
          <w:shd w:val="clear" w:fill="FFFFFF"/>
          <w:lang w:val="en-US" w:eastAsia="zh-CN" w:bidi="ar"/>
        </w:rPr>
        <w:t>严格落实公车使用规定，公车运行维护成本有所下降。</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4.82</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cs="方正仿宋_GBK"/>
          <w:kern w:val="0"/>
          <w:sz w:val="32"/>
          <w:szCs w:val="32"/>
          <w:shd w:val="clear" w:fill="FFFFFF"/>
          <w:lang w:val="en-US" w:eastAsia="zh-CN" w:bidi="ar"/>
        </w:rPr>
        <w:t>接待上级部门到我单位检查指导工作以及各区县党委政法委与综治中心来万调研工作等发生的支出。</w:t>
      </w:r>
      <w:r>
        <w:rPr>
          <w:rFonts w:ascii="方正仿宋_GBK" w:hAnsi="方正仿宋_GBK" w:eastAsia="方正仿宋_GBK" w:cs="方正仿宋_GBK"/>
          <w:sz w:val="32"/>
          <w:szCs w:val="32"/>
          <w:shd w:val="clear" w:color="auto" w:fill="FFFFFF"/>
        </w:rPr>
        <w:t>费用支出较年初预算数减少0.43万元，下降8.19%，主要原因是</w:t>
      </w:r>
      <w:r>
        <w:rPr>
          <w:rFonts w:hint="eastAsia" w:ascii="Times New Roman" w:hAnsi="Times New Roman" w:eastAsia="方正仿宋_GBK" w:cs="方正仿宋_GBK"/>
          <w:kern w:val="0"/>
          <w:sz w:val="32"/>
          <w:szCs w:val="32"/>
          <w:shd w:val="clear" w:fill="FFFFFF"/>
          <w:lang w:val="en-US" w:eastAsia="zh-CN" w:bidi="ar"/>
        </w:rPr>
        <w:t>强化公务接待支出管理，严格遵守公务接待开支范围和开支标准，严格控制陪餐人数，对应由接待对象承担的费用一律由接待对象自行支付。</w:t>
      </w:r>
      <w:r>
        <w:rPr>
          <w:rFonts w:ascii="方正仿宋_GBK" w:hAnsi="方正仿宋_GBK" w:eastAsia="方正仿宋_GBK" w:cs="方正仿宋_GBK"/>
          <w:sz w:val="32"/>
          <w:szCs w:val="32"/>
          <w:shd w:val="clear" w:color="auto" w:fill="FFFFFF"/>
        </w:rPr>
        <w:t>较上年支出数增加0.41万元，增长9.30%，主要原因是</w:t>
      </w:r>
      <w:r>
        <w:rPr>
          <w:rFonts w:hint="eastAsia" w:ascii="Times New Roman" w:hAnsi="Times New Roman" w:eastAsia="方正仿宋_GBK" w:cs="方正仿宋_GBK"/>
          <w:kern w:val="0"/>
          <w:sz w:val="32"/>
          <w:szCs w:val="32"/>
          <w:shd w:val="clear" w:fill="FFFFFF"/>
          <w:lang w:val="en-US" w:eastAsia="zh-CN" w:bidi="ar"/>
        </w:rPr>
        <w:t>疫情结束全面放开后，公务接待频次增多，支出较上年略有增加。</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114.66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1.22</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18.40</w:t>
      </w:r>
      <w:r>
        <w:rPr>
          <w:rFonts w:ascii="方正仿宋_GBK" w:hAnsi="方正仿宋_GBK" w:eastAsia="方正仿宋_GBK" w:cs="方正仿宋_GBK"/>
          <w:sz w:val="32"/>
          <w:szCs w:val="32"/>
          <w:shd w:val="clear" w:color="auto" w:fill="FFFFFF"/>
        </w:rPr>
        <w:t>万元，较上年决算数增加14.25万元，增长343.37%，主要原因是</w:t>
      </w:r>
      <w:r>
        <w:rPr>
          <w:rFonts w:hint="eastAsia" w:ascii="方正仿宋_GBK" w:hAnsi="方正仿宋_GBK" w:eastAsia="方正仿宋_GBK" w:cs="方正仿宋_GBK"/>
          <w:sz w:val="32"/>
          <w:szCs w:val="32"/>
          <w:shd w:val="clear" w:color="auto" w:fill="FFFFFF"/>
          <w:lang w:eastAsia="zh-CN"/>
        </w:rPr>
        <w:t>本年度开展</w:t>
      </w:r>
      <w:r>
        <w:rPr>
          <w:rFonts w:hint="eastAsia" w:ascii="方正仿宋_GBK" w:hAnsi="方正仿宋_GBK" w:eastAsia="方正仿宋_GBK" w:cs="方正仿宋_GBK"/>
          <w:sz w:val="32"/>
          <w:szCs w:val="32"/>
          <w:shd w:val="clear" w:color="auto" w:fill="FFFFFF"/>
          <w:lang w:val="en-US" w:eastAsia="zh-CN"/>
        </w:rPr>
        <w:t>全国省级法制（治）媒体社长总编辑年会暨重庆万州行大型采访活动，会议费较上年增多</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10.81</w:t>
      </w:r>
      <w:r>
        <w:rPr>
          <w:rFonts w:ascii="方正仿宋_GBK" w:hAnsi="方正仿宋_GBK" w:eastAsia="方正仿宋_GBK" w:cs="方正仿宋_GBK"/>
          <w:sz w:val="32"/>
          <w:szCs w:val="32"/>
          <w:shd w:val="clear" w:color="auto" w:fill="FFFFFF"/>
        </w:rPr>
        <w:t>万元，较上年决算数增加4.43万元，增长69.44%，主要原因是</w:t>
      </w:r>
      <w:r>
        <w:rPr>
          <w:rFonts w:hint="eastAsia" w:ascii="方正仿宋_GBK" w:hAnsi="方正仿宋_GBK" w:eastAsia="方正仿宋_GBK" w:cs="方正仿宋_GBK"/>
          <w:sz w:val="32"/>
          <w:szCs w:val="32"/>
          <w:shd w:val="clear" w:color="auto" w:fill="FFFFFF"/>
          <w:lang w:eastAsia="zh-CN"/>
        </w:rPr>
        <w:t>疫情结束全面放开后，按要求开展培训次数及时长增多，培训支出较上年增多。</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43.20</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方正仿宋_GBK"/>
          <w:kern w:val="0"/>
          <w:sz w:val="32"/>
          <w:szCs w:val="32"/>
          <w:shd w:val="clear" w:fill="FFFFFF"/>
          <w:lang w:val="en-US" w:eastAsia="zh-CN" w:bidi="ar"/>
        </w:rPr>
        <w:t>办公费、印刷费、水电费、公务车运行维护费、差旅费、会议费、培训费、劳务费、委托业务费。</w:t>
      </w:r>
      <w:r>
        <w:rPr>
          <w:rFonts w:ascii="方正仿宋_GBK" w:hAnsi="方正仿宋_GBK" w:eastAsia="方正仿宋_GBK" w:cs="方正仿宋_GBK"/>
          <w:sz w:val="32"/>
          <w:szCs w:val="32"/>
          <w:shd w:val="clear" w:color="auto" w:fill="FFFFFF"/>
        </w:rPr>
        <w:t>机关运行经费较上年支出数减少75.28万元，下降63.54%，主要原因是</w:t>
      </w:r>
      <w:r>
        <w:rPr>
          <w:rFonts w:hint="eastAsia" w:ascii="Times New Roman" w:hAnsi="Times New Roman" w:eastAsia="方正仿宋_GBK" w:cs="方正仿宋_GBK"/>
          <w:kern w:val="0"/>
          <w:sz w:val="32"/>
          <w:szCs w:val="32"/>
          <w:shd w:val="clear" w:fill="FFFFFF"/>
          <w:lang w:val="en-US" w:eastAsia="zh-CN" w:bidi="ar"/>
        </w:rPr>
        <w:t>财政压减公用经费预算，本年度按照过“紧日子”要求，进一步减少开支。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600" w:lineRule="exact"/>
        <w:ind w:firstLine="643"/>
        <w:textAlignment w:val="auto"/>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（一）单位自评情况</w:t>
      </w:r>
    </w:p>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600" w:lineRule="exact"/>
        <w:ind w:firstLine="64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根据预算绩效管理要求，我部门组织部门本级及所属单位对</w:t>
      </w:r>
      <w:r>
        <w:rPr>
          <w:rFonts w:hint="eastAsia" w:ascii="方正仿宋_GBK" w:hAnsi="宋体" w:eastAsia="方正仿宋_GBK" w:cs="宋体"/>
          <w:kern w:val="0"/>
          <w:sz w:val="32"/>
          <w:szCs w:val="32"/>
          <w:lang w:eastAsia="zh-CN"/>
        </w:rPr>
        <w:t>部门整体和</w:t>
      </w:r>
      <w:r>
        <w:rPr>
          <w:rFonts w:hint="eastAsia" w:ascii="方正仿宋_GBK" w:eastAsia="方正仿宋_GBK" w:cs="宋体"/>
          <w:kern w:val="0"/>
          <w:sz w:val="32"/>
          <w:szCs w:val="32"/>
          <w:lang w:val="en-US" w:eastAsia="zh-CN"/>
        </w:rPr>
        <w:t>0</w:t>
      </w:r>
      <w:r>
        <w:rPr>
          <w:rFonts w:hint="eastAsia" w:ascii="方正仿宋_GBK" w:hAnsi="宋体" w:eastAsia="方正仿宋_GBK" w:cs="宋体"/>
          <w:kern w:val="0"/>
          <w:sz w:val="32"/>
          <w:szCs w:val="32"/>
        </w:rPr>
        <w:t>个</w:t>
      </w:r>
      <w:r>
        <w:rPr>
          <w:rFonts w:hint="eastAsia" w:ascii="方正仿宋_GBK" w:hAnsi="宋体" w:eastAsia="方正仿宋_GBK" w:cs="宋体"/>
          <w:kern w:val="0"/>
          <w:sz w:val="32"/>
          <w:szCs w:val="32"/>
          <w:lang w:eastAsia="zh-CN"/>
        </w:rPr>
        <w:t>重点专项</w:t>
      </w:r>
      <w:r>
        <w:rPr>
          <w:rFonts w:hint="eastAsia" w:ascii="方正仿宋_GBK" w:hAnsi="宋体" w:eastAsia="方正仿宋_GBK" w:cs="宋体"/>
          <w:kern w:val="0"/>
          <w:sz w:val="32"/>
          <w:szCs w:val="32"/>
        </w:rPr>
        <w:t>项目、</w:t>
      </w:r>
      <w:r>
        <w:rPr>
          <w:rFonts w:hint="eastAsia" w:ascii="方正仿宋_GBK" w:eastAsia="方正仿宋_GBK" w:cs="宋体"/>
          <w:kern w:val="0"/>
          <w:sz w:val="32"/>
          <w:szCs w:val="32"/>
          <w:lang w:val="en-US" w:eastAsia="zh-CN"/>
        </w:rPr>
        <w:t>2</w:t>
      </w:r>
      <w:r>
        <w:rPr>
          <w:rFonts w:hint="eastAsia" w:ascii="方正仿宋_GBK" w:hAnsi="宋体" w:eastAsia="方正仿宋_GBK" w:cs="宋体"/>
          <w:kern w:val="0"/>
          <w:sz w:val="32"/>
          <w:szCs w:val="32"/>
        </w:rPr>
        <w:t>个</w:t>
      </w:r>
      <w:r>
        <w:rPr>
          <w:rFonts w:hint="eastAsia" w:ascii="方正仿宋_GBK" w:hAnsi="宋体" w:eastAsia="方正仿宋_GBK" w:cs="宋体"/>
          <w:kern w:val="0"/>
          <w:sz w:val="32"/>
          <w:szCs w:val="32"/>
          <w:lang w:eastAsia="zh-CN"/>
        </w:rPr>
        <w:t>一般性</w:t>
      </w:r>
      <w:r>
        <w:rPr>
          <w:rFonts w:hint="eastAsia" w:ascii="方正仿宋_GBK" w:hAnsi="宋体" w:eastAsia="方正仿宋_GBK" w:cs="宋体"/>
          <w:kern w:val="0"/>
          <w:sz w:val="32"/>
          <w:szCs w:val="32"/>
        </w:rPr>
        <w:t>项目开展了绩效自评，涉及财政拨款项目支出</w:t>
      </w:r>
      <w:r>
        <w:rPr>
          <w:rFonts w:ascii="方正仿宋_GBK" w:hAnsi="方正仿宋_GBK" w:eastAsia="方正仿宋_GBK" w:cs="方正仿宋_GBK"/>
          <w:sz w:val="32"/>
          <w:szCs w:val="32"/>
        </w:rPr>
        <w:t>418.84</w:t>
      </w:r>
      <w:r>
        <w:rPr>
          <w:rFonts w:hint="eastAsia" w:ascii="方正仿宋_GBK" w:hAnsi="宋体" w:eastAsia="方正仿宋_GBK" w:cs="宋体"/>
          <w:kern w:val="0"/>
          <w:sz w:val="32"/>
          <w:szCs w:val="32"/>
        </w:rPr>
        <w:t>万元。</w:t>
      </w:r>
    </w:p>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600" w:lineRule="exact"/>
        <w:ind w:firstLine="643"/>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二</w:t>
      </w: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绩效自评结果</w:t>
      </w:r>
    </w:p>
    <w:tbl>
      <w:tblPr>
        <w:tblStyle w:val="7"/>
        <w:tblW w:w="8888" w:type="dxa"/>
        <w:tblInd w:w="93" w:type="dxa"/>
        <w:tblLayout w:type="fixed"/>
        <w:tblCellMar>
          <w:top w:w="0" w:type="dxa"/>
          <w:left w:w="108" w:type="dxa"/>
          <w:bottom w:w="0" w:type="dxa"/>
          <w:right w:w="108" w:type="dxa"/>
        </w:tblCellMar>
      </w:tblPr>
      <w:tblGrid>
        <w:gridCol w:w="870"/>
        <w:gridCol w:w="1247"/>
        <w:gridCol w:w="1650"/>
        <w:gridCol w:w="546"/>
        <w:gridCol w:w="409"/>
        <w:gridCol w:w="319"/>
        <w:gridCol w:w="726"/>
        <w:gridCol w:w="238"/>
        <w:gridCol w:w="963"/>
        <w:gridCol w:w="270"/>
        <w:gridCol w:w="694"/>
        <w:gridCol w:w="338"/>
        <w:gridCol w:w="618"/>
      </w:tblGrid>
      <w:tr>
        <w:tblPrEx>
          <w:tblCellMar>
            <w:top w:w="0" w:type="dxa"/>
            <w:left w:w="108" w:type="dxa"/>
            <w:bottom w:w="0" w:type="dxa"/>
            <w:right w:w="108" w:type="dxa"/>
          </w:tblCellMar>
        </w:tblPrEx>
        <w:trPr>
          <w:trHeight w:val="552" w:hRule="atLeast"/>
        </w:trPr>
        <w:tc>
          <w:tcPr>
            <w:tcW w:w="8888" w:type="dxa"/>
            <w:gridSpan w:val="13"/>
            <w:tcBorders>
              <w:top w:val="nil"/>
              <w:left w:val="nil"/>
              <w:bottom w:val="nil"/>
              <w:right w:val="nil"/>
            </w:tcBorders>
            <w:noWrap w:val="0"/>
            <w:vAlign w:val="center"/>
          </w:tcPr>
          <w:p>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0" w:firstLineChars="200"/>
              <w:jc w:val="left"/>
              <w:textAlignment w:val="auto"/>
              <w:rPr>
                <w:rStyle w:val="17"/>
                <w:rFonts w:hint="eastAsia" w:ascii="Times New Roman" w:hAnsi="Times New Roman" w:eastAsia="方正仿宋_GBK" w:cs="方正仿宋_GBK"/>
                <w:b/>
                <w:sz w:val="32"/>
                <w:szCs w:val="32"/>
                <w:shd w:val="clear" w:fill="FFFFFF"/>
                <w:lang w:val="en-US" w:eastAsia="zh-CN" w:bidi="ar"/>
              </w:rPr>
            </w:pP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部门整体绩效自评表</w:t>
            </w:r>
          </w:p>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区委政法委</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年度部门整体绩效自评表</w:t>
            </w:r>
          </w:p>
        </w:tc>
      </w:tr>
      <w:tr>
        <w:tblPrEx>
          <w:tblCellMar>
            <w:top w:w="0" w:type="dxa"/>
            <w:left w:w="108" w:type="dxa"/>
            <w:bottom w:w="0" w:type="dxa"/>
            <w:right w:w="108" w:type="dxa"/>
          </w:tblCellMar>
        </w:tblPrEx>
        <w:trPr>
          <w:trHeight w:val="601"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区委政法委</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部门</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联系人</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0"/>
                <w:szCs w:val="20"/>
                <w:lang w:eastAsia="zh-CN"/>
              </w:rPr>
            </w:pPr>
            <w:r>
              <w:rPr>
                <w:rFonts w:hint="eastAsia" w:ascii="方正仿宋_GBK" w:hAnsi="方正仿宋_GBK" w:eastAsia="方正仿宋_GBK" w:cs="方正仿宋_GBK"/>
                <w:color w:val="000000"/>
                <w:sz w:val="18"/>
                <w:szCs w:val="18"/>
                <w:lang w:eastAsia="zh-CN"/>
              </w:rPr>
              <w:t>周晨</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c>
          <w:tcPr>
            <w:tcW w:w="1471"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0"/>
                <w:szCs w:val="20"/>
                <w:lang w:val="en-US" w:eastAsia="zh-CN"/>
              </w:rPr>
            </w:pPr>
            <w:r>
              <w:rPr>
                <w:rFonts w:hint="eastAsia" w:ascii="Times New Roman" w:hAnsi="Times New Roman" w:cs="Times New Roman"/>
                <w:color w:val="auto"/>
                <w:sz w:val="20"/>
                <w:szCs w:val="20"/>
                <w:lang w:val="en-US" w:eastAsia="zh-CN"/>
              </w:rPr>
              <w:t>023-58155200</w:t>
            </w:r>
          </w:p>
        </w:tc>
        <w:tc>
          <w:tcPr>
            <w:tcW w:w="10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自评总分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100</w:t>
            </w:r>
          </w:p>
        </w:tc>
      </w:tr>
      <w:tr>
        <w:tblPrEx>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当年绩效目标</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年初绩效目标</w:t>
            </w:r>
          </w:p>
        </w:tc>
        <w:tc>
          <w:tcPr>
            <w:tcW w:w="200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全年（调整）绩效目标</w:t>
            </w:r>
          </w:p>
        </w:tc>
        <w:tc>
          <w:tcPr>
            <w:tcW w:w="31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全年目标实际完成情况</w:t>
            </w:r>
          </w:p>
        </w:tc>
      </w:tr>
      <w:tr>
        <w:tblPrEx>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eastAsia="zh-CN"/>
              </w:rPr>
              <w:t>一是组织、协调社会管理综合治理工作，推进社会矛盾化解和社会管理创新，继续加强“3+N”矛盾纠纷多元化解体系建设，深化特殊人群服务管理工作，巩固提升社会治理社会化、法治化、智能化、专业化水平，有效保障铁路护路、流动人口管理、夜巡队员工作顺利开展，积极落实平安万州建设措施，营造安定的社会环境。二是研究制定防范和处理邪教问题方案、措施和办法，组织协调各有关部门及时、准确、稳妥地查处邪教组织的有关案件。三是统筹协调全区国家安全工作，确保全区不发生危害国家安全的重大案事件。四是指导、协调、推动政法部门做好涉法涉诉信访工作。五是持续加强政法工作的内外宣传工作。六是加强政法干部的业务素质能力，完成年度政治轮训任务。</w:t>
            </w:r>
          </w:p>
        </w:tc>
        <w:tc>
          <w:tcPr>
            <w:tcW w:w="200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Times New Roman" w:hAnsi="Times New Roman" w:eastAsia="方正仿宋_GBK" w:cs="Times New Roman"/>
                <w:color w:val="auto"/>
                <w:sz w:val="18"/>
                <w:szCs w:val="18"/>
                <w:lang w:eastAsia="zh-CN"/>
              </w:rPr>
              <w:t>未调整</w:t>
            </w:r>
          </w:p>
        </w:tc>
        <w:tc>
          <w:tcPr>
            <w:tcW w:w="3121"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eastAsia="zh-CN"/>
              </w:rPr>
              <w:t>今年以来，全区政法战线坚持以习近平新时代中国特色社会主义思想为指导，在区委坚强领导和市委政法委精心指导下，以“885”工作机制为抓手，坚持稳进增效、除险清患、改革求变、惠民有感工作导向，深入推进平安建设“一把手”工程，圆满完成春节、全国和全市“两会”、成都大运会、杭州亚运会等重要节点安保维稳工作，实现“大事不出、小事少出且可控”目标。2023年，平安报表整体评价全市第1；平安重庆建设考核，万州区排名全市第2，位列优秀档次。</w:t>
            </w:r>
          </w:p>
        </w:tc>
      </w:tr>
      <w:tr>
        <w:tblPrEx>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计量</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单位</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性质</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指标权重</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完成值</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指标得分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9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说明</w:t>
            </w:r>
          </w:p>
        </w:tc>
      </w:tr>
      <w:tr>
        <w:tblPrEx>
          <w:tblCellMar>
            <w:top w:w="0" w:type="dxa"/>
            <w:left w:w="108" w:type="dxa"/>
            <w:bottom w:w="0" w:type="dxa"/>
            <w:right w:w="108" w:type="dxa"/>
          </w:tblCellMar>
        </w:tblPrEx>
        <w:trPr>
          <w:trHeight w:val="48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案件评查</w:t>
            </w:r>
            <w:bookmarkStart w:id="0" w:name="_GoBack"/>
            <w:bookmarkEnd w:id="0"/>
            <w:r>
              <w:rPr>
                <w:rFonts w:hint="eastAsia" w:ascii="方正仿宋_GBK" w:hAnsi="方正仿宋_GBK" w:eastAsia="方正仿宋_GBK" w:cs="方正仿宋_GBK"/>
                <w:color w:val="000000"/>
                <w:sz w:val="18"/>
                <w:szCs w:val="18"/>
                <w:lang w:eastAsia="zh-CN"/>
              </w:rPr>
              <w:t>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92</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15</w:t>
            </w:r>
          </w:p>
        </w:tc>
        <w:tc>
          <w:tcPr>
            <w:tcW w:w="9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45"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政法轮训覆盖率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lang w:val="en-US" w:eastAsia="zh-CN" w:bidi="ar-SA"/>
              </w:rPr>
            </w:pPr>
            <w:r>
              <w:rPr>
                <w:rFonts w:hint="eastAsia" w:ascii="方正仿宋_GBK" w:hAnsi="方正仿宋_GBK" w:eastAsia="方正仿宋_GBK" w:cs="方正仿宋_GBK"/>
                <w:color w:val="000000"/>
                <w:sz w:val="18"/>
                <w:szCs w:val="18"/>
                <w:lang w:val="en-US" w:eastAsia="zh-CN"/>
              </w:rPr>
              <w:t>≥</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95</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97</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15</w:t>
            </w:r>
          </w:p>
        </w:tc>
        <w:tc>
          <w:tcPr>
            <w:tcW w:w="9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4"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案件评查通过率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9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07"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部门预决算按时公开率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9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4"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司法公信力测评</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97.77</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9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90"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司法救助案件完成率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95</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9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35"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人民群众安全感测评</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95</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15</w:t>
            </w:r>
          </w:p>
        </w:tc>
        <w:tc>
          <w:tcPr>
            <w:tcW w:w="9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54"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人民群众满意度测评</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97.81</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15</w:t>
            </w:r>
          </w:p>
        </w:tc>
        <w:tc>
          <w:tcPr>
            <w:tcW w:w="9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bl>
    <w:p>
      <w:pPr>
        <w:pStyle w:val="6"/>
        <w:keepNext w:val="0"/>
        <w:keepLines w:val="0"/>
        <w:pageBreakBefore w:val="0"/>
        <w:widowControl/>
        <w:numPr>
          <w:ilvl w:val="0"/>
          <w:numId w:val="0"/>
        </w:numPr>
        <w:suppressLineNumbers w:val="0"/>
        <w:kinsoku/>
        <w:wordWrap/>
        <w:overflowPunct/>
        <w:topLinePunct w:val="0"/>
        <w:autoSpaceDN/>
        <w:bidi w:val="0"/>
        <w:adjustRightInd/>
        <w:snapToGrid w:val="0"/>
        <w:spacing w:before="0" w:beforeAutospacing="0" w:after="0" w:afterAutospacing="0" w:line="600" w:lineRule="exact"/>
        <w:ind w:right="0" w:rightChars="0"/>
        <w:jc w:val="left"/>
        <w:textAlignment w:val="auto"/>
        <w:rPr>
          <w:rFonts w:hint="eastAsia" w:ascii="方正仿宋_GBK" w:hAnsi="宋体" w:eastAsia="方正仿宋_GBK" w:cs="宋体"/>
          <w:kern w:val="0"/>
          <w:sz w:val="32"/>
          <w:szCs w:val="32"/>
        </w:rPr>
      </w:pPr>
    </w:p>
    <w:p>
      <w:pPr>
        <w:pStyle w:val="6"/>
        <w:keepNext w:val="0"/>
        <w:keepLines w:val="0"/>
        <w:pageBreakBefore w:val="0"/>
        <w:widowControl/>
        <w:numPr>
          <w:ilvl w:val="0"/>
          <w:numId w:val="0"/>
        </w:numPr>
        <w:suppressLineNumbers w:val="0"/>
        <w:kinsoku/>
        <w:wordWrap/>
        <w:overflowPunct/>
        <w:topLinePunct w:val="0"/>
        <w:autoSpaceDN/>
        <w:bidi w:val="0"/>
        <w:adjustRightInd/>
        <w:snapToGrid w:val="0"/>
        <w:spacing w:before="0" w:beforeAutospacing="0" w:after="0" w:afterAutospacing="0" w:line="600" w:lineRule="exact"/>
        <w:ind w:right="0" w:rightChars="0"/>
        <w:jc w:val="left"/>
        <w:textAlignment w:val="auto"/>
        <w:rPr>
          <w:rFonts w:hint="eastAsia" w:ascii="方正仿宋_GBK" w:hAnsi="宋体" w:eastAsia="方正仿宋_GBK" w:cs="宋体"/>
          <w:kern w:val="0"/>
          <w:sz w:val="32"/>
          <w:szCs w:val="32"/>
        </w:rPr>
      </w:pPr>
    </w:p>
    <w:p>
      <w:pPr>
        <w:pStyle w:val="6"/>
        <w:keepNext w:val="0"/>
        <w:keepLines w:val="0"/>
        <w:pageBreakBefore w:val="0"/>
        <w:widowControl/>
        <w:numPr>
          <w:ilvl w:val="0"/>
          <w:numId w:val="0"/>
        </w:numPr>
        <w:suppressLineNumbers w:val="0"/>
        <w:kinsoku/>
        <w:wordWrap/>
        <w:overflowPunct/>
        <w:topLinePunct w:val="0"/>
        <w:autoSpaceDN/>
        <w:bidi w:val="0"/>
        <w:adjustRightInd/>
        <w:snapToGrid w:val="0"/>
        <w:spacing w:before="0" w:beforeAutospacing="0" w:after="0" w:afterAutospacing="0" w:line="600" w:lineRule="exact"/>
        <w:ind w:right="0" w:rightChars="0" w:firstLine="640" w:firstLineChars="200"/>
        <w:jc w:val="left"/>
        <w:textAlignment w:val="auto"/>
        <w:rPr>
          <w:rFonts w:hint="eastAsia" w:ascii="方正仿宋_GBK" w:hAnsi="宋体" w:eastAsia="方正仿宋_GBK" w:cs="宋体"/>
          <w:kern w:val="0"/>
          <w:sz w:val="32"/>
          <w:szCs w:val="32"/>
        </w:rPr>
      </w:pP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一般性项目绩效自评表</w:t>
      </w:r>
    </w:p>
    <w:tbl>
      <w:tblPr>
        <w:tblStyle w:val="7"/>
        <w:tblW w:w="5000" w:type="pct"/>
        <w:tblInd w:w="0" w:type="dxa"/>
        <w:tblLayout w:type="fixed"/>
        <w:tblCellMar>
          <w:top w:w="0" w:type="dxa"/>
          <w:left w:w="108" w:type="dxa"/>
          <w:bottom w:w="0" w:type="dxa"/>
          <w:right w:w="108" w:type="dxa"/>
        </w:tblCellMar>
      </w:tblPr>
      <w:tblGrid>
        <w:gridCol w:w="414"/>
        <w:gridCol w:w="1261"/>
        <w:gridCol w:w="1618"/>
        <w:gridCol w:w="501"/>
        <w:gridCol w:w="525"/>
        <w:gridCol w:w="710"/>
        <w:gridCol w:w="640"/>
        <w:gridCol w:w="713"/>
        <w:gridCol w:w="750"/>
        <w:gridCol w:w="1337"/>
        <w:gridCol w:w="600"/>
      </w:tblGrid>
      <w:tr>
        <w:tblPrEx>
          <w:tblCellMar>
            <w:top w:w="0" w:type="dxa"/>
            <w:left w:w="108" w:type="dxa"/>
            <w:bottom w:w="0" w:type="dxa"/>
            <w:right w:w="108" w:type="dxa"/>
          </w:tblCellMar>
        </w:tblPrEx>
        <w:trPr>
          <w:trHeight w:val="780" w:hRule="atLeast"/>
        </w:trPr>
        <w:tc>
          <w:tcPr>
            <w:tcW w:w="5000" w:type="pct"/>
            <w:gridSpan w:val="11"/>
            <w:tcBorders>
              <w:top w:val="nil"/>
              <w:left w:val="nil"/>
              <w:bottom w:val="single" w:color="000000" w:sz="4" w:space="0"/>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区委政法委</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w:t>
            </w:r>
            <w:r>
              <w:rPr>
                <w:rFonts w:hint="eastAsia" w:ascii="方正小标宋_GBK" w:hAnsi="方正小标宋_GBK" w:eastAsia="方正小标宋_GBK" w:cs="方正小标宋_GBK"/>
                <w:color w:val="000000"/>
                <w:kern w:val="0"/>
                <w:sz w:val="36"/>
                <w:szCs w:val="36"/>
                <w:lang w:eastAsia="zh-CN" w:bidi="ar"/>
              </w:rPr>
              <w:t>一般性</w:t>
            </w:r>
            <w:r>
              <w:rPr>
                <w:rFonts w:hint="eastAsia" w:ascii="方正小标宋_GBK" w:hAnsi="方正小标宋_GBK" w:eastAsia="方正小标宋_GBK" w:cs="方正小标宋_GBK"/>
                <w:color w:val="000000"/>
                <w:kern w:val="0"/>
                <w:sz w:val="36"/>
                <w:szCs w:val="36"/>
                <w:lang w:bidi="ar"/>
              </w:rPr>
              <w:t>项目支出绩效自评表</w:t>
            </w:r>
          </w:p>
        </w:tc>
      </w:tr>
      <w:tr>
        <w:tblPrEx>
          <w:tblCellMar>
            <w:top w:w="0" w:type="dxa"/>
            <w:left w:w="108" w:type="dxa"/>
            <w:bottom w:w="0" w:type="dxa"/>
            <w:right w:w="108" w:type="dxa"/>
          </w:tblCellMar>
        </w:tblPrEx>
        <w:trPr>
          <w:trHeight w:val="600" w:hRule="atLeast"/>
        </w:trPr>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89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28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35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39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73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330"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CellMar>
            <w:top w:w="0" w:type="dxa"/>
            <w:left w:w="108" w:type="dxa"/>
            <w:bottom w:w="0" w:type="dxa"/>
            <w:right w:w="108" w:type="dxa"/>
          </w:tblCellMar>
        </w:tblPrEx>
        <w:trPr>
          <w:trHeight w:val="432" w:hRule="atLeast"/>
        </w:trPr>
        <w:tc>
          <w:tcPr>
            <w:tcW w:w="228"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1</w:t>
            </w:r>
          </w:p>
        </w:tc>
        <w:tc>
          <w:tcPr>
            <w:tcW w:w="695"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扫黑除恶项目经费</w:t>
            </w: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eastAsia="zh-CN"/>
              </w:rPr>
              <w:t>年度预算执行率</w:t>
            </w:r>
          </w:p>
        </w:tc>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28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3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3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30" w:type="pct"/>
            <w:vMerge w:val="restart"/>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ascii="方正仿宋_GBK" w:hAnsi="方正仿宋_GBK" w:eastAsia="方正仿宋_GBK" w:cs="方正仿宋_GBK"/>
                <w:color w:val="000000"/>
                <w:sz w:val="18"/>
                <w:szCs w:val="18"/>
                <w:lang w:val="en-US" w:eastAsia="zh-CN"/>
              </w:rPr>
              <w:t>90.52</w:t>
            </w:r>
          </w:p>
        </w:tc>
      </w:tr>
      <w:tr>
        <w:tblPrEx>
          <w:tblCellMar>
            <w:top w:w="0" w:type="dxa"/>
            <w:left w:w="108" w:type="dxa"/>
            <w:bottom w:w="0" w:type="dxa"/>
            <w:right w:w="108" w:type="dxa"/>
          </w:tblCellMar>
        </w:tblPrEx>
        <w:trPr>
          <w:trHeight w:val="432" w:hRule="atLeast"/>
        </w:trPr>
        <w:tc>
          <w:tcPr>
            <w:tcW w:w="22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95"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eastAsia="zh-CN"/>
              </w:rPr>
              <w:t>办结案件数量</w:t>
            </w:r>
          </w:p>
        </w:tc>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28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3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案件数</w:t>
            </w:r>
          </w:p>
        </w:tc>
        <w:tc>
          <w:tcPr>
            <w:tcW w:w="35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25</w:t>
            </w:r>
          </w:p>
        </w:tc>
        <w:tc>
          <w:tcPr>
            <w:tcW w:w="39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25</w:t>
            </w:r>
          </w:p>
        </w:tc>
        <w:tc>
          <w:tcPr>
            <w:tcW w:w="7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p>
        </w:tc>
        <w:tc>
          <w:tcPr>
            <w:tcW w:w="330" w:type="pct"/>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95"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案件办结率</w:t>
            </w:r>
          </w:p>
        </w:tc>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8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95</w:t>
            </w:r>
          </w:p>
        </w:tc>
        <w:tc>
          <w:tcPr>
            <w:tcW w:w="3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w:t>
            </w:r>
          </w:p>
        </w:tc>
        <w:tc>
          <w:tcPr>
            <w:tcW w:w="3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92</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20.52</w:t>
            </w:r>
          </w:p>
        </w:tc>
        <w:tc>
          <w:tcPr>
            <w:tcW w:w="7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p>
        </w:tc>
        <w:tc>
          <w:tcPr>
            <w:tcW w:w="330" w:type="pct"/>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95"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办案平均周期</w:t>
            </w:r>
          </w:p>
        </w:tc>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28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12</w:t>
            </w:r>
          </w:p>
        </w:tc>
        <w:tc>
          <w:tcPr>
            <w:tcW w:w="3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月</w:t>
            </w:r>
          </w:p>
        </w:tc>
        <w:tc>
          <w:tcPr>
            <w:tcW w:w="35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3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12</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7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30" w:type="pct"/>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95"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司法公信力</w:t>
            </w:r>
          </w:p>
        </w:tc>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8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3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3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97.77</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7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30" w:type="pct"/>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95"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群众满意度</w:t>
            </w:r>
          </w:p>
        </w:tc>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8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3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3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97.81</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30" w:type="pct"/>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8"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2</w:t>
            </w:r>
          </w:p>
        </w:tc>
        <w:tc>
          <w:tcPr>
            <w:tcW w:w="695"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政法委培训经费</w:t>
            </w: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eastAsia="zh-CN"/>
              </w:rPr>
              <w:t>年度预算执行率</w:t>
            </w:r>
          </w:p>
        </w:tc>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28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3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3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30" w:type="pct"/>
            <w:vMerge w:val="restart"/>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ascii="方正仿宋_GBK" w:hAnsi="方正仿宋_GBK" w:eastAsia="方正仿宋_GBK" w:cs="方正仿宋_GBK"/>
                <w:color w:val="000000"/>
                <w:sz w:val="18"/>
                <w:szCs w:val="18"/>
                <w:lang w:val="en-US" w:eastAsia="zh-CN"/>
              </w:rPr>
              <w:t>93.32</w:t>
            </w:r>
          </w:p>
        </w:tc>
      </w:tr>
      <w:tr>
        <w:tblPrEx>
          <w:tblCellMar>
            <w:top w:w="0" w:type="dxa"/>
            <w:left w:w="108" w:type="dxa"/>
            <w:bottom w:w="0" w:type="dxa"/>
            <w:right w:w="108" w:type="dxa"/>
          </w:tblCellMar>
        </w:tblPrEx>
        <w:trPr>
          <w:trHeight w:val="432" w:hRule="atLeast"/>
        </w:trPr>
        <w:tc>
          <w:tcPr>
            <w:tcW w:w="22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95"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培训人次</w:t>
            </w:r>
          </w:p>
        </w:tc>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8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300</w:t>
            </w:r>
          </w:p>
        </w:tc>
        <w:tc>
          <w:tcPr>
            <w:tcW w:w="3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人数</w:t>
            </w:r>
          </w:p>
        </w:tc>
        <w:tc>
          <w:tcPr>
            <w:tcW w:w="35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40</w:t>
            </w:r>
          </w:p>
        </w:tc>
        <w:tc>
          <w:tcPr>
            <w:tcW w:w="3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295</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33.32</w:t>
            </w:r>
          </w:p>
        </w:tc>
        <w:tc>
          <w:tcPr>
            <w:tcW w:w="7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30" w:type="pct"/>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95"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培训天数</w:t>
            </w:r>
          </w:p>
        </w:tc>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8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w:t>
            </w:r>
          </w:p>
        </w:tc>
        <w:tc>
          <w:tcPr>
            <w:tcW w:w="3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个工作日</w:t>
            </w:r>
          </w:p>
        </w:tc>
        <w:tc>
          <w:tcPr>
            <w:tcW w:w="35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39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3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eastAsia="zh-CN"/>
              </w:rPr>
              <w:t>开办为期</w:t>
            </w:r>
            <w:r>
              <w:rPr>
                <w:rFonts w:hint="eastAsia" w:ascii="方正仿宋_GBK" w:hAnsi="方正仿宋_GBK" w:eastAsia="方正仿宋_GBK" w:cs="方正仿宋_GBK"/>
                <w:color w:val="000000"/>
                <w:sz w:val="18"/>
                <w:szCs w:val="18"/>
                <w:lang w:val="en-US" w:eastAsia="zh-CN"/>
              </w:rPr>
              <w:t>3天的培训班</w:t>
            </w:r>
          </w:p>
        </w:tc>
        <w:tc>
          <w:tcPr>
            <w:tcW w:w="330" w:type="pct"/>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95"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培训人员合格率</w:t>
            </w:r>
          </w:p>
        </w:tc>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8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3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3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30" w:type="pct"/>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95"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培训学员满意度</w:t>
            </w:r>
          </w:p>
        </w:tc>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8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3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w:t>
            </w:r>
          </w:p>
        </w:tc>
        <w:tc>
          <w:tcPr>
            <w:tcW w:w="3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95</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w:t>
            </w:r>
          </w:p>
        </w:tc>
        <w:tc>
          <w:tcPr>
            <w:tcW w:w="7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30" w:type="pct"/>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bl>
    <w:p>
      <w:pPr>
        <w:pStyle w:val="11"/>
        <w:keepNext w:val="0"/>
        <w:keepLines w:val="0"/>
        <w:pageBreakBefore w:val="0"/>
        <w:widowControl/>
        <w:kinsoku/>
        <w:wordWrap/>
        <w:overflowPunct/>
        <w:topLinePunct w:val="0"/>
        <w:autoSpaceDE w:val="0"/>
        <w:autoSpaceDN/>
        <w:bidi w:val="0"/>
        <w:adjustRightInd/>
        <w:snapToGrid/>
        <w:spacing w:line="58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keepNext w:val="0"/>
        <w:keepLines w:val="0"/>
        <w:pageBreakBefore w:val="0"/>
        <w:widowControl/>
        <w:kinsoku/>
        <w:wordWrap/>
        <w:overflowPunct/>
        <w:topLinePunct w:val="0"/>
        <w:autoSpaceDE w:val="0"/>
        <w:autoSpaceDN/>
        <w:bidi w:val="0"/>
        <w:adjustRightInd/>
        <w:snapToGrid/>
        <w:spacing w:line="58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pPr>
        <w:pStyle w:val="11"/>
        <w:keepNext w:val="0"/>
        <w:keepLines w:val="0"/>
        <w:pageBreakBefore w:val="0"/>
        <w:widowControl/>
        <w:kinsoku/>
        <w:wordWrap/>
        <w:overflowPunct/>
        <w:topLinePunct w:val="0"/>
        <w:autoSpaceDE w:val="0"/>
        <w:autoSpaceDN/>
        <w:bidi w:val="0"/>
        <w:adjustRightInd/>
        <w:snapToGrid/>
        <w:spacing w:line="58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napToGrid/>
        <w:spacing w:line="58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区财政局未委托第三方对我部门开展绩效评价。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11"/>
        <w:autoSpaceDE w:val="0"/>
        <w:ind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023-58155200。</w:t>
      </w:r>
    </w:p>
    <w:p>
      <w:pPr>
        <w:pStyle w:val="11"/>
        <w:autoSpaceDE w:val="0"/>
        <w:ind w:firstLine="640" w:firstLineChars="200"/>
        <w:rPr>
          <w:rFonts w:hint="eastAsia" w:ascii="方正仿宋_GBK" w:hAnsi="方正仿宋_GBK" w:eastAsia="方正仿宋_GBK" w:cs="方正仿宋_GBK"/>
          <w:sz w:val="32"/>
          <w:szCs w:val="32"/>
          <w:shd w:val="clear" w:color="auto" w:fill="FFFFFF"/>
          <w:lang w:val="en-US" w:eastAsia="zh-CN"/>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701" w:right="1531" w:bottom="1531" w:left="1531" w:header="851" w:footer="992" w:gutter="0"/>
          <w:pgNumType w:fmt="numberInDash"/>
          <w:cols w:space="0" w:num="1"/>
          <w:rtlGutter w:val="0"/>
          <w:docGrid w:type="lines" w:linePitch="331" w:charSpace="0"/>
        </w:sectPr>
      </w:pPr>
    </w:p>
    <w:p>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中国共产党重庆市万州区委员会政法委员会</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1,232.00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947.69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195.82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39.63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1,232.00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1,232.00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1,232.00</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1,232.00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中国共产党重庆市万州区委员会政法委员会</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1,232.00</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1,232.00</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947.69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947.69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797.69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797.69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195.13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195.13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49.65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49.65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中国共产党重庆市万州区委员会政法委员会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1,232.00</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813.16</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418.84</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947.69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406.44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797.69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256.44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256.44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256.44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195.13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195.13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49.65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49.65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中国共产党重庆市万州区委员会政法委员会</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1,232.00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947.69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947.69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195.82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195.82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1,232.00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1,232.00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1,232.00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1,232.00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1,232.00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1,232.00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中国共产党重庆市万州区委员会政法委员会</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1,232.00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813.16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418.84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947.69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541.26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406.44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797.69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541.26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517.50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256.44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195.82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195.82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195.13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195.13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49.65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49.65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109.15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109.15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36.45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36.45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36.45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中国共产党重庆市万州区委员会政法委员会</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549.17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115.31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108.64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162.93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218.61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767.78</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45.39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中国共产党重庆市万州区委员会政法委员会</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中国共产党重庆市万州区委员会政法委员会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8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中国共产党重庆市万州区委员会政法委员会</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9.70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9.70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4.82</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420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18.40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10.81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3E20EA"/>
    <w:rsid w:val="044C50BA"/>
    <w:rsid w:val="05BC6D49"/>
    <w:rsid w:val="06194FF1"/>
    <w:rsid w:val="06A2550B"/>
    <w:rsid w:val="06B65E57"/>
    <w:rsid w:val="06F80EE2"/>
    <w:rsid w:val="07001CCA"/>
    <w:rsid w:val="075678DB"/>
    <w:rsid w:val="079D7CC7"/>
    <w:rsid w:val="08051BCA"/>
    <w:rsid w:val="086C12F4"/>
    <w:rsid w:val="08BA052C"/>
    <w:rsid w:val="08DB07BA"/>
    <w:rsid w:val="0969353F"/>
    <w:rsid w:val="098305D0"/>
    <w:rsid w:val="098A0877"/>
    <w:rsid w:val="0A4706BE"/>
    <w:rsid w:val="0A5C4B69"/>
    <w:rsid w:val="0A86124A"/>
    <w:rsid w:val="0AB54CC0"/>
    <w:rsid w:val="0B9335CE"/>
    <w:rsid w:val="0C7927C4"/>
    <w:rsid w:val="0C9B098C"/>
    <w:rsid w:val="0D673E11"/>
    <w:rsid w:val="0DDA54E4"/>
    <w:rsid w:val="0DDB2058"/>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0E439A"/>
    <w:rsid w:val="2533755C"/>
    <w:rsid w:val="25791755"/>
    <w:rsid w:val="26396DF4"/>
    <w:rsid w:val="27167136"/>
    <w:rsid w:val="27B23302"/>
    <w:rsid w:val="27CB21F9"/>
    <w:rsid w:val="29310A5F"/>
    <w:rsid w:val="29C37A35"/>
    <w:rsid w:val="2A076083"/>
    <w:rsid w:val="2A73162E"/>
    <w:rsid w:val="2B167953"/>
    <w:rsid w:val="2B200583"/>
    <w:rsid w:val="2B8209DE"/>
    <w:rsid w:val="2C6762A3"/>
    <w:rsid w:val="2EBF7B3E"/>
    <w:rsid w:val="2ECD118F"/>
    <w:rsid w:val="2EDE1934"/>
    <w:rsid w:val="2FCA4B37"/>
    <w:rsid w:val="2FE029D7"/>
    <w:rsid w:val="2FF06E00"/>
    <w:rsid w:val="30562E26"/>
    <w:rsid w:val="30586FEC"/>
    <w:rsid w:val="30EC7046"/>
    <w:rsid w:val="315F0B22"/>
    <w:rsid w:val="319D022C"/>
    <w:rsid w:val="31C90022"/>
    <w:rsid w:val="31D84415"/>
    <w:rsid w:val="31E978E5"/>
    <w:rsid w:val="32285F6F"/>
    <w:rsid w:val="32770556"/>
    <w:rsid w:val="329C0913"/>
    <w:rsid w:val="32AA0460"/>
    <w:rsid w:val="332B1863"/>
    <w:rsid w:val="3337290D"/>
    <w:rsid w:val="33E31118"/>
    <w:rsid w:val="33EF7674"/>
    <w:rsid w:val="342D7BC6"/>
    <w:rsid w:val="3443554F"/>
    <w:rsid w:val="346F1A07"/>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3A3D75"/>
    <w:rsid w:val="41E0734B"/>
    <w:rsid w:val="426554D0"/>
    <w:rsid w:val="426C1EA8"/>
    <w:rsid w:val="42736402"/>
    <w:rsid w:val="42E86A87"/>
    <w:rsid w:val="43307B09"/>
    <w:rsid w:val="438D0E97"/>
    <w:rsid w:val="43BB152F"/>
    <w:rsid w:val="44C37687"/>
    <w:rsid w:val="45CB699A"/>
    <w:rsid w:val="465B470D"/>
    <w:rsid w:val="469D6AD4"/>
    <w:rsid w:val="46F13EA6"/>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9A7D83"/>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185070"/>
    <w:rsid w:val="552256E1"/>
    <w:rsid w:val="554E5773"/>
    <w:rsid w:val="555A3CBC"/>
    <w:rsid w:val="5582012B"/>
    <w:rsid w:val="558E4E05"/>
    <w:rsid w:val="55BE2E85"/>
    <w:rsid w:val="56530F5D"/>
    <w:rsid w:val="567700D3"/>
    <w:rsid w:val="56FF7E9E"/>
    <w:rsid w:val="578867FC"/>
    <w:rsid w:val="58055D52"/>
    <w:rsid w:val="5842572D"/>
    <w:rsid w:val="58B20EA6"/>
    <w:rsid w:val="5A3B59D6"/>
    <w:rsid w:val="5AD134D8"/>
    <w:rsid w:val="5B6503B1"/>
    <w:rsid w:val="5C263CE4"/>
    <w:rsid w:val="5C5D2777"/>
    <w:rsid w:val="5CF66BF3"/>
    <w:rsid w:val="5D290C69"/>
    <w:rsid w:val="5F2D4A41"/>
    <w:rsid w:val="5FC7A5C2"/>
    <w:rsid w:val="60C74F6C"/>
    <w:rsid w:val="61025A59"/>
    <w:rsid w:val="613D5BBC"/>
    <w:rsid w:val="61536C39"/>
    <w:rsid w:val="62944DD7"/>
    <w:rsid w:val="6319381F"/>
    <w:rsid w:val="63236436"/>
    <w:rsid w:val="63C25DC5"/>
    <w:rsid w:val="63C62057"/>
    <w:rsid w:val="64571EF5"/>
    <w:rsid w:val="64671B73"/>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D02342"/>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DF83B2"/>
    <w:rsid w:val="77EB79F7"/>
    <w:rsid w:val="796D60A4"/>
    <w:rsid w:val="79A031D5"/>
    <w:rsid w:val="7A1525F7"/>
    <w:rsid w:val="7A2B3CA3"/>
    <w:rsid w:val="7B420052"/>
    <w:rsid w:val="7B861484"/>
    <w:rsid w:val="7BD06A28"/>
    <w:rsid w:val="7C3A7C0B"/>
    <w:rsid w:val="7C5248E4"/>
    <w:rsid w:val="7C566698"/>
    <w:rsid w:val="7C5866A3"/>
    <w:rsid w:val="7C9E7A3D"/>
    <w:rsid w:val="7CD061EC"/>
    <w:rsid w:val="7D2E63A3"/>
    <w:rsid w:val="7D7406BB"/>
    <w:rsid w:val="7DE94331"/>
    <w:rsid w:val="7EC90AB6"/>
    <w:rsid w:val="7F446A19"/>
    <w:rsid w:val="7F7452B9"/>
    <w:rsid w:val="CFBFD3E1"/>
    <w:rsid w:val="DDF7A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 w:type="character" w:customStyle="1" w:styleId="17">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4</TotalTime>
  <ScaleCrop>false</ScaleCrop>
  <LinksUpToDate>false</LinksUpToDate>
  <CharactersWithSpaces>27389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zfwzc</cp:lastModifiedBy>
  <cp:lastPrinted>2024-10-28T19:17:00Z</cp:lastPrinted>
  <dcterms:modified xsi:type="dcterms:W3CDTF">2024-10-30T03:24:13Z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BB46EABDBB2749749395447164B066B3_12</vt:lpwstr>
  </property>
</Properties>
</file>