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 xml:space="preserve">  </w:t>
      </w:r>
      <w:r>
        <w:rPr>
          <w:rFonts w:ascii="方正小标宋_GBK" w:hAnsi="方正小标宋_GBK" w:eastAsia="方正小标宋_GBK" w:cs="方正小标宋_GBK"/>
          <w:spacing w:val="-17"/>
          <w:sz w:val="44"/>
          <w:szCs w:val="44"/>
        </w:rPr>
        <w:t>中国共产党重庆市万州区委员会政法委员会</w:t>
      </w:r>
      <w:r>
        <w:rPr>
          <w:rFonts w:hint="eastAsia" w:ascii="方正小标宋_GBK" w:hAnsi="方正小标宋_GBK" w:eastAsia="方正小标宋_GBK" w:cs="方正小标宋_GBK"/>
          <w:spacing w:val="-17"/>
          <w:sz w:val="44"/>
          <w:szCs w:val="44"/>
          <w:lang w:eastAsia="zh-CN"/>
        </w:rPr>
        <w:t>本级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1．深入贯彻习近平新时代中国特色社会主义思想，深</w:t>
      </w:r>
      <w:r>
        <w:rPr>
          <w:rFonts w:hint="eastAsia" w:ascii="Times New Roman" w:hAnsi="Times New Roman" w:eastAsia="方正仿宋_GBK" w:cs="方正仿宋_GBK"/>
          <w:sz w:val="32"/>
          <w:szCs w:val="32"/>
          <w:shd w:val="clear" w:color="auto" w:fill="auto"/>
        </w:rPr>
        <w:t>入贯彻党的路线方针政策和决策部署，统一政法各部门思想</w:t>
      </w:r>
      <w:r>
        <w:rPr>
          <w:rFonts w:hint="eastAsia" w:ascii="Times New Roman" w:hAnsi="Times New Roman" w:eastAsia="方正仿宋_GBK" w:cs="方正仿宋_GBK"/>
          <w:sz w:val="32"/>
          <w:szCs w:val="32"/>
        </w:rPr>
        <w:t>和行动，坚持党对政法工作的绝对领导，坚决维护党中央权威和集中统一领导。</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2．深入贯彻党中央、市委决定和区委工作部署，推进平安建设、法治建设，加强过硬队伍建设，深化智能化建设，坚决维护国家政治安全、确保社会大局稳定、促进社会公平正义、保障人民安居乐业。</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3．了解掌握和分析研判政法工作情况动态，分析社会稳定形势，创新完善多部门参与的综治维稳工作机制，协调推动预防、化解影响稳定的重大社会矛盾和风险，协调应对和处置重大突发事件。</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4．加强对政法工作的督查，统筹协调社会治安综合治理、维护社会稳定、反邪教、反暴恐等有关法律法规政策的实施工作。</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5．组织开展政法领域的调查研究，研究拟订政法工作的有关具体措施，及时向市委政法委、区委提出建议。</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6．掌握分析政法舆情动态，指导协调政法部门媒体网络宣传工作，指导政法部门做好涉及政法工作的重大宣传工作。</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7．支持和监督政法各部门依法行使职权，指导和协调政法各部门密切配合，研究和协调重大、疑难案件，推进严格执法、公正司法。</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8．组织研究政法改革中带有方向性、倾向性和普遍性的重大问题，深化政法改革。</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9．指导推动全区政法系统党的建设和政法队伍建设。协助区委及区委组织部管理政法部门领导班子和领导干部。代管万州区法学会。</w:t>
      </w:r>
    </w:p>
    <w:p>
      <w:pPr>
        <w:pStyle w:val="6"/>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10．完成区委交办的其他任务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本委是一级预算单位，</w:t>
      </w:r>
      <w:r>
        <w:rPr>
          <w:rFonts w:hint="eastAsia" w:ascii="Times New Roman" w:hAnsi="Times New Roman" w:eastAsia="方正仿宋_GBK" w:cs="方正仿宋_GBK"/>
          <w:sz w:val="32"/>
          <w:szCs w:val="32"/>
        </w:rPr>
        <w:t>内设机构共7个，具体为：办公室、研究室、维稳指导科、综治督导科（挂专项行动办公室牌子）、基层社会治理科、执法监督科、政治部。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二、</w:t>
      </w:r>
      <w:r>
        <w:rPr>
          <w:rStyle w:val="10"/>
          <w:rFonts w:ascii="黑体" w:hAnsi="黑体" w:eastAsia="黑体" w:cs="黑体"/>
          <w:sz w:val="32"/>
          <w:szCs w:val="32"/>
          <w:shd w:val="clear" w:color="auto" w:fill="FFFFFF"/>
        </w:rPr>
        <w:t>单位决算情况说明</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2023年度收入总计1200.85万元，支出总计</w:t>
      </w:r>
      <w:r>
        <w:rPr>
          <w:rFonts w:ascii="方正仿宋_GBK" w:hAnsi="方正仿宋_GBK" w:eastAsia="方正仿宋_GBK" w:cs="方正仿宋_GBK"/>
          <w:sz w:val="32"/>
          <w:szCs w:val="32"/>
        </w:rPr>
        <w:t>1200.85</w:t>
      </w:r>
      <w:r>
        <w:rPr>
          <w:rFonts w:ascii="方正仿宋_GBK" w:hAnsi="方正仿宋_GBK" w:eastAsia="方正仿宋_GBK" w:cs="方正仿宋_GBK"/>
          <w:sz w:val="32"/>
          <w:szCs w:val="32"/>
          <w:shd w:val="clear" w:color="auto" w:fill="FFFFFF"/>
        </w:rPr>
        <w:t>万元。收支较上年决算数增加237.32万元，增长24.63%，主要原因是</w:t>
      </w:r>
      <w:r>
        <w:rPr>
          <w:rFonts w:hint="eastAsia" w:ascii="方正仿宋_GBK" w:hAnsi="方正仿宋_GBK" w:eastAsia="方正仿宋_GBK" w:cs="方正仿宋_GBK"/>
          <w:sz w:val="32"/>
          <w:szCs w:val="32"/>
          <w:shd w:val="clear" w:color="auto" w:fill="FFFFFF"/>
          <w:lang w:eastAsia="zh-CN"/>
        </w:rPr>
        <w:t>本年度因工作任务加重项目经费较上年增多，一是按市级工作安排，铁路护路经费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本年我委承接全区基层社会治理先进个人和先进集体表彰以及全国省级法制（治）媒体社长总编辑年会暨重庆万州行大型采访活动两专项工作，新增表彰经费32.00万元和采访活动经费65.00万元；三是本年度我委下属事业单位综治中心正式开始实体化运行，新增综治中心建设及改造升级经费25万元；四是按照市级工作要求，需建设机密级保密会议室，新增建设经费86.91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2023年度收入合计1200.85万元，较上年决算数增加237.32万元，增长24.63%，主要原因是</w:t>
      </w:r>
      <w:r>
        <w:rPr>
          <w:rFonts w:hint="eastAsia" w:ascii="方正仿宋_GBK" w:hAnsi="方正仿宋_GBK" w:eastAsia="方正仿宋_GBK" w:cs="方正仿宋_GBK"/>
          <w:sz w:val="32"/>
          <w:szCs w:val="32"/>
          <w:shd w:val="clear" w:color="auto" w:fill="FFFFFF"/>
          <w:lang w:eastAsia="zh-CN"/>
        </w:rPr>
        <w:t>本年度因工作原因项目经费较上年增多，一是按市级工作安排，铁路护路经费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本年我委承接全区基层社会治理先进个人和先进集体表彰以及全国省级法制（治）媒体社长总编辑年会暨重庆万州行大型采访活动两专项工作，新增表彰经费32.00万元和采访活动经费65.00万元；三是本年度我委下属事业单位综治中心正式开始实体化运行，新增综治中心建设及改造升级经费25万元；四是按照市级工作要求，需建设机密级保密会议室，新增建设经费86.91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1200.85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1200.85</w:t>
      </w:r>
      <w:r>
        <w:rPr>
          <w:rFonts w:ascii="方正仿宋_GBK" w:hAnsi="方正仿宋_GBK" w:eastAsia="方正仿宋_GBK" w:cs="方正仿宋_GBK"/>
          <w:sz w:val="32"/>
          <w:szCs w:val="32"/>
          <w:shd w:val="clear" w:color="auto" w:fill="FFFFFF"/>
        </w:rPr>
        <w:t>万元，较上年决算数增加237.32万元，增长24.63%，主要原因是</w:t>
      </w:r>
      <w:r>
        <w:rPr>
          <w:rFonts w:hint="eastAsia" w:ascii="方正仿宋_GBK" w:hAnsi="方正仿宋_GBK" w:eastAsia="方正仿宋_GBK" w:cs="方正仿宋_GBK"/>
          <w:sz w:val="32"/>
          <w:szCs w:val="32"/>
          <w:shd w:val="clear" w:color="auto" w:fill="FFFFFF"/>
          <w:lang w:eastAsia="zh-CN"/>
        </w:rPr>
        <w:t>本年度因工作原因项目经费较上年增多，一是按市级工作安排，铁路护路经费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本年我委承接全区基层社会治理先进个人和先进集体表彰以及全国省级法制（治）媒体社长总编辑年会暨重庆万州行大型采访活动两专项工作，新增表彰经费32.00万元和采访活动经费65.00万元；三是本年度我委下属事业单位综治中心正式开始实体化运行，新增综治中心建设及改造升级经费25万元；四是按照市级工作要求，需建设机密级保密会议室，新增建设经费86.91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782.01</w:t>
      </w:r>
      <w:r>
        <w:rPr>
          <w:rFonts w:ascii="方正仿宋_GBK" w:hAnsi="方正仿宋_GBK" w:eastAsia="方正仿宋_GBK" w:cs="方正仿宋_GBK"/>
          <w:sz w:val="32"/>
          <w:szCs w:val="32"/>
          <w:shd w:val="clear" w:color="auto" w:fill="FFFFFF"/>
        </w:rPr>
        <w:t>万元，占65.12%；项目支出</w:t>
      </w:r>
      <w:r>
        <w:rPr>
          <w:rFonts w:ascii="方正仿宋_GBK" w:hAnsi="方正仿宋_GBK" w:eastAsia="方正仿宋_GBK" w:cs="方正仿宋_GBK"/>
          <w:sz w:val="32"/>
          <w:szCs w:val="32"/>
        </w:rPr>
        <w:t>418.84</w:t>
      </w:r>
      <w:r>
        <w:rPr>
          <w:rFonts w:ascii="方正仿宋_GBK" w:hAnsi="方正仿宋_GBK" w:eastAsia="方正仿宋_GBK" w:cs="方正仿宋_GBK"/>
          <w:sz w:val="32"/>
          <w:szCs w:val="32"/>
          <w:shd w:val="clear" w:color="auto" w:fill="FFFFFF"/>
        </w:rPr>
        <w:t>万元，占34.88%；经营支出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Times New Roman" w:hAnsi="Times New Roman" w:eastAsia="方正仿宋_GBK" w:cs="方正仿宋_GBK"/>
          <w:kern w:val="0"/>
          <w:sz w:val="32"/>
          <w:szCs w:val="32"/>
          <w:shd w:val="clear" w:fill="FFFFFF"/>
          <w:lang w:val="en-US" w:eastAsia="zh-CN" w:bidi="ar"/>
        </w:rPr>
        <w:t>主要原因是本年度无结转结余。</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2023年度财政拨款收、支总计1200.85万元。与2022年相比，财政拨款收、支总计各增加237.32万元，增长24.63%。主要原因是</w:t>
      </w:r>
      <w:r>
        <w:rPr>
          <w:rFonts w:hint="eastAsia" w:ascii="方正仿宋_GBK" w:hAnsi="方正仿宋_GBK" w:eastAsia="方正仿宋_GBK" w:cs="方正仿宋_GBK"/>
          <w:sz w:val="32"/>
          <w:szCs w:val="32"/>
          <w:shd w:val="clear" w:color="auto" w:fill="FFFFFF"/>
          <w:lang w:eastAsia="zh-CN"/>
        </w:rPr>
        <w:t>本年度因工作原因项目经费较上年增多，一是按市级工作安排，铁路护路经费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本年我委承接全区基层社会治理先进个人和先进集体表彰以及全国省级法制（治）媒体社长总编辑年会暨重庆万州行大型采访活动两专项工作，新增表彰经费32.00万元和采访活动经费65.00万元；三是本年度我委下属事业单位综治中心正式开始实体化运行，新增综治中心建设及改造升级经费25万元；四是按照市级工作要求，需建设机密级保密会议室，新增建设经费86.91万元。</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1200.85</w:t>
      </w:r>
      <w:r>
        <w:rPr>
          <w:rFonts w:ascii="方正仿宋_GBK" w:hAnsi="方正仿宋_GBK" w:eastAsia="方正仿宋_GBK" w:cs="方正仿宋_GBK"/>
          <w:sz w:val="32"/>
          <w:szCs w:val="32"/>
          <w:shd w:val="clear" w:color="auto" w:fill="FFFFFF"/>
        </w:rPr>
        <w:t>万元，较上年决算数增加237.32万元，增长24.63%。主要原因是</w:t>
      </w:r>
      <w:r>
        <w:rPr>
          <w:rFonts w:hint="eastAsia" w:ascii="方正仿宋_GBK" w:hAnsi="方正仿宋_GBK" w:eastAsia="方正仿宋_GBK" w:cs="方正仿宋_GBK"/>
          <w:sz w:val="32"/>
          <w:szCs w:val="32"/>
          <w:shd w:val="clear" w:color="auto" w:fill="FFFFFF"/>
          <w:lang w:eastAsia="zh-CN"/>
        </w:rPr>
        <w:t>本年度因工作原因项目经费较上年增多，一是按市级工作安排，铁路护路经费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本年我委承接全区基层社会治理先进个人和先进集体表彰以及全国省级法制（治）媒体社长总编辑年会暨重庆万州行大型采访活动两专项工作，新增表彰经费32.00万元和采访活动经费65.00万元；三是本年度我委下属事业单位综治中心正式开始实体化运行，新增综治中心建设及改造升级经费25万元；四是按照市级工作要求，需建设机密级保密会议室，新增建设经费86.91万元。</w:t>
      </w:r>
      <w:r>
        <w:rPr>
          <w:rFonts w:ascii="方正仿宋_GBK" w:hAnsi="方正仿宋_GBK" w:eastAsia="方正仿宋_GBK" w:cs="方正仿宋_GBK"/>
          <w:sz w:val="32"/>
          <w:szCs w:val="32"/>
          <w:shd w:val="clear" w:color="auto" w:fill="FFFFFF"/>
        </w:rPr>
        <w:t>较年初预算数增加478.90万元，增长66.33%。主要原因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本年度工作需要，年中追加各类项目经费</w:t>
      </w:r>
      <w:r>
        <w:rPr>
          <w:rFonts w:hint="eastAsia" w:ascii="方正仿宋_GBK" w:hAnsi="方正仿宋_GBK" w:eastAsia="方正仿宋_GBK" w:cs="方正仿宋_GBK"/>
          <w:sz w:val="32"/>
          <w:szCs w:val="32"/>
          <w:shd w:val="clear" w:color="auto" w:fill="FFFFFF"/>
          <w:lang w:val="en-US" w:eastAsia="zh-CN"/>
        </w:rPr>
        <w:t>380余万元，二是年中追加丧葬费抚恤金93.71万元。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1200.85</w:t>
      </w:r>
      <w:r>
        <w:rPr>
          <w:rFonts w:ascii="方正仿宋_GBK" w:hAnsi="方正仿宋_GBK" w:eastAsia="方正仿宋_GBK" w:cs="方正仿宋_GBK"/>
          <w:sz w:val="32"/>
          <w:szCs w:val="32"/>
          <w:shd w:val="clear" w:color="auto" w:fill="FFFFFF"/>
        </w:rPr>
        <w:t>万元，较上年决算数增加237.32万元，增长24.63%。主要原因是</w:t>
      </w:r>
      <w:r>
        <w:rPr>
          <w:rFonts w:hint="eastAsia" w:ascii="方正仿宋_GBK" w:hAnsi="方正仿宋_GBK" w:eastAsia="方正仿宋_GBK" w:cs="方正仿宋_GBK"/>
          <w:sz w:val="32"/>
          <w:szCs w:val="32"/>
          <w:shd w:val="clear" w:color="auto" w:fill="FFFFFF"/>
          <w:lang w:eastAsia="zh-CN"/>
        </w:rPr>
        <w:t>本年度因工作原因项目经费较上年增多，一是按市级工作安排，铁路护路经费</w:t>
      </w:r>
      <w:r>
        <w:rPr>
          <w:rFonts w:hint="eastAsia" w:ascii="方正仿宋_GBK" w:hAnsi="方正仿宋_GBK" w:eastAsia="方正仿宋_GBK" w:cs="方正仿宋_GBK"/>
          <w:sz w:val="32"/>
          <w:szCs w:val="32"/>
          <w:shd w:val="clear" w:color="auto" w:fill="FFFFFF"/>
          <w:lang w:val="en-US" w:eastAsia="zh-CN"/>
        </w:rPr>
        <w:t>28.00万元自本年度起由市级划拨各区县自行支出；二是本年我委承接全区基层社会治理先进个人和先进集体表彰以及全国省级法制（治）媒体社长总编辑年会暨重庆万州行大型采访活动两专项工作，新增表彰经费32.00万元和采访活动经费65.00万元；三是本年度我委下属事业单位综治中心正式开始实体化运行，新增综治中心建设及改造升级经费25万元；四是按照市级工作要求，需建设机密级保密会议室，新增建设经费86.91万元。</w:t>
      </w:r>
      <w:r>
        <w:rPr>
          <w:rFonts w:ascii="方正仿宋_GBK" w:hAnsi="方正仿宋_GBK" w:eastAsia="方正仿宋_GBK" w:cs="方正仿宋_GBK"/>
          <w:sz w:val="32"/>
          <w:szCs w:val="32"/>
          <w:shd w:val="clear" w:color="auto" w:fill="FFFFFF"/>
        </w:rPr>
        <w:t>较年初预算数增加478.90万元，增长66.33%。主要原因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本年度工作需要，年中追加各类项目经费</w:t>
      </w:r>
      <w:r>
        <w:rPr>
          <w:rFonts w:hint="eastAsia" w:ascii="方正仿宋_GBK" w:hAnsi="方正仿宋_GBK" w:eastAsia="方正仿宋_GBK" w:cs="方正仿宋_GBK"/>
          <w:sz w:val="32"/>
          <w:szCs w:val="32"/>
          <w:shd w:val="clear" w:color="auto" w:fill="FFFFFF"/>
          <w:lang w:val="en-US" w:eastAsia="zh-CN"/>
        </w:rPr>
        <w:t>380余万元，二是年中追加丧葬费抚恤金93.71万元。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kern w:val="0"/>
          <w:sz w:val="32"/>
          <w:szCs w:val="32"/>
          <w:shd w:val="clear" w:fill="FFFFFF"/>
          <w:lang w:val="en-US" w:eastAsia="zh-CN" w:bidi="ar"/>
        </w:rPr>
        <w:t>本年度无结转结余。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923.93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76.94</w:t>
      </w:r>
      <w:r>
        <w:rPr>
          <w:rFonts w:ascii="方正仿宋_GBK" w:hAnsi="方正仿宋_GBK" w:eastAsia="方正仿宋_GBK" w:cs="方正仿宋_GBK"/>
          <w:sz w:val="32"/>
          <w:szCs w:val="32"/>
          <w:shd w:val="clear" w:color="auto" w:fill="FFFFFF"/>
        </w:rPr>
        <w:t>%，较年初预算数增加462.70万元，增长100.32%，主要原因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本年度工作需要，年中追加各类项目经费</w:t>
      </w:r>
      <w:r>
        <w:rPr>
          <w:rFonts w:hint="eastAsia" w:ascii="方正仿宋_GBK" w:hAnsi="方正仿宋_GBK" w:eastAsia="方正仿宋_GBK" w:cs="方正仿宋_GBK"/>
          <w:sz w:val="32"/>
          <w:szCs w:val="32"/>
          <w:shd w:val="clear" w:color="auto" w:fill="FFFFFF"/>
          <w:lang w:val="en-US" w:eastAsia="zh-CN"/>
        </w:rPr>
        <w:t>370余万元，二是年中追加丧葬费抚恤金93.71万元。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191.58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15.95</w:t>
      </w:r>
      <w:r>
        <w:rPr>
          <w:rFonts w:ascii="方正仿宋_GBK" w:hAnsi="方正仿宋_GBK" w:eastAsia="方正仿宋_GBK" w:cs="方正仿宋_GBK"/>
          <w:sz w:val="32"/>
          <w:szCs w:val="32"/>
          <w:shd w:val="clear" w:color="auto" w:fill="FFFFFF"/>
        </w:rPr>
        <w:t>%，较年初预算数增加1.03万元，增长0.54%，主要原因是</w:t>
      </w:r>
      <w:r>
        <w:rPr>
          <w:rFonts w:hint="eastAsia" w:ascii="方正仿宋_GBK" w:hAnsi="方正仿宋_GBK" w:eastAsia="方正仿宋_GBK" w:cs="方正仿宋_GBK"/>
          <w:sz w:val="32"/>
          <w:szCs w:val="32"/>
          <w:shd w:val="clear" w:color="auto" w:fill="FFFFFF"/>
          <w:lang w:eastAsia="zh-CN"/>
        </w:rPr>
        <w:t>年中人员变动，新进人员社保经费未进入年初预算。</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47.25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%，较年初预算数增加14.47万元，增长44.14%，主要原因是</w:t>
      </w:r>
      <w:r>
        <w:rPr>
          <w:rFonts w:hint="eastAsia" w:ascii="方正仿宋_GBK" w:hAnsi="方正仿宋_GBK" w:eastAsia="方正仿宋_GBK" w:cs="方正仿宋_GBK"/>
          <w:sz w:val="32"/>
          <w:szCs w:val="32"/>
          <w:shd w:val="clear" w:color="auto" w:fill="FFFFFF"/>
          <w:lang w:eastAsia="zh-CN"/>
        </w:rPr>
        <w:t>年中追加</w:t>
      </w:r>
      <w:r>
        <w:rPr>
          <w:rFonts w:ascii="方正仿宋_GBK" w:hAnsi="方正仿宋_GBK" w:eastAsia="方正仿宋_GBK" w:cs="方正仿宋_GBK"/>
          <w:sz w:val="32"/>
          <w:szCs w:val="32"/>
          <w:shd w:val="clear" w:color="auto" w:fill="FFFFFF"/>
        </w:rPr>
        <w:t>严重精神障碍患者意外保险金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方正仿宋_GBK"/>
          <w:kern w:val="0"/>
          <w:sz w:val="32"/>
          <w:szCs w:val="32"/>
          <w:shd w:val="clear" w:fill="FFFFFF"/>
          <w:lang w:val="en-US" w:eastAsia="zh-CN" w:bidi="ar"/>
        </w:rPr>
        <w:t>用于购买我区严重</w:t>
      </w:r>
      <w:r>
        <w:rPr>
          <w:rFonts w:ascii="方正仿宋_GBK" w:hAnsi="方正仿宋_GBK" w:eastAsia="方正仿宋_GBK" w:cs="方正仿宋_GBK"/>
          <w:sz w:val="32"/>
          <w:szCs w:val="32"/>
          <w:shd w:val="clear" w:color="auto" w:fill="FFFFFF"/>
        </w:rPr>
        <w:t>精神障碍患者</w:t>
      </w:r>
      <w:r>
        <w:rPr>
          <w:rFonts w:hint="eastAsia" w:ascii="Times New Roman" w:hAnsi="Times New Roman" w:eastAsia="方正仿宋_GBK" w:cs="方正仿宋_GBK"/>
          <w:kern w:val="0"/>
          <w:sz w:val="32"/>
          <w:szCs w:val="32"/>
          <w:shd w:val="clear" w:fill="FFFFFF"/>
          <w:lang w:val="en-US" w:eastAsia="zh-CN" w:bidi="ar"/>
        </w:rPr>
        <w:t>意外保险。</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住房保障支出38.09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%，较年初预算数增加0.70万元，增长1.87%，主要原因是</w:t>
      </w:r>
      <w:r>
        <w:rPr>
          <w:rFonts w:hint="eastAsia" w:ascii="方正仿宋_GBK" w:hAnsi="方正仿宋_GBK" w:eastAsia="方正仿宋_GBK" w:cs="方正仿宋_GBK"/>
          <w:sz w:val="32"/>
          <w:szCs w:val="32"/>
          <w:shd w:val="clear" w:color="auto" w:fill="FFFFFF"/>
          <w:lang w:eastAsia="zh-CN"/>
        </w:rPr>
        <w:t>年中人员变动，实际缴纳额与年初预算略有差额。</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782.01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738.81</w:t>
      </w:r>
      <w:r>
        <w:rPr>
          <w:rFonts w:ascii="方正仿宋_GBK" w:hAnsi="方正仿宋_GBK" w:eastAsia="方正仿宋_GBK" w:cs="方正仿宋_GBK"/>
          <w:sz w:val="32"/>
          <w:szCs w:val="32"/>
          <w:shd w:val="clear" w:color="auto" w:fill="FFFFFF"/>
        </w:rPr>
        <w:t>万元，较上年决算数增加61.56万元，增长9.09%，主要原因是</w:t>
      </w:r>
      <w:r>
        <w:rPr>
          <w:rFonts w:hint="eastAsia" w:ascii="方正仿宋_GBK" w:hAnsi="方正仿宋_GBK" w:eastAsia="方正仿宋_GBK" w:cs="方正仿宋_GBK"/>
          <w:sz w:val="32"/>
          <w:szCs w:val="32"/>
          <w:shd w:val="clear" w:color="auto" w:fill="FFFFFF"/>
          <w:lang w:eastAsia="zh-CN"/>
        </w:rPr>
        <w:t>本年度支出丧葬费抚恤金</w:t>
      </w:r>
      <w:r>
        <w:rPr>
          <w:rFonts w:hint="eastAsia" w:ascii="方正仿宋_GBK" w:hAnsi="方正仿宋_GBK" w:eastAsia="方正仿宋_GBK" w:cs="方正仿宋_GBK"/>
          <w:sz w:val="32"/>
          <w:szCs w:val="32"/>
          <w:shd w:val="clear" w:color="auto" w:fill="FFFFFF"/>
          <w:lang w:val="en-US" w:eastAsia="zh-CN"/>
        </w:rPr>
        <w:t>93.71万元，较上年度金额有所增加</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方正仿宋_GBK"/>
          <w:kern w:val="0"/>
          <w:sz w:val="32"/>
          <w:szCs w:val="32"/>
          <w:shd w:val="clear" w:fill="FFFFFF"/>
          <w:lang w:val="en-US" w:eastAsia="zh-CN" w:bidi="ar"/>
        </w:rPr>
        <w:t>基本工资、津贴补贴、奖金、社会保障缴费、丧葬费和抚恤金。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43.20</w:t>
      </w:r>
      <w:r>
        <w:rPr>
          <w:rFonts w:ascii="方正仿宋_GBK" w:hAnsi="方正仿宋_GBK" w:eastAsia="方正仿宋_GBK" w:cs="方正仿宋_GBK"/>
          <w:sz w:val="32"/>
          <w:szCs w:val="32"/>
          <w:shd w:val="clear" w:color="auto" w:fill="FFFFFF"/>
        </w:rPr>
        <w:t>万元，较上年决算数减少75.28万元，下降63.54%，主要原因是</w:t>
      </w:r>
      <w:r>
        <w:rPr>
          <w:rFonts w:hint="eastAsia" w:ascii="方正仿宋_GBK" w:hAnsi="方正仿宋_GBK" w:eastAsia="方正仿宋_GBK" w:cs="方正仿宋_GBK"/>
          <w:sz w:val="32"/>
          <w:szCs w:val="32"/>
          <w:shd w:val="clear" w:color="auto" w:fill="FFFFFF"/>
          <w:lang w:eastAsia="zh-CN"/>
        </w:rPr>
        <w:t>财政压减预算，公用人头经费减少。</w:t>
      </w:r>
      <w:r>
        <w:rPr>
          <w:rFonts w:ascii="方正仿宋_GBK" w:hAnsi="方正仿宋_GBK" w:eastAsia="方正仿宋_GBK" w:cs="方正仿宋_GBK"/>
          <w:sz w:val="32"/>
          <w:szCs w:val="32"/>
          <w:shd w:val="clear" w:color="auto" w:fill="FFFFFF"/>
        </w:rPr>
        <w:t>公用经费用途主要</w:t>
      </w:r>
      <w:r>
        <w:rPr>
          <w:rFonts w:hint="eastAsia" w:ascii="Times New Roman" w:hAnsi="Times New Roman" w:eastAsia="方正仿宋_GBK" w:cs="方正仿宋_GBK"/>
          <w:kern w:val="0"/>
          <w:sz w:val="32"/>
          <w:szCs w:val="32"/>
          <w:shd w:val="clear" w:fill="FFFFFF"/>
          <w:lang w:val="en-US" w:eastAsia="zh-CN" w:bidi="ar"/>
        </w:rPr>
        <w:t>包括办公费、印刷费、咨询费、手续费。</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9.70</w:t>
      </w:r>
      <w:r>
        <w:rPr>
          <w:rFonts w:ascii="方正仿宋_GBK" w:hAnsi="方正仿宋_GBK" w:eastAsia="方正仿宋_GBK" w:cs="方正仿宋_GBK"/>
          <w:sz w:val="32"/>
          <w:szCs w:val="32"/>
          <w:shd w:val="clear" w:color="auto" w:fill="FFFFFF"/>
        </w:rPr>
        <w:t>万元，较年初预算数减少0.55万元，下降5.37%，</w:t>
      </w:r>
      <w:r>
        <w:rPr>
          <w:rFonts w:hint="eastAsia" w:ascii="Times New Roman" w:hAnsi="Times New Roman" w:eastAsia="方正仿宋_GBK" w:cs="方正仿宋_GBK"/>
          <w:kern w:val="0"/>
          <w:sz w:val="32"/>
          <w:szCs w:val="32"/>
          <w:shd w:val="clear" w:fill="FFFFFF"/>
          <w:lang w:val="en-US" w:eastAsia="zh-CN" w:bidi="ar"/>
        </w:rPr>
        <w:t>主要原因一是认真贯彻落实中央八项规定精神，按照只减不增的要求从严控制“三公”经费，全年实际支出较预算有所下降。二是严格落实公车使用规定，公车运行维护成本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Pr>
          <w:rFonts w:ascii="方正仿宋_GBK" w:hAnsi="方正仿宋_GBK" w:eastAsia="方正仿宋_GBK" w:cs="方正仿宋_GBK"/>
          <w:sz w:val="32"/>
          <w:szCs w:val="32"/>
          <w:shd w:val="clear" w:color="auto" w:fill="FFFFFF"/>
        </w:rPr>
        <w:t>较上年支出数增加0.39万元，增长4.19%</w:t>
      </w:r>
      <w:r>
        <w:rPr>
          <w:rFonts w:hint="eastAsia" w:ascii="Times New Roman" w:hAnsi="Times New Roman" w:eastAsia="方正仿宋_GBK" w:cs="方正仿宋_GBK"/>
          <w:kern w:val="0"/>
          <w:sz w:val="32"/>
          <w:szCs w:val="32"/>
          <w:shd w:val="clear" w:fill="FFFFFF"/>
          <w:lang w:val="en-US" w:eastAsia="zh-CN" w:bidi="ar"/>
        </w:rPr>
        <w:t>，主要原因是疫情结束全面放开后，公务接待频次增多，支出较上年略有增加。</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Times New Roman" w:hAnsi="Times New Roman" w:eastAsia="方正仿宋_GBK" w:cs="方正仿宋_GBK"/>
          <w:kern w:val="0"/>
          <w:sz w:val="32"/>
          <w:szCs w:val="32"/>
          <w:shd w:val="clear" w:fill="FFFFFF"/>
          <w:lang w:val="en-US" w:eastAsia="zh-CN" w:bidi="ar"/>
        </w:rPr>
        <w:t>本单位本年度未安排因公出国（境）。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Times New Roman" w:hAnsi="Times New Roman" w:eastAsia="方正仿宋_GBK" w:cs="方正仿宋_GBK"/>
          <w:kern w:val="0"/>
          <w:sz w:val="32"/>
          <w:szCs w:val="32"/>
          <w:shd w:val="clear" w:fill="FFFFFF"/>
          <w:lang w:val="en-US" w:eastAsia="zh-CN" w:bidi="ar"/>
        </w:rPr>
        <w:t>本年度未发生公务用车购置支出。</w:t>
      </w:r>
      <w:r>
        <w:rPr>
          <w:rFonts w:ascii="方正仿宋_GBK" w:hAnsi="方正仿宋_GBK" w:eastAsia="方正仿宋_GBK" w:cs="方正仿宋_GBK"/>
          <w:sz w:val="32"/>
          <w:szCs w:val="32"/>
          <w:shd w:val="clear" w:color="auto" w:fill="FFFFFF"/>
        </w:rPr>
        <w:t>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eastAsia" w:ascii="Times New Roman" w:hAnsi="Times New Roman"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方正仿宋_GBK"/>
          <w:kern w:val="0"/>
          <w:sz w:val="32"/>
          <w:szCs w:val="32"/>
          <w:shd w:val="clear" w:fill="FFFFFF"/>
          <w:lang w:val="en-US" w:eastAsia="zh-CN" w:bidi="ar"/>
        </w:rPr>
        <w:t>机要文件交换、市内因公出行、下乡督导检查、乡村振兴对接等工作所需车辆的燃料费、维修费、过桥过路费、保险费等</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支出较年初预算数减少0.11万元，下降2.20%，主要原因是</w:t>
      </w:r>
      <w:r>
        <w:rPr>
          <w:rFonts w:hint="eastAsia" w:ascii="Times New Roman" w:hAnsi="Times New Roman" w:eastAsia="方正仿宋_GBK" w:cs="方正仿宋_GBK"/>
          <w:kern w:val="0"/>
          <w:sz w:val="32"/>
          <w:szCs w:val="32"/>
          <w:shd w:val="clear" w:fill="FFFFFF"/>
          <w:lang w:val="en-US" w:eastAsia="zh-CN" w:bidi="ar"/>
        </w:rPr>
        <w:t>严格落实公车使用规定，公车运行维护成本有所下降。</w:t>
      </w:r>
      <w:r>
        <w:rPr>
          <w:rFonts w:ascii="方正仿宋_GBK" w:hAnsi="方正仿宋_GBK" w:eastAsia="方正仿宋_GBK" w:cs="方正仿宋_GBK"/>
          <w:sz w:val="32"/>
          <w:szCs w:val="32"/>
          <w:shd w:val="clear" w:color="auto" w:fill="FFFFFF"/>
        </w:rPr>
        <w:t>较上年支出数减少0.01万元，下降0.20%，主要原因是</w:t>
      </w:r>
      <w:r>
        <w:rPr>
          <w:rFonts w:hint="eastAsia" w:ascii="Times New Roman" w:hAnsi="Times New Roman" w:eastAsia="方正仿宋_GBK" w:cs="方正仿宋_GBK"/>
          <w:kern w:val="0"/>
          <w:sz w:val="32"/>
          <w:szCs w:val="32"/>
          <w:shd w:val="clear" w:fill="FFFFFF"/>
          <w:lang w:val="en-US" w:eastAsia="zh-CN" w:bidi="ar"/>
        </w:rPr>
        <w:t>严格落实公车使用规定，公车运行维护成本有所下降。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方正仿宋_GBK"/>
          <w:kern w:val="0"/>
          <w:sz w:val="32"/>
          <w:szCs w:val="32"/>
          <w:shd w:val="clear" w:fill="FFFFFF"/>
          <w:lang w:val="en-US" w:eastAsia="zh-CN" w:bidi="ar"/>
        </w:rPr>
        <w:t>接待上级部门到我单位检查指导工作以及各区县党委政法委来万调研工作等发生的支出。</w:t>
      </w:r>
      <w:r>
        <w:rPr>
          <w:rFonts w:ascii="方正仿宋_GBK" w:hAnsi="方正仿宋_GBK" w:eastAsia="方正仿宋_GBK" w:cs="方正仿宋_GBK"/>
          <w:sz w:val="32"/>
          <w:szCs w:val="32"/>
          <w:shd w:val="clear" w:color="auto" w:fill="FFFFFF"/>
        </w:rPr>
        <w:t>费用支出较年初预算数减少0.43万元，下降8.19%，主要原因是</w:t>
      </w:r>
      <w:r>
        <w:rPr>
          <w:rFonts w:hint="eastAsia" w:ascii="Times New Roman" w:hAnsi="Times New Roman" w:eastAsia="方正仿宋_GBK" w:cs="方正仿宋_GBK"/>
          <w:kern w:val="0"/>
          <w:sz w:val="32"/>
          <w:szCs w:val="32"/>
          <w:shd w:val="clear" w:fill="FFFFFF"/>
          <w:lang w:val="en-US" w:eastAsia="zh-CN" w:bidi="ar"/>
        </w:rPr>
        <w:t>强化公务接待支出管理，严格遵守公务接待开支范围和开支标准，严格控制陪餐人数，对应由接待对象承担的费用一律由接待对象自行支付。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较上年支出数增加0.41万元，增长9.30%，主要原因是</w:t>
      </w:r>
      <w:r>
        <w:rPr>
          <w:rFonts w:hint="eastAsia" w:ascii="Times New Roman" w:hAnsi="Times New Roman" w:eastAsia="方正仿宋_GBK" w:cs="方正仿宋_GBK"/>
          <w:kern w:val="0"/>
          <w:sz w:val="32"/>
          <w:szCs w:val="32"/>
          <w:shd w:val="clear" w:fill="FFFFFF"/>
          <w:lang w:val="en-US" w:eastAsia="zh-CN" w:bidi="ar"/>
        </w:rPr>
        <w:t>疫情结束全面放开后，公务接待频次增多，支出较上年略有增加。</w:t>
      </w:r>
    </w:p>
    <w:p>
      <w:pPr>
        <w:pStyle w:val="11"/>
        <w:keepNext w:val="0"/>
        <w:keepLines w:val="0"/>
        <w:pageBreakBefore w:val="0"/>
        <w:widowControl/>
        <w:kinsoku/>
        <w:wordWrap/>
        <w:overflowPunct/>
        <w:topLinePunct w:val="0"/>
        <w:autoSpaceDE w:val="0"/>
        <w:autoSpaceDN/>
        <w:bidi w:val="0"/>
        <w:adjustRightInd/>
        <w:spacing w:line="54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114.66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40" w:lineRule="exact"/>
        <w:ind w:firstLine="643" w:firstLineChars="200"/>
        <w:jc w:val="both"/>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4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18.40</w:t>
      </w:r>
      <w:r>
        <w:rPr>
          <w:rFonts w:ascii="方正仿宋_GBK" w:hAnsi="方正仿宋_GBK" w:eastAsia="方正仿宋_GBK" w:cs="方正仿宋_GBK"/>
          <w:sz w:val="32"/>
          <w:szCs w:val="32"/>
          <w:shd w:val="clear" w:color="auto" w:fill="FFFFFF"/>
        </w:rPr>
        <w:t>万元，较上年决算数增加14.25万元，增长343.37%，主要原因是</w:t>
      </w:r>
      <w:r>
        <w:rPr>
          <w:rFonts w:hint="eastAsia" w:ascii="方正仿宋_GBK" w:hAnsi="方正仿宋_GBK" w:eastAsia="方正仿宋_GBK" w:cs="方正仿宋_GBK"/>
          <w:sz w:val="32"/>
          <w:szCs w:val="32"/>
          <w:shd w:val="clear" w:color="auto" w:fill="FFFFFF"/>
          <w:lang w:eastAsia="zh-CN"/>
        </w:rPr>
        <w:t>本年度开展</w:t>
      </w:r>
      <w:r>
        <w:rPr>
          <w:rFonts w:hint="eastAsia" w:ascii="方正仿宋_GBK" w:hAnsi="方正仿宋_GBK" w:eastAsia="方正仿宋_GBK" w:cs="方正仿宋_GBK"/>
          <w:sz w:val="32"/>
          <w:szCs w:val="32"/>
          <w:shd w:val="clear" w:color="auto" w:fill="FFFFFF"/>
          <w:lang w:val="en-US" w:eastAsia="zh-CN"/>
        </w:rPr>
        <w:t>全国省级法制（治）媒体社长总编辑年会暨重庆万州行大型采访活动，会议费较上年增多</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10.71</w:t>
      </w:r>
      <w:r>
        <w:rPr>
          <w:rFonts w:ascii="方正仿宋_GBK" w:hAnsi="方正仿宋_GBK" w:eastAsia="方正仿宋_GBK" w:cs="方正仿宋_GBK"/>
          <w:sz w:val="32"/>
          <w:szCs w:val="32"/>
          <w:shd w:val="clear" w:color="auto" w:fill="FFFFFF"/>
        </w:rPr>
        <w:t>万元，较上年决算数增加4.33万元，增长67.87%，主要原因是</w:t>
      </w:r>
      <w:r>
        <w:rPr>
          <w:rFonts w:hint="eastAsia" w:ascii="方正仿宋_GBK" w:hAnsi="方正仿宋_GBK" w:eastAsia="方正仿宋_GBK" w:cs="方正仿宋_GBK"/>
          <w:sz w:val="32"/>
          <w:szCs w:val="32"/>
          <w:shd w:val="clear" w:color="auto" w:fill="FFFFFF"/>
          <w:lang w:eastAsia="zh-CN"/>
        </w:rPr>
        <w:t>疫情结束全面放开后，按要求开展培训次数及时长增多，培训支出较上年增多。</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43.20</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kern w:val="0"/>
          <w:sz w:val="32"/>
          <w:szCs w:val="32"/>
          <w:shd w:val="clear" w:fill="FFFFFF"/>
          <w:lang w:val="en-US" w:eastAsia="zh-CN" w:bidi="ar"/>
        </w:rPr>
        <w:t>办公费、印刷费、水电费、公务车运行维护费、差旅费、会议费、培训费、劳务费、委托业务费。</w:t>
      </w:r>
      <w:r>
        <w:rPr>
          <w:rFonts w:ascii="方正仿宋_GBK" w:hAnsi="方正仿宋_GBK" w:eastAsia="方正仿宋_GBK" w:cs="方正仿宋_GBK"/>
          <w:sz w:val="32"/>
          <w:szCs w:val="32"/>
          <w:shd w:val="clear" w:color="auto" w:fill="FFFFFF"/>
        </w:rPr>
        <w:t>机关运行经费较上年支出数减少75.28万元，下降63.54%，主要原</w:t>
      </w:r>
      <w:r>
        <w:rPr>
          <w:rFonts w:hint="eastAsia" w:ascii="Times New Roman" w:hAnsi="Times New Roman" w:eastAsia="方正仿宋_GBK" w:cs="方正仿宋_GBK"/>
          <w:kern w:val="0"/>
          <w:sz w:val="32"/>
          <w:szCs w:val="32"/>
          <w:shd w:val="clear" w:fill="FFFFFF"/>
          <w:lang w:val="en-US" w:eastAsia="zh-CN" w:bidi="ar"/>
        </w:rPr>
        <w:t>因是财政压减公用经费预算，本年度按照过“紧日子”要求，进一步减少开支。</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line="560" w:lineRule="exact"/>
        <w:ind w:firstLine="643"/>
        <w:jc w:val="both"/>
        <w:textAlignment w:val="auto"/>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（一）单位自评情况</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line="560" w:lineRule="exact"/>
        <w:ind w:firstLine="64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根据预算绩效管理要求，我单位组织本级对</w:t>
      </w:r>
      <w:r>
        <w:rPr>
          <w:rFonts w:hint="eastAsia" w:ascii="方正仿宋_GBK" w:eastAsia="方正仿宋_GBK" w:cs="宋体"/>
          <w:kern w:val="0"/>
          <w:sz w:val="32"/>
          <w:szCs w:val="32"/>
          <w:lang w:val="en-US" w:eastAsia="zh-CN"/>
        </w:rPr>
        <w:t>0</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重点专项</w:t>
      </w:r>
      <w:r>
        <w:rPr>
          <w:rFonts w:hint="eastAsia" w:ascii="方正仿宋_GBK" w:hAnsi="宋体" w:eastAsia="方正仿宋_GBK" w:cs="宋体"/>
          <w:kern w:val="0"/>
          <w:sz w:val="32"/>
          <w:szCs w:val="32"/>
        </w:rPr>
        <w:t>项目、</w:t>
      </w:r>
      <w:r>
        <w:rPr>
          <w:rFonts w:hint="eastAsia" w:ascii="方正仿宋_GBK" w:eastAsia="方正仿宋_GBK" w:cs="宋体"/>
          <w:kern w:val="0"/>
          <w:sz w:val="32"/>
          <w:szCs w:val="32"/>
          <w:lang w:val="en-US" w:eastAsia="zh-CN"/>
        </w:rPr>
        <w:t>2</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项目开展了绩效自评，涉及财政拨款项目支出</w:t>
      </w:r>
      <w:r>
        <w:rPr>
          <w:rFonts w:ascii="方正仿宋_GBK" w:hAnsi="方正仿宋_GBK" w:eastAsia="方正仿宋_GBK" w:cs="方正仿宋_GBK"/>
          <w:sz w:val="32"/>
          <w:szCs w:val="32"/>
        </w:rPr>
        <w:t>418.84</w:t>
      </w:r>
      <w:r>
        <w:rPr>
          <w:rFonts w:hint="eastAsia" w:ascii="方正仿宋_GBK" w:hAnsi="宋体" w:eastAsia="方正仿宋_GBK" w:cs="宋体"/>
          <w:kern w:val="0"/>
          <w:sz w:val="32"/>
          <w:szCs w:val="32"/>
        </w:rPr>
        <w:t>万元。</w:t>
      </w:r>
    </w:p>
    <w:p>
      <w:pPr>
        <w:pStyle w:val="16"/>
        <w:keepNext w:val="0"/>
        <w:keepLines w:val="0"/>
        <w:pageBreakBefore w:val="0"/>
        <w:widowControl/>
        <w:numPr>
          <w:ilvl w:val="0"/>
          <w:numId w:val="1"/>
        </w:numPr>
        <w:tabs>
          <w:tab w:val="center" w:pos="4153"/>
          <w:tab w:val="left" w:pos="7275"/>
        </w:tabs>
        <w:kinsoku/>
        <w:wordWrap/>
        <w:overflowPunct/>
        <w:topLinePunct w:val="0"/>
        <w:autoSpaceDE/>
        <w:autoSpaceDN/>
        <w:bidi w:val="0"/>
        <w:adjustRightInd/>
        <w:snapToGrid/>
        <w:spacing w:line="560" w:lineRule="exact"/>
        <w:ind w:firstLine="643"/>
        <w:jc w:val="both"/>
        <w:textAlignment w:val="auto"/>
        <w:rPr>
          <w:rFonts w:hint="eastAsia" w:ascii="方正仿宋_GBK" w:hAnsi="宋体" w:eastAsia="方正仿宋_GBK" w:cs="宋体"/>
          <w:b/>
          <w:kern w:val="0"/>
          <w:sz w:val="32"/>
          <w:szCs w:val="32"/>
          <w:lang w:eastAsia="zh-CN"/>
        </w:rPr>
      </w:pPr>
      <w:r>
        <w:rPr>
          <w:rFonts w:hint="eastAsia" w:ascii="方正仿宋_GBK" w:hAnsi="宋体" w:eastAsia="方正仿宋_GBK" w:cs="宋体"/>
          <w:b/>
          <w:kern w:val="0"/>
          <w:sz w:val="32"/>
          <w:szCs w:val="32"/>
          <w:lang w:eastAsia="zh-CN"/>
        </w:rPr>
        <w:t>绩效自评结果</w:t>
      </w:r>
    </w:p>
    <w:p>
      <w:pPr>
        <w:pStyle w:val="6"/>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color w:val="auto"/>
          <w:kern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Times New Roman"/>
          <w:color w:val="auto"/>
          <w:kern w:val="0"/>
          <w:sz w:val="32"/>
          <w:szCs w:val="32"/>
          <w:lang w:val="en-US" w:eastAsia="zh-CN"/>
        </w:rPr>
      </w:pPr>
    </w:p>
    <w:p>
      <w:pPr>
        <w:pStyle w:val="6"/>
        <w:keepNext w:val="0"/>
        <w:keepLines w:val="0"/>
        <w:pageBreakBefore w:val="0"/>
        <w:widowControl/>
        <w:numPr>
          <w:ilvl w:val="0"/>
          <w:numId w:val="0"/>
        </w:numPr>
        <w:suppressLineNumbers w:val="0"/>
        <w:kinsoku/>
        <w:wordWrap/>
        <w:overflowPunct/>
        <w:topLinePunct w:val="0"/>
        <w:autoSpaceDN/>
        <w:bidi w:val="0"/>
        <w:adjustRightInd/>
        <w:snapToGrid w:val="0"/>
        <w:spacing w:before="0" w:beforeAutospacing="0" w:after="0" w:afterAutospacing="0" w:line="600" w:lineRule="exact"/>
        <w:ind w:right="0" w:rightChars="0" w:firstLine="640" w:firstLineChars="200"/>
        <w:jc w:val="left"/>
        <w:textAlignment w:val="auto"/>
        <w:rPr>
          <w:rFonts w:hint="eastAsia" w:ascii="方正仿宋_GBK" w:hAnsi="宋体" w:eastAsia="方正仿宋_GBK" w:cs="宋体"/>
          <w:kern w:val="0"/>
          <w:sz w:val="32"/>
          <w:szCs w:val="32"/>
        </w:rPr>
      </w:pPr>
      <w:bookmarkStart w:id="0" w:name="_GoBack"/>
      <w:bookmarkEnd w:id="0"/>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一般性项目绩效自评表</w:t>
      </w:r>
    </w:p>
    <w:tbl>
      <w:tblPr>
        <w:tblStyle w:val="7"/>
        <w:tblW w:w="5000" w:type="pct"/>
        <w:tblInd w:w="0" w:type="dxa"/>
        <w:tblLayout w:type="fixed"/>
        <w:tblCellMar>
          <w:top w:w="0" w:type="dxa"/>
          <w:left w:w="108" w:type="dxa"/>
          <w:bottom w:w="0" w:type="dxa"/>
          <w:right w:w="108" w:type="dxa"/>
        </w:tblCellMar>
      </w:tblPr>
      <w:tblGrid>
        <w:gridCol w:w="421"/>
        <w:gridCol w:w="1233"/>
        <w:gridCol w:w="1819"/>
        <w:gridCol w:w="544"/>
        <w:gridCol w:w="543"/>
        <w:gridCol w:w="769"/>
        <w:gridCol w:w="656"/>
        <w:gridCol w:w="732"/>
        <w:gridCol w:w="750"/>
        <w:gridCol w:w="1216"/>
        <w:gridCol w:w="606"/>
      </w:tblGrid>
      <w:tr>
        <w:tblPrEx>
          <w:tblCellMar>
            <w:top w:w="0" w:type="dxa"/>
            <w:left w:w="108" w:type="dxa"/>
            <w:bottom w:w="0" w:type="dxa"/>
            <w:right w:w="108" w:type="dxa"/>
          </w:tblCellMar>
        </w:tblPrEx>
        <w:trPr>
          <w:trHeight w:val="780" w:hRule="atLeast"/>
        </w:trPr>
        <w:tc>
          <w:tcPr>
            <w:tcW w:w="5000" w:type="pct"/>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区委政法委</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226"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66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979"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292"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292"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41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35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394"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40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654"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326"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22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1</w:t>
            </w:r>
          </w:p>
        </w:tc>
        <w:tc>
          <w:tcPr>
            <w:tcW w:w="663"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扫黑除恶项目经费</w:t>
            </w: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年度预算执行率</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lang w:val="en-US" w:eastAsia="zh-CN"/>
              </w:rPr>
            </w:pPr>
            <w:r>
              <w:rPr>
                <w:rFonts w:hint="eastAsia" w:ascii="方正仿宋_GBK" w:hAnsi="方正仿宋_GBK" w:eastAsia="方正仿宋_GBK" w:cs="方正仿宋_GBK"/>
                <w:color w:val="000000"/>
                <w:sz w:val="18"/>
                <w:szCs w:val="18"/>
                <w:lang w:val="en-US" w:eastAsia="zh-CN"/>
              </w:rPr>
              <w:t>90.52</w:t>
            </w: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办结案件数量</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案件数</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25</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25</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p>
        </w:tc>
        <w:tc>
          <w:tcPr>
            <w:tcW w:w="3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案件办结率</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92</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20.52</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p>
        </w:tc>
        <w:tc>
          <w:tcPr>
            <w:tcW w:w="3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办案平均周期</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12</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月</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12</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司法公信力</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97.77</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群众满意度</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97.81</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2</w:t>
            </w:r>
          </w:p>
        </w:tc>
        <w:tc>
          <w:tcPr>
            <w:tcW w:w="663"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政法委培训经费</w:t>
            </w:r>
          </w:p>
        </w:tc>
        <w:tc>
          <w:tcPr>
            <w:tcW w:w="97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年度预算执行率</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1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0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6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lang w:val="en-US" w:eastAsia="zh-CN"/>
              </w:rPr>
            </w:pPr>
            <w:r>
              <w:rPr>
                <w:rFonts w:hint="eastAsia" w:ascii="方正仿宋_GBK" w:hAnsi="方正仿宋_GBK" w:eastAsia="方正仿宋_GBK" w:cs="方正仿宋_GBK"/>
                <w:color w:val="000000"/>
                <w:sz w:val="18"/>
                <w:szCs w:val="18"/>
                <w:lang w:val="en-US" w:eastAsia="zh-CN"/>
              </w:rPr>
              <w:t>93.32</w:t>
            </w: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auto" w:sz="4" w:space="0"/>
              <w:left w:val="single" w:color="auto"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培训人次</w:t>
            </w:r>
          </w:p>
        </w:tc>
        <w:tc>
          <w:tcPr>
            <w:tcW w:w="292" w:type="pct"/>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300</w:t>
            </w:r>
          </w:p>
        </w:tc>
        <w:tc>
          <w:tcPr>
            <w:tcW w:w="413" w:type="pct"/>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人数</w:t>
            </w:r>
          </w:p>
        </w:tc>
        <w:tc>
          <w:tcPr>
            <w:tcW w:w="353" w:type="pct"/>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40</w:t>
            </w:r>
          </w:p>
        </w:tc>
        <w:tc>
          <w:tcPr>
            <w:tcW w:w="394" w:type="pct"/>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295</w:t>
            </w:r>
          </w:p>
        </w:tc>
        <w:tc>
          <w:tcPr>
            <w:tcW w:w="403" w:type="pct"/>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33.32</w:t>
            </w:r>
          </w:p>
        </w:tc>
        <w:tc>
          <w:tcPr>
            <w:tcW w:w="654" w:type="pct"/>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continue"/>
            <w:tcBorders>
              <w:top w:val="single" w:color="auto" w:sz="4" w:space="0"/>
              <w:left w:val="single" w:color="000000" w:sz="4" w:space="0"/>
              <w:bottom w:val="single" w:color="000000"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培训天数</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个工作日</w:t>
            </w:r>
          </w:p>
        </w:tc>
        <w:tc>
          <w:tcPr>
            <w:tcW w:w="3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开办为期</w:t>
            </w:r>
            <w:r>
              <w:rPr>
                <w:rFonts w:hint="eastAsia" w:ascii="方正仿宋_GBK" w:hAnsi="方正仿宋_GBK" w:eastAsia="方正仿宋_GBK" w:cs="方正仿宋_GBK"/>
                <w:color w:val="000000"/>
                <w:sz w:val="18"/>
                <w:szCs w:val="18"/>
                <w:lang w:val="en-US" w:eastAsia="zh-CN"/>
              </w:rPr>
              <w:t>3天的培训班</w:t>
            </w:r>
          </w:p>
        </w:tc>
        <w:tc>
          <w:tcPr>
            <w:tcW w:w="326" w:type="pct"/>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培训人员合格率</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432" w:hRule="atLeast"/>
        </w:trPr>
        <w:tc>
          <w:tcPr>
            <w:tcW w:w="226"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663" w:type="pct"/>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979" w:type="pct"/>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培训学员满意度</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3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18"/>
                <w:szCs w:val="18"/>
                <w:lang w:eastAsia="zh-CN"/>
              </w:rPr>
            </w:pPr>
          </w:p>
        </w:tc>
        <w:tc>
          <w:tcPr>
            <w:tcW w:w="326" w:type="pct"/>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cs="宋体"/>
                <w:color w:val="000000"/>
                <w:sz w:val="22"/>
              </w:rPr>
            </w:pPr>
          </w:p>
        </w:tc>
      </w:tr>
    </w:tbl>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本</w:t>
      </w:r>
      <w:r>
        <w:rPr>
          <w:rFonts w:hint="eastAsia" w:ascii="Times New Roman" w:hAnsi="Times New Roman" w:eastAsia="方正仿宋_GBK" w:cs="Times New Roman"/>
          <w:color w:val="auto"/>
          <w:kern w:val="0"/>
          <w:sz w:val="32"/>
          <w:szCs w:val="32"/>
          <w:highlight w:val="none"/>
          <w:lang w:eastAsia="zh-CN"/>
        </w:rPr>
        <w:t>单位未组织开展</w:t>
      </w:r>
      <w:r>
        <w:rPr>
          <w:rFonts w:hint="eastAsia" w:ascii="Times New Roman" w:hAnsi="Times New Roman" w:eastAsia="方正仿宋_GBK" w:cs="Times New Roman"/>
          <w:color w:val="auto"/>
          <w:kern w:val="0"/>
          <w:sz w:val="32"/>
          <w:szCs w:val="32"/>
          <w:highlight w:val="none"/>
          <w:lang w:val="en-US" w:eastAsia="zh-CN"/>
        </w:rPr>
        <w:t>绩效评价。</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区财政局未委托第三方对我单位开展绩效评价。</w:t>
      </w:r>
    </w:p>
    <w:p>
      <w:pPr>
        <w:pStyle w:val="11"/>
        <w:keepNext w:val="0"/>
        <w:keepLines w:val="0"/>
        <w:pageBreakBefore w:val="0"/>
        <w:widowControl/>
        <w:numPr>
          <w:ilvl w:val="0"/>
          <w:numId w:val="2"/>
        </w:numPr>
        <w:kinsoku/>
        <w:wordWrap/>
        <w:overflowPunct/>
        <w:topLinePunct w:val="0"/>
        <w:autoSpaceDE w:val="0"/>
        <w:autoSpaceDN/>
        <w:bidi w:val="0"/>
        <w:adjustRightInd/>
        <w:snapToGrid/>
        <w:spacing w:line="560" w:lineRule="exact"/>
        <w:ind w:firstLine="643"/>
        <w:textAlignment w:val="auto"/>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专业名词解释</w:t>
      </w:r>
    </w:p>
    <w:p>
      <w:pPr>
        <w:pStyle w:val="11"/>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023-58155200。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p>
    <w:p>
      <w:pPr>
        <w:pStyle w:val="6"/>
        <w:snapToGrid w:val="0"/>
        <w:spacing w:before="0" w:beforeAutospacing="0" w:after="0" w:afterAutospacing="0" w:line="600" w:lineRule="exact"/>
        <w:jc w:val="both"/>
        <w:rPr>
          <w:rFonts w:hint="eastAsia" w:ascii="方正仿宋_GBK" w:hAnsi="方正仿宋_GBK" w:eastAsia="方正仿宋_GBK" w:cs="方正仿宋_GBK"/>
          <w:sz w:val="32"/>
          <w:szCs w:val="32"/>
          <w:shd w:val="clear" w:color="auto" w:fill="FFFFFF"/>
          <w:lang w:val="en-US" w:eastAsia="zh-CN"/>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p>
    <w:p>
      <w:pPr>
        <w:rPr>
          <w:rFonts w:hint="default" w:cs="宋体"/>
          <w:sz w:val="21"/>
          <w:szCs w:val="21"/>
        </w:rPr>
        <w:sectPr>
          <w:headerReference r:id="rId3" w:type="default"/>
          <w:footerReference r:id="rId4" w:type="default"/>
          <w:pgSz w:w="11907" w:h="16839"/>
          <w:pgMar w:top="1587" w:right="1417" w:bottom="1361" w:left="1417" w:header="0" w:footer="283" w:gutter="0"/>
          <w:pgNumType w:fmt="numberInDash"/>
          <w:cols w:space="0" w:num="1"/>
          <w:rtlGutter w:val="0"/>
          <w:docGrid w:type="lines" w:linePitch="328"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中国共产党重庆市万州区委员会政法委员会</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1,200.85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923.93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191.58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1,200.85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1,200.85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1,200.85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中国共产党重庆市万州区委员会政法委员会</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1,200.85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1,200.85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中国共产党重庆市万州区委员会政法委员会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1,200.85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782.01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418.84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406.44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256.44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256.44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中国共产党重庆市万州区委员会政法委员会</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923.93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923.93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中国共产党重庆市万州区委员会政法委员会</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1,200.85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782.01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923.93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517.50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406.44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517.50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109.15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109.15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中国共产党重庆市万州区委员会政法委员会</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738.81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中国共产党重庆市万州区委员会政法委员会</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中国共产党重庆市万州区委员会政法委员会</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中国共产党重庆市万州区委员会政法委员会</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9.70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4.82</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18.40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10.71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D9664"/>
    <w:multiLevelType w:val="singleLevel"/>
    <w:tmpl w:val="BFFD9664"/>
    <w:lvl w:ilvl="0" w:tentative="0">
      <w:start w:val="6"/>
      <w:numFmt w:val="chineseCounting"/>
      <w:suff w:val="nothing"/>
      <w:lvlText w:val="%1、"/>
      <w:lvlJc w:val="left"/>
      <w:rPr>
        <w:rFonts w:hint="eastAsia"/>
      </w:rPr>
    </w:lvl>
  </w:abstractNum>
  <w:abstractNum w:abstractNumId="1">
    <w:nsid w:val="F27E89B3"/>
    <w:multiLevelType w:val="singleLevel"/>
    <w:tmpl w:val="F27E89B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47082C"/>
    <w:rsid w:val="00483754"/>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8E357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09562E"/>
    <w:rsid w:val="0E3A5F83"/>
    <w:rsid w:val="0F836721"/>
    <w:rsid w:val="0FA25D96"/>
    <w:rsid w:val="107B59E5"/>
    <w:rsid w:val="10EC0126"/>
    <w:rsid w:val="10F70B9A"/>
    <w:rsid w:val="111445C7"/>
    <w:rsid w:val="114278C6"/>
    <w:rsid w:val="1158083A"/>
    <w:rsid w:val="11643A4B"/>
    <w:rsid w:val="11ED0F98"/>
    <w:rsid w:val="11F03528"/>
    <w:rsid w:val="12C921C4"/>
    <w:rsid w:val="12FD62A4"/>
    <w:rsid w:val="13871C70"/>
    <w:rsid w:val="13A71CB4"/>
    <w:rsid w:val="13AF1D43"/>
    <w:rsid w:val="13CE1647"/>
    <w:rsid w:val="13FD55AB"/>
    <w:rsid w:val="14200702"/>
    <w:rsid w:val="14913633"/>
    <w:rsid w:val="163A6CEE"/>
    <w:rsid w:val="173708E3"/>
    <w:rsid w:val="17C374FC"/>
    <w:rsid w:val="182E4AB6"/>
    <w:rsid w:val="189079DC"/>
    <w:rsid w:val="189B0D0B"/>
    <w:rsid w:val="18B43F7C"/>
    <w:rsid w:val="194A1770"/>
    <w:rsid w:val="19B906A4"/>
    <w:rsid w:val="19E1540C"/>
    <w:rsid w:val="1A862D73"/>
    <w:rsid w:val="1B6F15B6"/>
    <w:rsid w:val="1BAA2EDC"/>
    <w:rsid w:val="1CA55E64"/>
    <w:rsid w:val="1CB32B66"/>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25E52"/>
    <w:rsid w:val="3337290D"/>
    <w:rsid w:val="33E31118"/>
    <w:rsid w:val="33EF7674"/>
    <w:rsid w:val="34220DAA"/>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510C59"/>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5321B"/>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F156D2"/>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726878"/>
    <w:rsid w:val="73934AD2"/>
    <w:rsid w:val="750837F0"/>
    <w:rsid w:val="754758CF"/>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D7406BB"/>
    <w:rsid w:val="7DE94331"/>
    <w:rsid w:val="7DE99CE7"/>
    <w:rsid w:val="7F446A19"/>
    <w:rsid w:val="7F7452B9"/>
    <w:rsid w:val="DE9E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23</TotalTime>
  <ScaleCrop>false</ScaleCrop>
  <LinksUpToDate>false</LinksUpToDate>
  <CharactersWithSpaces>26759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zfwzc</cp:lastModifiedBy>
  <dcterms:modified xsi:type="dcterms:W3CDTF">2024-10-31T07:07:24Z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