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szCs w:val="32"/>
        </w:rPr>
      </w:pPr>
    </w:p>
    <w:p>
      <w:pPr>
        <w:widowControl/>
        <w:spacing w:line="600" w:lineRule="exact"/>
        <w:jc w:val="center"/>
        <w:rPr>
          <w:rFonts w:eastAsia="方正小标宋_GBK"/>
          <w:color w:val="0070C0"/>
          <w:w w:val="95"/>
          <w:sz w:val="44"/>
          <w:szCs w:val="44"/>
        </w:rPr>
      </w:pPr>
      <w:r>
        <w:rPr>
          <w:rFonts w:eastAsia="方正小标宋_GBK"/>
          <w:w w:val="95"/>
          <w:sz w:val="44"/>
          <w:szCs w:val="44"/>
        </w:rPr>
        <w:t>重庆市万州区</w:t>
      </w:r>
      <w:r>
        <w:rPr>
          <w:rFonts w:hint="eastAsia" w:eastAsia="方正小标宋_GBK"/>
          <w:w w:val="95"/>
          <w:sz w:val="44"/>
          <w:szCs w:val="44"/>
        </w:rPr>
        <w:t>地质灾害</w:t>
      </w:r>
      <w:r>
        <w:rPr>
          <w:rFonts w:eastAsia="方正小标宋_GBK"/>
          <w:w w:val="95"/>
          <w:sz w:val="44"/>
          <w:szCs w:val="44"/>
        </w:rPr>
        <w:t>应急预案（暂行）</w:t>
      </w:r>
    </w:p>
    <w:p>
      <w:pPr>
        <w:adjustRightInd w:val="0"/>
        <w:snapToGrid w:val="0"/>
        <w:spacing w:line="360" w:lineRule="auto"/>
        <w:jc w:val="center"/>
        <w:rPr>
          <w:rFonts w:eastAsia="方正小标宋_GBK"/>
          <w:w w:val="95"/>
          <w:sz w:val="44"/>
          <w:szCs w:val="44"/>
        </w:rPr>
      </w:pPr>
    </w:p>
    <w:p>
      <w:pPr>
        <w:adjustRightInd w:val="0"/>
        <w:snapToGrid w:val="0"/>
        <w:spacing w:line="360" w:lineRule="auto"/>
        <w:jc w:val="center"/>
        <w:rPr>
          <w:rFonts w:eastAsia="方正小标宋_GBK"/>
          <w:w w:val="95"/>
          <w:sz w:val="44"/>
          <w:szCs w:val="44"/>
        </w:rPr>
      </w:pPr>
    </w:p>
    <w:p>
      <w:pPr>
        <w:adjustRightInd w:val="0"/>
        <w:snapToGrid w:val="0"/>
        <w:spacing w:line="360" w:lineRule="auto"/>
        <w:rPr>
          <w:rFonts w:eastAsia="仿宋"/>
          <w:sz w:val="32"/>
          <w:szCs w:val="32"/>
        </w:rPr>
      </w:pPr>
    </w:p>
    <w:p/>
    <w:p/>
    <w:p/>
    <w:p/>
    <w:p/>
    <w:p>
      <w:pPr>
        <w:pStyle w:val="2"/>
        <w:rPr>
          <w:rFonts w:hint="default" w:ascii="Times New Roman"/>
        </w:rPr>
      </w:pPr>
    </w:p>
    <w:p>
      <w:pPr>
        <w:pStyle w:val="2"/>
        <w:rPr>
          <w:rFonts w:hint="default" w:ascii="Times New Roman"/>
        </w:rPr>
      </w:pPr>
    </w:p>
    <w:p>
      <w:pPr>
        <w:jc w:val="center"/>
        <w:rPr>
          <w:rFonts w:eastAsia="仿宋_GB2312"/>
          <w:sz w:val="32"/>
          <w:szCs w:val="32"/>
        </w:rPr>
      </w:pPr>
      <w:r>
        <w:rPr>
          <w:rFonts w:eastAsia="仿宋_GB2312"/>
          <w:sz w:val="32"/>
          <w:szCs w:val="32"/>
        </w:rPr>
        <w:t xml:space="preserve">重庆市万州区人民政府办公室 </w:t>
      </w:r>
      <w:r>
        <w:rPr>
          <w:rFonts w:hint="eastAsia" w:eastAsia="仿宋_GB2312"/>
          <w:sz w:val="32"/>
          <w:szCs w:val="32"/>
        </w:rPr>
        <w:t>印发</w:t>
      </w:r>
    </w:p>
    <w:p>
      <w:pPr>
        <w:pStyle w:val="2"/>
        <w:rPr>
          <w:rFonts w:hint="default" w:ascii="方正仿宋_GBK" w:hAnsi="方正仿宋_GBK" w:eastAsia="方正仿宋_GBK" w:cs="方正仿宋_GBK"/>
        </w:rPr>
      </w:pPr>
      <w:r>
        <w:rPr>
          <w:rFonts w:ascii="方正仿宋_GBK" w:hAnsi="方正仿宋_GBK" w:eastAsia="方正仿宋_GBK" w:cs="方正仿宋_GBK"/>
          <w:sz w:val="32"/>
          <w:szCs w:val="32"/>
        </w:rPr>
        <w:t>重庆市万州区应急管理局 编制</w:t>
      </w:r>
    </w:p>
    <w:p>
      <w:pPr>
        <w:jc w:val="center"/>
        <w:rPr>
          <w:rFonts w:eastAsia="仿宋_GB2312"/>
          <w:sz w:val="32"/>
          <w:szCs w:val="32"/>
        </w:rPr>
        <w:sectPr>
          <w:headerReference r:id="rId3" w:type="default"/>
          <w:footerReference r:id="rId5" w:type="default"/>
          <w:headerReference r:id="rId4" w:type="even"/>
          <w:footerReference r:id="rId6" w:type="even"/>
          <w:pgSz w:w="11906" w:h="16838"/>
          <w:pgMar w:top="1985" w:right="1531" w:bottom="1985" w:left="1531" w:header="851" w:footer="1474" w:gutter="0"/>
          <w:pgNumType w:start="1"/>
          <w:cols w:space="720" w:num="1"/>
          <w:docGrid w:type="linesAndChars" w:linePitch="579" w:charSpace="0"/>
        </w:sectPr>
      </w:pPr>
      <w:r>
        <w:rPr>
          <w:rFonts w:eastAsia="仿宋_GB2312"/>
          <w:sz w:val="32"/>
          <w:szCs w:val="32"/>
        </w:rPr>
        <w:t>2021年</w:t>
      </w:r>
      <w:r>
        <w:rPr>
          <w:rFonts w:hint="eastAsia" w:eastAsia="仿宋_GB2312"/>
          <w:sz w:val="32"/>
          <w:szCs w:val="32"/>
        </w:rPr>
        <w:t>5</w:t>
      </w:r>
      <w:r>
        <w:rPr>
          <w:rFonts w:eastAsia="仿宋_GB2312"/>
          <w:sz w:val="32"/>
          <w:szCs w:val="32"/>
        </w:rPr>
        <w:t>月</w:t>
      </w:r>
    </w:p>
    <w:p>
      <w:pPr>
        <w:jc w:val="center"/>
        <w:rPr>
          <w:rFonts w:eastAsia="方正楷体_GBK"/>
          <w:sz w:val="44"/>
          <w:szCs w:val="44"/>
        </w:rPr>
      </w:pPr>
      <w:r>
        <w:rPr>
          <w:rFonts w:eastAsia="方正楷体_GBK"/>
          <w:sz w:val="44"/>
          <w:szCs w:val="44"/>
        </w:rPr>
        <w:t>目  录</w:t>
      </w:r>
    </w:p>
    <w:p>
      <w:pPr>
        <w:pStyle w:val="11"/>
        <w:tabs>
          <w:tab w:val="right" w:leader="dot" w:pos="8844"/>
        </w:tabs>
      </w:pPr>
      <w:r>
        <w:rPr>
          <w:rFonts w:eastAsia="方正楷体_GBK"/>
          <w:sz w:val="32"/>
          <w:szCs w:val="32"/>
        </w:rPr>
        <w:fldChar w:fldCharType="begin"/>
      </w:r>
      <w:r>
        <w:rPr>
          <w:rFonts w:eastAsia="方正楷体_GBK"/>
          <w:sz w:val="32"/>
          <w:szCs w:val="32"/>
        </w:rPr>
        <w:instrText xml:space="preserve"> TOC \o "1-2" \h \z \u </w:instrText>
      </w:r>
      <w:r>
        <w:rPr>
          <w:rFonts w:eastAsia="方正楷体_GBK"/>
          <w:sz w:val="32"/>
          <w:szCs w:val="32"/>
        </w:rPr>
        <w:fldChar w:fldCharType="separate"/>
      </w:r>
      <w:r>
        <w:fldChar w:fldCharType="begin"/>
      </w:r>
      <w:r>
        <w:instrText xml:space="preserve"> HYPERLINK \l "_Toc24722" </w:instrText>
      </w:r>
      <w:r>
        <w:fldChar w:fldCharType="separate"/>
      </w:r>
      <w:r>
        <w:rPr>
          <w:rFonts w:eastAsia="方正黑体_GBK"/>
        </w:rPr>
        <w:t>1 总则</w:t>
      </w:r>
      <w:r>
        <w:tab/>
      </w:r>
      <w:r>
        <w:fldChar w:fldCharType="begin"/>
      </w:r>
      <w:r>
        <w:instrText xml:space="preserve"> PAGEREF _Toc24722 </w:instrText>
      </w:r>
      <w:r>
        <w:fldChar w:fldCharType="separate"/>
      </w:r>
      <w:r>
        <w:t>1</w:t>
      </w:r>
      <w:r>
        <w:fldChar w:fldCharType="end"/>
      </w:r>
      <w:r>
        <w:fldChar w:fldCharType="end"/>
      </w:r>
    </w:p>
    <w:p>
      <w:pPr>
        <w:pStyle w:val="12"/>
        <w:tabs>
          <w:tab w:val="right" w:leader="dot" w:pos="8844"/>
        </w:tabs>
      </w:pPr>
      <w:r>
        <w:fldChar w:fldCharType="begin"/>
      </w:r>
      <w:r>
        <w:instrText xml:space="preserve"> HYPERLINK \l "_Toc20194" </w:instrText>
      </w:r>
      <w:r>
        <w:fldChar w:fldCharType="separate"/>
      </w:r>
      <w:r>
        <w:rPr>
          <w:rFonts w:eastAsia="方正楷体_GBK"/>
          <w:kern w:val="0"/>
          <w:lang w:val="zh-CN"/>
        </w:rPr>
        <w:t>1.1编制目的</w:t>
      </w:r>
      <w:r>
        <w:tab/>
      </w:r>
      <w:r>
        <w:fldChar w:fldCharType="begin"/>
      </w:r>
      <w:r>
        <w:instrText xml:space="preserve"> PAGEREF _Toc20194 </w:instrText>
      </w:r>
      <w:r>
        <w:fldChar w:fldCharType="separate"/>
      </w:r>
      <w:r>
        <w:t>1</w:t>
      </w:r>
      <w:r>
        <w:fldChar w:fldCharType="end"/>
      </w:r>
      <w:r>
        <w:fldChar w:fldCharType="end"/>
      </w:r>
    </w:p>
    <w:p>
      <w:pPr>
        <w:pStyle w:val="12"/>
        <w:tabs>
          <w:tab w:val="right" w:leader="dot" w:pos="8844"/>
        </w:tabs>
      </w:pPr>
      <w:r>
        <w:fldChar w:fldCharType="begin"/>
      </w:r>
      <w:r>
        <w:instrText xml:space="preserve"> HYPERLINK \l "_Toc3051" </w:instrText>
      </w:r>
      <w:r>
        <w:fldChar w:fldCharType="separate"/>
      </w:r>
      <w:r>
        <w:rPr>
          <w:rFonts w:eastAsia="方正楷体_GBK"/>
          <w:kern w:val="0"/>
          <w:lang w:val="zh-CN"/>
        </w:rPr>
        <w:t>1.2编制依据</w:t>
      </w:r>
      <w:r>
        <w:tab/>
      </w:r>
      <w:r>
        <w:fldChar w:fldCharType="begin"/>
      </w:r>
      <w:r>
        <w:instrText xml:space="preserve"> PAGEREF _Toc3051 </w:instrText>
      </w:r>
      <w:r>
        <w:fldChar w:fldCharType="separate"/>
      </w:r>
      <w:r>
        <w:t>1</w:t>
      </w:r>
      <w:r>
        <w:fldChar w:fldCharType="end"/>
      </w:r>
      <w:r>
        <w:fldChar w:fldCharType="end"/>
      </w:r>
    </w:p>
    <w:p>
      <w:pPr>
        <w:pStyle w:val="12"/>
        <w:tabs>
          <w:tab w:val="right" w:leader="dot" w:pos="8844"/>
        </w:tabs>
      </w:pPr>
      <w:r>
        <w:fldChar w:fldCharType="begin"/>
      </w:r>
      <w:r>
        <w:instrText xml:space="preserve"> HYPERLINK \l "_Toc14800" </w:instrText>
      </w:r>
      <w:r>
        <w:fldChar w:fldCharType="separate"/>
      </w:r>
      <w:r>
        <w:rPr>
          <w:rFonts w:eastAsia="方正楷体_GBK"/>
          <w:kern w:val="0"/>
          <w:lang w:val="zh-CN"/>
        </w:rPr>
        <w:t>1.3工作原则</w:t>
      </w:r>
      <w:r>
        <w:tab/>
      </w:r>
      <w:r>
        <w:fldChar w:fldCharType="begin"/>
      </w:r>
      <w:r>
        <w:instrText xml:space="preserve"> PAGEREF _Toc14800 </w:instrText>
      </w:r>
      <w:r>
        <w:fldChar w:fldCharType="separate"/>
      </w:r>
      <w:r>
        <w:t>1</w:t>
      </w:r>
      <w:r>
        <w:fldChar w:fldCharType="end"/>
      </w:r>
      <w:r>
        <w:fldChar w:fldCharType="end"/>
      </w:r>
    </w:p>
    <w:p>
      <w:pPr>
        <w:pStyle w:val="12"/>
        <w:tabs>
          <w:tab w:val="right" w:leader="dot" w:pos="8844"/>
        </w:tabs>
      </w:pPr>
      <w:r>
        <w:fldChar w:fldCharType="begin"/>
      </w:r>
      <w:r>
        <w:instrText xml:space="preserve"> HYPERLINK \l "_Toc19025" </w:instrText>
      </w:r>
      <w:r>
        <w:fldChar w:fldCharType="separate"/>
      </w:r>
      <w:r>
        <w:rPr>
          <w:rFonts w:eastAsia="方正楷体_GBK"/>
          <w:kern w:val="0"/>
          <w:lang w:val="zh-CN"/>
        </w:rPr>
        <w:t>1.4 适用范围</w:t>
      </w:r>
      <w:r>
        <w:tab/>
      </w:r>
      <w:r>
        <w:fldChar w:fldCharType="begin"/>
      </w:r>
      <w:r>
        <w:instrText xml:space="preserve"> PAGEREF _Toc19025 </w:instrText>
      </w:r>
      <w:r>
        <w:fldChar w:fldCharType="separate"/>
      </w:r>
      <w:r>
        <w:t>2</w:t>
      </w:r>
      <w:r>
        <w:fldChar w:fldCharType="end"/>
      </w:r>
      <w:r>
        <w:fldChar w:fldCharType="end"/>
      </w:r>
    </w:p>
    <w:p>
      <w:pPr>
        <w:pStyle w:val="12"/>
        <w:tabs>
          <w:tab w:val="right" w:leader="dot" w:pos="8844"/>
        </w:tabs>
      </w:pPr>
      <w:r>
        <w:fldChar w:fldCharType="begin"/>
      </w:r>
      <w:r>
        <w:instrText xml:space="preserve"> HYPERLINK \l "_Toc11956" </w:instrText>
      </w:r>
      <w:r>
        <w:fldChar w:fldCharType="separate"/>
      </w:r>
      <w:r>
        <w:rPr>
          <w:rFonts w:eastAsia="方正楷体_GBK"/>
          <w:kern w:val="0"/>
          <w:lang w:val="zh-CN"/>
        </w:rPr>
        <w:t>1.5应急预案的启动与终止</w:t>
      </w:r>
      <w:r>
        <w:tab/>
      </w:r>
      <w:r>
        <w:fldChar w:fldCharType="begin"/>
      </w:r>
      <w:r>
        <w:instrText xml:space="preserve"> PAGEREF _Toc11956 </w:instrText>
      </w:r>
      <w:r>
        <w:fldChar w:fldCharType="separate"/>
      </w:r>
      <w:r>
        <w:t>2</w:t>
      </w:r>
      <w:r>
        <w:fldChar w:fldCharType="end"/>
      </w:r>
      <w:r>
        <w:fldChar w:fldCharType="end"/>
      </w:r>
    </w:p>
    <w:p>
      <w:pPr>
        <w:pStyle w:val="11"/>
        <w:tabs>
          <w:tab w:val="right" w:leader="dot" w:pos="8844"/>
        </w:tabs>
      </w:pPr>
      <w:r>
        <w:fldChar w:fldCharType="begin"/>
      </w:r>
      <w:r>
        <w:instrText xml:space="preserve"> HYPERLINK \l "_Toc21131" </w:instrText>
      </w:r>
      <w:r>
        <w:fldChar w:fldCharType="separate"/>
      </w:r>
      <w:r>
        <w:rPr>
          <w:rFonts w:eastAsia="方正黑体_GBK"/>
        </w:rPr>
        <w:t>2 组织机构及职责</w:t>
      </w:r>
      <w:r>
        <w:tab/>
      </w:r>
      <w:r>
        <w:fldChar w:fldCharType="begin"/>
      </w:r>
      <w:r>
        <w:instrText xml:space="preserve"> PAGEREF _Toc21131 </w:instrText>
      </w:r>
      <w:r>
        <w:fldChar w:fldCharType="separate"/>
      </w:r>
      <w:r>
        <w:t>2</w:t>
      </w:r>
      <w:r>
        <w:fldChar w:fldCharType="end"/>
      </w:r>
      <w:r>
        <w:fldChar w:fldCharType="end"/>
      </w:r>
    </w:p>
    <w:p>
      <w:pPr>
        <w:pStyle w:val="12"/>
        <w:tabs>
          <w:tab w:val="right" w:leader="dot" w:pos="8844"/>
        </w:tabs>
      </w:pPr>
      <w:r>
        <w:fldChar w:fldCharType="begin"/>
      </w:r>
      <w:r>
        <w:instrText xml:space="preserve"> HYPERLINK \l "_Toc31731" </w:instrText>
      </w:r>
      <w:r>
        <w:fldChar w:fldCharType="separate"/>
      </w:r>
      <w:r>
        <w:rPr>
          <w:rFonts w:eastAsia="方正楷体_GBK"/>
          <w:kern w:val="0"/>
          <w:lang w:val="zh-CN"/>
        </w:rPr>
        <w:t>2.1区级指挥机构及职责</w:t>
      </w:r>
      <w:r>
        <w:tab/>
      </w:r>
      <w:r>
        <w:fldChar w:fldCharType="begin"/>
      </w:r>
      <w:r>
        <w:instrText xml:space="preserve"> PAGEREF _Toc31731 </w:instrText>
      </w:r>
      <w:r>
        <w:fldChar w:fldCharType="separate"/>
      </w:r>
      <w:r>
        <w:t>2</w:t>
      </w:r>
      <w:r>
        <w:fldChar w:fldCharType="end"/>
      </w:r>
      <w:r>
        <w:fldChar w:fldCharType="end"/>
      </w:r>
    </w:p>
    <w:p>
      <w:pPr>
        <w:pStyle w:val="12"/>
        <w:tabs>
          <w:tab w:val="right" w:leader="dot" w:pos="8844"/>
        </w:tabs>
      </w:pPr>
      <w:r>
        <w:fldChar w:fldCharType="begin"/>
      </w:r>
      <w:r>
        <w:instrText xml:space="preserve"> HYPERLINK \l "_Toc26918" </w:instrText>
      </w:r>
      <w:r>
        <w:fldChar w:fldCharType="separate"/>
      </w:r>
      <w:r>
        <w:rPr>
          <w:rFonts w:eastAsia="方正楷体_GBK"/>
          <w:kern w:val="0"/>
          <w:lang w:val="zh-CN"/>
        </w:rPr>
        <w:t>2.2区地指办主要职责</w:t>
      </w:r>
      <w:r>
        <w:tab/>
      </w:r>
      <w:r>
        <w:fldChar w:fldCharType="begin"/>
      </w:r>
      <w:r>
        <w:instrText xml:space="preserve"> PAGEREF _Toc26918 </w:instrText>
      </w:r>
      <w:r>
        <w:fldChar w:fldCharType="separate"/>
      </w:r>
      <w:r>
        <w:t>4</w:t>
      </w:r>
      <w:r>
        <w:fldChar w:fldCharType="end"/>
      </w:r>
      <w:r>
        <w:fldChar w:fldCharType="end"/>
      </w:r>
    </w:p>
    <w:p>
      <w:pPr>
        <w:pStyle w:val="12"/>
        <w:tabs>
          <w:tab w:val="right" w:leader="dot" w:pos="8844"/>
        </w:tabs>
      </w:pPr>
      <w:r>
        <w:fldChar w:fldCharType="begin"/>
      </w:r>
      <w:r>
        <w:instrText xml:space="preserve"> HYPERLINK \l "_Toc11450" </w:instrText>
      </w:r>
      <w:r>
        <w:fldChar w:fldCharType="separate"/>
      </w:r>
      <w:r>
        <w:rPr>
          <w:rFonts w:eastAsia="方正楷体_GBK"/>
          <w:kern w:val="0"/>
          <w:lang w:val="zh-CN"/>
        </w:rPr>
        <w:t>2.3现场指挥机构及职责</w:t>
      </w:r>
      <w:r>
        <w:tab/>
      </w:r>
      <w:r>
        <w:fldChar w:fldCharType="begin"/>
      </w:r>
      <w:r>
        <w:instrText xml:space="preserve"> PAGEREF _Toc11450 </w:instrText>
      </w:r>
      <w:r>
        <w:fldChar w:fldCharType="separate"/>
      </w:r>
      <w:r>
        <w:t>4</w:t>
      </w:r>
      <w:r>
        <w:fldChar w:fldCharType="end"/>
      </w:r>
      <w:r>
        <w:fldChar w:fldCharType="end"/>
      </w:r>
    </w:p>
    <w:p>
      <w:pPr>
        <w:pStyle w:val="12"/>
        <w:tabs>
          <w:tab w:val="right" w:leader="dot" w:pos="8844"/>
        </w:tabs>
      </w:pPr>
      <w:r>
        <w:fldChar w:fldCharType="begin"/>
      </w:r>
      <w:r>
        <w:instrText xml:space="preserve"> HYPERLINK \l "_Toc10788" </w:instrText>
      </w:r>
      <w:r>
        <w:fldChar w:fldCharType="separate"/>
      </w:r>
      <w:r>
        <w:rPr>
          <w:rFonts w:eastAsia="方正楷体_GBK"/>
          <w:kern w:val="0"/>
          <w:lang w:val="zh-CN"/>
        </w:rPr>
        <w:t>2.4镇乡（街道）指挥机构</w:t>
      </w:r>
      <w:r>
        <w:tab/>
      </w:r>
      <w:r>
        <w:fldChar w:fldCharType="begin"/>
      </w:r>
      <w:r>
        <w:instrText xml:space="preserve"> PAGEREF _Toc10788 </w:instrText>
      </w:r>
      <w:r>
        <w:fldChar w:fldCharType="separate"/>
      </w:r>
      <w:r>
        <w:t>4</w:t>
      </w:r>
      <w:r>
        <w:fldChar w:fldCharType="end"/>
      </w:r>
      <w:r>
        <w:fldChar w:fldCharType="end"/>
      </w:r>
    </w:p>
    <w:p>
      <w:pPr>
        <w:pStyle w:val="11"/>
        <w:tabs>
          <w:tab w:val="right" w:leader="dot" w:pos="8844"/>
        </w:tabs>
      </w:pPr>
      <w:r>
        <w:fldChar w:fldCharType="begin"/>
      </w:r>
      <w:r>
        <w:instrText xml:space="preserve"> HYPERLINK \l "_Toc23658" </w:instrText>
      </w:r>
      <w:r>
        <w:fldChar w:fldCharType="separate"/>
      </w:r>
      <w:r>
        <w:rPr>
          <w:rFonts w:eastAsia="方正黑体_GBK"/>
        </w:rPr>
        <w:t>3 预防、监测、预警</w:t>
      </w:r>
      <w:r>
        <w:tab/>
      </w:r>
      <w:r>
        <w:fldChar w:fldCharType="begin"/>
      </w:r>
      <w:r>
        <w:instrText xml:space="preserve"> PAGEREF _Toc23658 </w:instrText>
      </w:r>
      <w:r>
        <w:fldChar w:fldCharType="separate"/>
      </w:r>
      <w:r>
        <w:t>5</w:t>
      </w:r>
      <w:r>
        <w:fldChar w:fldCharType="end"/>
      </w:r>
      <w:r>
        <w:fldChar w:fldCharType="end"/>
      </w:r>
    </w:p>
    <w:p>
      <w:pPr>
        <w:pStyle w:val="12"/>
        <w:tabs>
          <w:tab w:val="right" w:leader="dot" w:pos="8844"/>
        </w:tabs>
      </w:pPr>
      <w:r>
        <w:fldChar w:fldCharType="begin"/>
      </w:r>
      <w:r>
        <w:instrText xml:space="preserve"> HYPERLINK \l "_Toc32058" </w:instrText>
      </w:r>
      <w:r>
        <w:fldChar w:fldCharType="separate"/>
      </w:r>
      <w:r>
        <w:rPr>
          <w:rFonts w:eastAsia="方正楷体_GBK"/>
          <w:kern w:val="0"/>
          <w:lang w:val="zh-CN"/>
        </w:rPr>
        <w:t>3.1预防</w:t>
      </w:r>
      <w:r>
        <w:tab/>
      </w:r>
      <w:r>
        <w:fldChar w:fldCharType="begin"/>
      </w:r>
      <w:r>
        <w:instrText xml:space="preserve"> PAGEREF _Toc32058 </w:instrText>
      </w:r>
      <w:r>
        <w:fldChar w:fldCharType="separate"/>
      </w:r>
      <w:r>
        <w:t>5</w:t>
      </w:r>
      <w:r>
        <w:fldChar w:fldCharType="end"/>
      </w:r>
      <w:r>
        <w:fldChar w:fldCharType="end"/>
      </w:r>
    </w:p>
    <w:p>
      <w:pPr>
        <w:pStyle w:val="12"/>
        <w:tabs>
          <w:tab w:val="right" w:leader="dot" w:pos="8844"/>
        </w:tabs>
      </w:pPr>
      <w:r>
        <w:fldChar w:fldCharType="begin"/>
      </w:r>
      <w:r>
        <w:instrText xml:space="preserve"> HYPERLINK \l "_Toc3662" </w:instrText>
      </w:r>
      <w:r>
        <w:fldChar w:fldCharType="separate"/>
      </w:r>
      <w:r>
        <w:rPr>
          <w:rFonts w:eastAsia="方正楷体_GBK"/>
        </w:rPr>
        <w:t>3.2预警预报</w:t>
      </w:r>
      <w:r>
        <w:tab/>
      </w:r>
      <w:r>
        <w:fldChar w:fldCharType="begin"/>
      </w:r>
      <w:r>
        <w:instrText xml:space="preserve"> PAGEREF _Toc3662 </w:instrText>
      </w:r>
      <w:r>
        <w:fldChar w:fldCharType="separate"/>
      </w:r>
      <w:r>
        <w:t>6</w:t>
      </w:r>
      <w:r>
        <w:fldChar w:fldCharType="end"/>
      </w:r>
      <w:r>
        <w:fldChar w:fldCharType="end"/>
      </w:r>
    </w:p>
    <w:p>
      <w:pPr>
        <w:pStyle w:val="11"/>
        <w:tabs>
          <w:tab w:val="right" w:leader="dot" w:pos="8844"/>
        </w:tabs>
      </w:pPr>
      <w:r>
        <w:fldChar w:fldCharType="begin"/>
      </w:r>
      <w:r>
        <w:instrText xml:space="preserve"> HYPERLINK \l "_Toc28983" </w:instrText>
      </w:r>
      <w:r>
        <w:fldChar w:fldCharType="separate"/>
      </w:r>
      <w:r>
        <w:rPr>
          <w:rFonts w:eastAsia="方正黑体_GBK"/>
        </w:rPr>
        <w:t>4灾（险）情报告</w:t>
      </w:r>
      <w:r>
        <w:tab/>
      </w:r>
      <w:r>
        <w:fldChar w:fldCharType="begin"/>
      </w:r>
      <w:r>
        <w:instrText xml:space="preserve"> PAGEREF _Toc28983 </w:instrText>
      </w:r>
      <w:r>
        <w:fldChar w:fldCharType="separate"/>
      </w:r>
      <w:r>
        <w:t>6</w:t>
      </w:r>
      <w:r>
        <w:fldChar w:fldCharType="end"/>
      </w:r>
      <w:r>
        <w:fldChar w:fldCharType="end"/>
      </w:r>
    </w:p>
    <w:p>
      <w:pPr>
        <w:pStyle w:val="12"/>
        <w:tabs>
          <w:tab w:val="right" w:leader="dot" w:pos="8844"/>
        </w:tabs>
      </w:pPr>
      <w:r>
        <w:fldChar w:fldCharType="begin"/>
      </w:r>
      <w:r>
        <w:instrText xml:space="preserve"> HYPERLINK \l "_Toc29700" </w:instrText>
      </w:r>
      <w:r>
        <w:fldChar w:fldCharType="separate"/>
      </w:r>
      <w:r>
        <w:rPr>
          <w:rFonts w:eastAsia="方正楷体_GBK"/>
          <w:kern w:val="0"/>
          <w:lang w:val="zh-CN"/>
        </w:rPr>
        <w:t>4.1报警</w:t>
      </w:r>
      <w:r>
        <w:tab/>
      </w:r>
      <w:r>
        <w:fldChar w:fldCharType="begin"/>
      </w:r>
      <w:r>
        <w:instrText xml:space="preserve"> PAGEREF _Toc29700 </w:instrText>
      </w:r>
      <w:r>
        <w:fldChar w:fldCharType="separate"/>
      </w:r>
      <w:r>
        <w:t>6</w:t>
      </w:r>
      <w:r>
        <w:fldChar w:fldCharType="end"/>
      </w:r>
      <w:r>
        <w:fldChar w:fldCharType="end"/>
      </w:r>
    </w:p>
    <w:p>
      <w:pPr>
        <w:pStyle w:val="12"/>
        <w:tabs>
          <w:tab w:val="right" w:leader="dot" w:pos="8844"/>
        </w:tabs>
      </w:pPr>
      <w:r>
        <w:fldChar w:fldCharType="begin"/>
      </w:r>
      <w:r>
        <w:instrText xml:space="preserve"> HYPERLINK \l "_Toc24372" </w:instrText>
      </w:r>
      <w:r>
        <w:fldChar w:fldCharType="separate"/>
      </w:r>
      <w:r>
        <w:rPr>
          <w:rFonts w:eastAsia="方正楷体_GBK"/>
          <w:kern w:val="0"/>
          <w:lang w:val="zh-CN"/>
        </w:rPr>
        <w:t>4.2信息报告</w:t>
      </w:r>
      <w:r>
        <w:tab/>
      </w:r>
      <w:r>
        <w:fldChar w:fldCharType="begin"/>
      </w:r>
      <w:r>
        <w:instrText xml:space="preserve"> PAGEREF _Toc24372 </w:instrText>
      </w:r>
      <w:r>
        <w:fldChar w:fldCharType="separate"/>
      </w:r>
      <w:r>
        <w:t>7</w:t>
      </w:r>
      <w:r>
        <w:fldChar w:fldCharType="end"/>
      </w:r>
      <w:r>
        <w:fldChar w:fldCharType="end"/>
      </w:r>
    </w:p>
    <w:p>
      <w:pPr>
        <w:pStyle w:val="12"/>
        <w:tabs>
          <w:tab w:val="right" w:leader="dot" w:pos="8844"/>
        </w:tabs>
      </w:pPr>
      <w:r>
        <w:fldChar w:fldCharType="begin"/>
      </w:r>
      <w:r>
        <w:instrText xml:space="preserve"> HYPERLINK \l "_Toc8266" </w:instrText>
      </w:r>
      <w:r>
        <w:fldChar w:fldCharType="separate"/>
      </w:r>
      <w:r>
        <w:rPr>
          <w:rFonts w:eastAsia="方正楷体_GBK"/>
        </w:rPr>
        <w:t>4.3灾（险）情分级</w:t>
      </w:r>
      <w:r>
        <w:tab/>
      </w:r>
      <w:r>
        <w:fldChar w:fldCharType="begin"/>
      </w:r>
      <w:r>
        <w:instrText xml:space="preserve"> PAGEREF _Toc8266 </w:instrText>
      </w:r>
      <w:r>
        <w:fldChar w:fldCharType="separate"/>
      </w:r>
      <w:r>
        <w:t>7</w:t>
      </w:r>
      <w:r>
        <w:fldChar w:fldCharType="end"/>
      </w:r>
      <w:r>
        <w:fldChar w:fldCharType="end"/>
      </w:r>
    </w:p>
    <w:p>
      <w:pPr>
        <w:pStyle w:val="12"/>
        <w:tabs>
          <w:tab w:val="right" w:leader="dot" w:pos="8844"/>
        </w:tabs>
      </w:pPr>
      <w:r>
        <w:fldChar w:fldCharType="begin"/>
      </w:r>
      <w:r>
        <w:instrText xml:space="preserve"> HYPERLINK \l "_Toc31943" </w:instrText>
      </w:r>
      <w:r>
        <w:fldChar w:fldCharType="separate"/>
      </w:r>
      <w:r>
        <w:rPr>
          <w:rFonts w:eastAsia="方正楷体_GBK"/>
        </w:rPr>
        <w:t>4.4灾（险）情响应分级</w:t>
      </w:r>
      <w:r>
        <w:tab/>
      </w:r>
      <w:r>
        <w:fldChar w:fldCharType="begin"/>
      </w:r>
      <w:r>
        <w:instrText xml:space="preserve"> PAGEREF _Toc31943 </w:instrText>
      </w:r>
      <w:r>
        <w:fldChar w:fldCharType="separate"/>
      </w:r>
      <w:r>
        <w:t>7</w:t>
      </w:r>
      <w:r>
        <w:fldChar w:fldCharType="end"/>
      </w:r>
      <w:r>
        <w:fldChar w:fldCharType="end"/>
      </w:r>
    </w:p>
    <w:p>
      <w:pPr>
        <w:pStyle w:val="11"/>
        <w:tabs>
          <w:tab w:val="right" w:leader="dot" w:pos="8844"/>
        </w:tabs>
      </w:pPr>
      <w:r>
        <w:fldChar w:fldCharType="begin"/>
      </w:r>
      <w:r>
        <w:instrText xml:space="preserve"> HYPERLINK \l "_Toc20743" </w:instrText>
      </w:r>
      <w:r>
        <w:fldChar w:fldCharType="separate"/>
      </w:r>
      <w:r>
        <w:rPr>
          <w:rFonts w:eastAsia="方正黑体_GBK"/>
        </w:rPr>
        <w:t>5灾（险）情应急响应</w:t>
      </w:r>
      <w:r>
        <w:tab/>
      </w:r>
      <w:r>
        <w:fldChar w:fldCharType="begin"/>
      </w:r>
      <w:r>
        <w:instrText xml:space="preserve"> PAGEREF _Toc20743 </w:instrText>
      </w:r>
      <w:r>
        <w:fldChar w:fldCharType="separate"/>
      </w:r>
      <w:r>
        <w:t>8</w:t>
      </w:r>
      <w:r>
        <w:fldChar w:fldCharType="end"/>
      </w:r>
      <w:r>
        <w:fldChar w:fldCharType="end"/>
      </w:r>
    </w:p>
    <w:p>
      <w:pPr>
        <w:pStyle w:val="12"/>
        <w:tabs>
          <w:tab w:val="right" w:leader="dot" w:pos="8844"/>
        </w:tabs>
      </w:pPr>
      <w:r>
        <w:fldChar w:fldCharType="begin"/>
      </w:r>
      <w:r>
        <w:instrText xml:space="preserve"> HYPERLINK \l "_Toc31823" </w:instrText>
      </w:r>
      <w:r>
        <w:fldChar w:fldCharType="separate"/>
      </w:r>
      <w:r>
        <w:rPr>
          <w:rFonts w:eastAsia="方正楷体_GBK"/>
          <w:kern w:val="0"/>
        </w:rPr>
        <w:t>5.1属地先期处置</w:t>
      </w:r>
      <w:r>
        <w:tab/>
      </w:r>
      <w:r>
        <w:fldChar w:fldCharType="begin"/>
      </w:r>
      <w:r>
        <w:instrText xml:space="preserve"> PAGEREF _Toc31823 </w:instrText>
      </w:r>
      <w:r>
        <w:fldChar w:fldCharType="separate"/>
      </w:r>
      <w:r>
        <w:t>8</w:t>
      </w:r>
      <w:r>
        <w:fldChar w:fldCharType="end"/>
      </w:r>
      <w:r>
        <w:fldChar w:fldCharType="end"/>
      </w:r>
    </w:p>
    <w:p>
      <w:pPr>
        <w:pStyle w:val="12"/>
        <w:tabs>
          <w:tab w:val="right" w:leader="dot" w:pos="8844"/>
        </w:tabs>
      </w:pPr>
      <w:r>
        <w:fldChar w:fldCharType="begin"/>
      </w:r>
      <w:r>
        <w:instrText xml:space="preserve"> HYPERLINK \l "_Toc4810" </w:instrText>
      </w:r>
      <w:r>
        <w:fldChar w:fldCharType="separate"/>
      </w:r>
      <w:r>
        <w:rPr>
          <w:rFonts w:eastAsia="方正楷体_GBK"/>
          <w:kern w:val="0"/>
          <w:lang w:val="zh-CN"/>
        </w:rPr>
        <w:t>5.</w:t>
      </w:r>
      <w:r>
        <w:rPr>
          <w:rFonts w:eastAsia="方正楷体_GBK"/>
          <w:kern w:val="0"/>
        </w:rPr>
        <w:t>2</w:t>
      </w:r>
      <w:r>
        <w:rPr>
          <w:rFonts w:eastAsia="方正楷体_GBK"/>
          <w:kern w:val="0"/>
          <w:lang w:val="zh-CN"/>
        </w:rPr>
        <w:t>行业部门和区地指应急处置</w:t>
      </w:r>
      <w:r>
        <w:tab/>
      </w:r>
      <w:r>
        <w:fldChar w:fldCharType="begin"/>
      </w:r>
      <w:r>
        <w:instrText xml:space="preserve"> PAGEREF _Toc4810 </w:instrText>
      </w:r>
      <w:r>
        <w:fldChar w:fldCharType="separate"/>
      </w:r>
      <w:r>
        <w:t>9</w:t>
      </w:r>
      <w:r>
        <w:fldChar w:fldCharType="end"/>
      </w:r>
      <w:r>
        <w:fldChar w:fldCharType="end"/>
      </w:r>
    </w:p>
    <w:p>
      <w:pPr>
        <w:pStyle w:val="12"/>
        <w:tabs>
          <w:tab w:val="right" w:leader="dot" w:pos="8844"/>
        </w:tabs>
      </w:pPr>
      <w:r>
        <w:fldChar w:fldCharType="begin"/>
      </w:r>
      <w:r>
        <w:instrText xml:space="preserve"> HYPERLINK \l "_Toc5390" </w:instrText>
      </w:r>
      <w:r>
        <w:fldChar w:fldCharType="separate"/>
      </w:r>
      <w:r>
        <w:rPr>
          <w:rFonts w:eastAsia="方正楷体_GBK"/>
          <w:kern w:val="0"/>
          <w:lang w:val="zh-CN"/>
        </w:rPr>
        <w:t>5.</w:t>
      </w:r>
      <w:r>
        <w:rPr>
          <w:rFonts w:eastAsia="方正楷体_GBK"/>
          <w:kern w:val="0"/>
        </w:rPr>
        <w:t>3</w:t>
      </w:r>
      <w:r>
        <w:rPr>
          <w:rFonts w:eastAsia="方正楷体_GBK"/>
          <w:kern w:val="0"/>
          <w:lang w:val="zh-CN"/>
        </w:rPr>
        <w:t>分级响应处置措施</w:t>
      </w:r>
      <w:r>
        <w:tab/>
      </w:r>
      <w:r>
        <w:fldChar w:fldCharType="begin"/>
      </w:r>
      <w:r>
        <w:instrText xml:space="preserve"> PAGEREF _Toc5390 </w:instrText>
      </w:r>
      <w:r>
        <w:fldChar w:fldCharType="separate"/>
      </w:r>
      <w:r>
        <w:t>9</w:t>
      </w:r>
      <w:r>
        <w:fldChar w:fldCharType="end"/>
      </w:r>
      <w:r>
        <w:fldChar w:fldCharType="end"/>
      </w:r>
    </w:p>
    <w:p>
      <w:pPr>
        <w:pStyle w:val="11"/>
        <w:tabs>
          <w:tab w:val="right" w:leader="dot" w:pos="8844"/>
        </w:tabs>
      </w:pPr>
      <w:r>
        <w:fldChar w:fldCharType="begin"/>
      </w:r>
      <w:r>
        <w:instrText xml:space="preserve"> HYPERLINK \l "_Toc20759" </w:instrText>
      </w:r>
      <w:r>
        <w:fldChar w:fldCharType="separate"/>
      </w:r>
      <w:r>
        <w:rPr>
          <w:rFonts w:eastAsia="方正黑体_GBK"/>
        </w:rPr>
        <w:t xml:space="preserve">6 </w:t>
      </w:r>
      <w:r>
        <w:rPr>
          <w:rFonts w:eastAsia="方正黑体_GBK"/>
          <w:lang w:val="zh-CN"/>
        </w:rPr>
        <w:t>应急结束</w:t>
      </w:r>
      <w:r>
        <w:tab/>
      </w:r>
      <w:r>
        <w:fldChar w:fldCharType="begin"/>
      </w:r>
      <w:r>
        <w:instrText xml:space="preserve"> PAGEREF _Toc20759 </w:instrText>
      </w:r>
      <w:r>
        <w:fldChar w:fldCharType="separate"/>
      </w:r>
      <w:r>
        <w:t>11</w:t>
      </w:r>
      <w:r>
        <w:fldChar w:fldCharType="end"/>
      </w:r>
      <w:r>
        <w:fldChar w:fldCharType="end"/>
      </w:r>
    </w:p>
    <w:p>
      <w:pPr>
        <w:pStyle w:val="11"/>
        <w:tabs>
          <w:tab w:val="right" w:leader="dot" w:pos="8844"/>
        </w:tabs>
      </w:pPr>
      <w:r>
        <w:fldChar w:fldCharType="begin"/>
      </w:r>
      <w:r>
        <w:instrText xml:space="preserve"> HYPERLINK \l "_Toc22704" </w:instrText>
      </w:r>
      <w:r>
        <w:fldChar w:fldCharType="separate"/>
      </w:r>
      <w:r>
        <w:rPr>
          <w:rFonts w:eastAsia="方正楷体_GBK"/>
        </w:rPr>
        <w:t>7</w:t>
      </w:r>
      <w:r>
        <w:rPr>
          <w:rFonts w:eastAsia="方正黑体_GBK"/>
          <w:lang w:val="zh-CN"/>
        </w:rPr>
        <w:t>后期处置和新闻通报</w:t>
      </w:r>
      <w:r>
        <w:tab/>
      </w:r>
      <w:r>
        <w:fldChar w:fldCharType="begin"/>
      </w:r>
      <w:r>
        <w:instrText xml:space="preserve"> PAGEREF _Toc22704 </w:instrText>
      </w:r>
      <w:r>
        <w:fldChar w:fldCharType="separate"/>
      </w:r>
      <w:r>
        <w:t>11</w:t>
      </w:r>
      <w:r>
        <w:fldChar w:fldCharType="end"/>
      </w:r>
      <w:r>
        <w:fldChar w:fldCharType="end"/>
      </w:r>
    </w:p>
    <w:p>
      <w:pPr>
        <w:pStyle w:val="12"/>
        <w:tabs>
          <w:tab w:val="right" w:leader="dot" w:pos="8844"/>
        </w:tabs>
      </w:pPr>
      <w:r>
        <w:fldChar w:fldCharType="begin"/>
      </w:r>
      <w:r>
        <w:instrText xml:space="preserve"> HYPERLINK \l "_Toc16948" </w:instrText>
      </w:r>
      <w:r>
        <w:fldChar w:fldCharType="separate"/>
      </w:r>
      <w:r>
        <w:rPr>
          <w:rFonts w:eastAsia="方正楷体_GBK"/>
        </w:rPr>
        <w:t>7.1善后处置</w:t>
      </w:r>
      <w:r>
        <w:tab/>
      </w:r>
      <w:r>
        <w:fldChar w:fldCharType="begin"/>
      </w:r>
      <w:r>
        <w:instrText xml:space="preserve"> PAGEREF _Toc16948 </w:instrText>
      </w:r>
      <w:r>
        <w:fldChar w:fldCharType="separate"/>
      </w:r>
      <w:r>
        <w:t>11</w:t>
      </w:r>
      <w:r>
        <w:fldChar w:fldCharType="end"/>
      </w:r>
      <w:r>
        <w:fldChar w:fldCharType="end"/>
      </w:r>
    </w:p>
    <w:p>
      <w:pPr>
        <w:pStyle w:val="12"/>
        <w:tabs>
          <w:tab w:val="right" w:leader="dot" w:pos="8844"/>
        </w:tabs>
      </w:pPr>
      <w:r>
        <w:fldChar w:fldCharType="begin"/>
      </w:r>
      <w:r>
        <w:instrText xml:space="preserve"> HYPERLINK \l "_Toc10863" </w:instrText>
      </w:r>
      <w:r>
        <w:fldChar w:fldCharType="separate"/>
      </w:r>
      <w:r>
        <w:rPr>
          <w:rFonts w:eastAsia="方正楷体_GBK"/>
        </w:rPr>
        <w:t>7.2社会救助</w:t>
      </w:r>
      <w:r>
        <w:tab/>
      </w:r>
      <w:r>
        <w:fldChar w:fldCharType="begin"/>
      </w:r>
      <w:r>
        <w:instrText xml:space="preserve"> PAGEREF _Toc10863 </w:instrText>
      </w:r>
      <w:r>
        <w:fldChar w:fldCharType="separate"/>
      </w:r>
      <w:r>
        <w:t>12</w:t>
      </w:r>
      <w:r>
        <w:fldChar w:fldCharType="end"/>
      </w:r>
      <w:r>
        <w:fldChar w:fldCharType="end"/>
      </w:r>
    </w:p>
    <w:p>
      <w:pPr>
        <w:pStyle w:val="12"/>
        <w:tabs>
          <w:tab w:val="right" w:leader="dot" w:pos="8844"/>
        </w:tabs>
      </w:pPr>
      <w:r>
        <w:fldChar w:fldCharType="begin"/>
      </w:r>
      <w:r>
        <w:instrText xml:space="preserve"> HYPERLINK \l "_Toc21082" </w:instrText>
      </w:r>
      <w:r>
        <w:fldChar w:fldCharType="separate"/>
      </w:r>
      <w:r>
        <w:rPr>
          <w:rFonts w:eastAsia="方正楷体_GBK"/>
        </w:rPr>
        <w:t>7.3保险理赔</w:t>
      </w:r>
      <w:r>
        <w:tab/>
      </w:r>
      <w:r>
        <w:fldChar w:fldCharType="begin"/>
      </w:r>
      <w:r>
        <w:instrText xml:space="preserve"> PAGEREF _Toc21082 </w:instrText>
      </w:r>
      <w:r>
        <w:fldChar w:fldCharType="separate"/>
      </w:r>
      <w:r>
        <w:t>12</w:t>
      </w:r>
      <w:r>
        <w:fldChar w:fldCharType="end"/>
      </w:r>
      <w:r>
        <w:fldChar w:fldCharType="end"/>
      </w:r>
    </w:p>
    <w:p>
      <w:pPr>
        <w:pStyle w:val="12"/>
        <w:tabs>
          <w:tab w:val="right" w:leader="dot" w:pos="8844"/>
        </w:tabs>
      </w:pPr>
      <w:r>
        <w:fldChar w:fldCharType="begin"/>
      </w:r>
      <w:r>
        <w:instrText xml:space="preserve"> HYPERLINK \l "_Toc3062" </w:instrText>
      </w:r>
      <w:r>
        <w:fldChar w:fldCharType="separate"/>
      </w:r>
      <w:r>
        <w:rPr>
          <w:rFonts w:eastAsia="方正楷体_GBK"/>
        </w:rPr>
        <w:t>7.4调查评估</w:t>
      </w:r>
      <w:r>
        <w:tab/>
      </w:r>
      <w:r>
        <w:fldChar w:fldCharType="begin"/>
      </w:r>
      <w:r>
        <w:instrText xml:space="preserve"> PAGEREF _Toc3062 </w:instrText>
      </w:r>
      <w:r>
        <w:fldChar w:fldCharType="separate"/>
      </w:r>
      <w:r>
        <w:t>12</w:t>
      </w:r>
      <w:r>
        <w:fldChar w:fldCharType="end"/>
      </w:r>
      <w:r>
        <w:fldChar w:fldCharType="end"/>
      </w:r>
    </w:p>
    <w:p>
      <w:pPr>
        <w:pStyle w:val="12"/>
        <w:tabs>
          <w:tab w:val="right" w:leader="dot" w:pos="8844"/>
        </w:tabs>
      </w:pPr>
      <w:r>
        <w:fldChar w:fldCharType="begin"/>
      </w:r>
      <w:r>
        <w:instrText xml:space="preserve"> HYPERLINK \l "_Toc4470" </w:instrText>
      </w:r>
      <w:r>
        <w:fldChar w:fldCharType="separate"/>
      </w:r>
      <w:r>
        <w:rPr>
          <w:rFonts w:eastAsia="方正楷体_GBK"/>
        </w:rPr>
        <w:t>7.5新闻通报</w:t>
      </w:r>
      <w:r>
        <w:tab/>
      </w:r>
      <w:r>
        <w:fldChar w:fldCharType="begin"/>
      </w:r>
      <w:r>
        <w:instrText xml:space="preserve"> PAGEREF _Toc4470 </w:instrText>
      </w:r>
      <w:r>
        <w:fldChar w:fldCharType="separate"/>
      </w:r>
      <w:r>
        <w:t>13</w:t>
      </w:r>
      <w:r>
        <w:fldChar w:fldCharType="end"/>
      </w:r>
      <w:r>
        <w:fldChar w:fldCharType="end"/>
      </w:r>
    </w:p>
    <w:p>
      <w:pPr>
        <w:pStyle w:val="11"/>
        <w:tabs>
          <w:tab w:val="right" w:leader="dot" w:pos="8844"/>
        </w:tabs>
      </w:pPr>
      <w:r>
        <w:fldChar w:fldCharType="begin"/>
      </w:r>
      <w:r>
        <w:instrText xml:space="preserve"> HYPERLINK \l "_Toc22188" </w:instrText>
      </w:r>
      <w:r>
        <w:fldChar w:fldCharType="separate"/>
      </w:r>
      <w:r>
        <w:rPr>
          <w:rFonts w:eastAsia="方正黑体_GBK"/>
        </w:rPr>
        <w:t>8保障措施</w:t>
      </w:r>
      <w:r>
        <w:tab/>
      </w:r>
      <w:r>
        <w:fldChar w:fldCharType="begin"/>
      </w:r>
      <w:r>
        <w:instrText xml:space="preserve"> PAGEREF _Toc22188 </w:instrText>
      </w:r>
      <w:r>
        <w:fldChar w:fldCharType="separate"/>
      </w:r>
      <w:r>
        <w:t>13</w:t>
      </w:r>
      <w:r>
        <w:fldChar w:fldCharType="end"/>
      </w:r>
      <w:r>
        <w:fldChar w:fldCharType="end"/>
      </w:r>
    </w:p>
    <w:p>
      <w:pPr>
        <w:pStyle w:val="12"/>
        <w:tabs>
          <w:tab w:val="right" w:leader="dot" w:pos="8844"/>
        </w:tabs>
      </w:pPr>
      <w:r>
        <w:fldChar w:fldCharType="begin"/>
      </w:r>
      <w:r>
        <w:instrText xml:space="preserve"> HYPERLINK \l "_Toc32730" </w:instrText>
      </w:r>
      <w:r>
        <w:fldChar w:fldCharType="separate"/>
      </w:r>
      <w:r>
        <w:rPr>
          <w:rFonts w:eastAsia="方正楷体_GBK"/>
        </w:rPr>
        <w:t>8.1</w:t>
      </w:r>
      <w:r>
        <w:rPr>
          <w:rFonts w:eastAsia="方正楷体_GBK"/>
          <w:lang w:val="zh-CN"/>
        </w:rPr>
        <w:t>信息与通信保障</w:t>
      </w:r>
      <w:r>
        <w:tab/>
      </w:r>
      <w:r>
        <w:fldChar w:fldCharType="begin"/>
      </w:r>
      <w:r>
        <w:instrText xml:space="preserve"> PAGEREF _Toc32730 </w:instrText>
      </w:r>
      <w:r>
        <w:fldChar w:fldCharType="separate"/>
      </w:r>
      <w:r>
        <w:t>13</w:t>
      </w:r>
      <w:r>
        <w:fldChar w:fldCharType="end"/>
      </w:r>
      <w:r>
        <w:fldChar w:fldCharType="end"/>
      </w:r>
    </w:p>
    <w:p>
      <w:pPr>
        <w:pStyle w:val="12"/>
        <w:tabs>
          <w:tab w:val="right" w:leader="dot" w:pos="8844"/>
        </w:tabs>
      </w:pPr>
      <w:r>
        <w:fldChar w:fldCharType="begin"/>
      </w:r>
      <w:r>
        <w:instrText xml:space="preserve"> HYPERLINK \l "_Toc27666" </w:instrText>
      </w:r>
      <w:r>
        <w:fldChar w:fldCharType="separate"/>
      </w:r>
      <w:r>
        <w:rPr>
          <w:rFonts w:eastAsia="方正楷体_GBK"/>
        </w:rPr>
        <w:t>8</w:t>
      </w:r>
      <w:r>
        <w:rPr>
          <w:rFonts w:eastAsia="方正楷体_GBK"/>
          <w:lang w:val="zh-CN"/>
        </w:rPr>
        <w:t>.2</w:t>
      </w:r>
      <w:r>
        <w:rPr>
          <w:rFonts w:eastAsia="方正楷体_GBK"/>
        </w:rPr>
        <w:t>应急救援队伍保障</w:t>
      </w:r>
      <w:r>
        <w:tab/>
      </w:r>
      <w:r>
        <w:fldChar w:fldCharType="begin"/>
      </w:r>
      <w:r>
        <w:instrText xml:space="preserve"> PAGEREF _Toc27666 </w:instrText>
      </w:r>
      <w:r>
        <w:fldChar w:fldCharType="separate"/>
      </w:r>
      <w:r>
        <w:t>13</w:t>
      </w:r>
      <w:r>
        <w:fldChar w:fldCharType="end"/>
      </w:r>
      <w:r>
        <w:fldChar w:fldCharType="end"/>
      </w:r>
    </w:p>
    <w:p>
      <w:pPr>
        <w:pStyle w:val="12"/>
        <w:tabs>
          <w:tab w:val="right" w:leader="dot" w:pos="8844"/>
        </w:tabs>
      </w:pPr>
      <w:r>
        <w:fldChar w:fldCharType="begin"/>
      </w:r>
      <w:r>
        <w:instrText xml:space="preserve"> HYPERLINK \l "_Toc14735" </w:instrText>
      </w:r>
      <w:r>
        <w:fldChar w:fldCharType="separate"/>
      </w:r>
      <w:r>
        <w:rPr>
          <w:rFonts w:eastAsia="方正楷体_GBK"/>
        </w:rPr>
        <w:t>8</w:t>
      </w:r>
      <w:r>
        <w:rPr>
          <w:rFonts w:eastAsia="方正楷体_GBK"/>
          <w:lang w:val="zh-CN"/>
        </w:rPr>
        <w:t>.3</w:t>
      </w:r>
      <w:r>
        <w:rPr>
          <w:rFonts w:eastAsia="方正楷体_GBK"/>
        </w:rPr>
        <w:t>应急救援装备和物资</w:t>
      </w:r>
      <w:r>
        <w:tab/>
      </w:r>
      <w:r>
        <w:fldChar w:fldCharType="begin"/>
      </w:r>
      <w:r>
        <w:instrText xml:space="preserve"> PAGEREF _Toc14735 </w:instrText>
      </w:r>
      <w:r>
        <w:fldChar w:fldCharType="separate"/>
      </w:r>
      <w:r>
        <w:t>14</w:t>
      </w:r>
      <w:r>
        <w:fldChar w:fldCharType="end"/>
      </w:r>
      <w:r>
        <w:fldChar w:fldCharType="end"/>
      </w:r>
    </w:p>
    <w:p>
      <w:pPr>
        <w:pStyle w:val="12"/>
        <w:tabs>
          <w:tab w:val="right" w:leader="dot" w:pos="8844"/>
        </w:tabs>
      </w:pPr>
      <w:r>
        <w:fldChar w:fldCharType="begin"/>
      </w:r>
      <w:r>
        <w:instrText xml:space="preserve"> HYPERLINK \l "_Toc32345" </w:instrText>
      </w:r>
      <w:r>
        <w:fldChar w:fldCharType="separate"/>
      </w:r>
      <w:r>
        <w:rPr>
          <w:rFonts w:eastAsia="方正楷体_GBK"/>
        </w:rPr>
        <w:t>8</w:t>
      </w:r>
      <w:r>
        <w:rPr>
          <w:rFonts w:eastAsia="方正楷体_GBK"/>
          <w:lang w:val="zh-CN"/>
        </w:rPr>
        <w:t>.4</w:t>
      </w:r>
      <w:r>
        <w:rPr>
          <w:rFonts w:eastAsia="方正楷体_GBK"/>
        </w:rPr>
        <w:t>资金保障</w:t>
      </w:r>
      <w:r>
        <w:tab/>
      </w:r>
      <w:r>
        <w:fldChar w:fldCharType="begin"/>
      </w:r>
      <w:r>
        <w:instrText xml:space="preserve"> PAGEREF _Toc32345 </w:instrText>
      </w:r>
      <w:r>
        <w:fldChar w:fldCharType="separate"/>
      </w:r>
      <w:r>
        <w:t>15</w:t>
      </w:r>
      <w:r>
        <w:fldChar w:fldCharType="end"/>
      </w:r>
      <w:r>
        <w:fldChar w:fldCharType="end"/>
      </w:r>
    </w:p>
    <w:p>
      <w:pPr>
        <w:pStyle w:val="12"/>
        <w:tabs>
          <w:tab w:val="right" w:leader="dot" w:pos="8844"/>
        </w:tabs>
      </w:pPr>
      <w:r>
        <w:fldChar w:fldCharType="begin"/>
      </w:r>
      <w:r>
        <w:instrText xml:space="preserve"> HYPERLINK \l "_Toc15659" </w:instrText>
      </w:r>
      <w:r>
        <w:fldChar w:fldCharType="separate"/>
      </w:r>
      <w:r>
        <w:rPr>
          <w:rFonts w:eastAsia="方正楷体_GBK"/>
        </w:rPr>
        <w:t>8</w:t>
      </w:r>
      <w:r>
        <w:rPr>
          <w:rFonts w:eastAsia="方正楷体_GBK"/>
          <w:lang w:val="zh-CN"/>
        </w:rPr>
        <w:t>.5</w:t>
      </w:r>
      <w:r>
        <w:rPr>
          <w:rFonts w:eastAsia="方正楷体_GBK"/>
        </w:rPr>
        <w:t>制度保障</w:t>
      </w:r>
      <w:r>
        <w:tab/>
      </w:r>
      <w:r>
        <w:fldChar w:fldCharType="begin"/>
      </w:r>
      <w:r>
        <w:instrText xml:space="preserve"> PAGEREF _Toc15659 </w:instrText>
      </w:r>
      <w:r>
        <w:fldChar w:fldCharType="separate"/>
      </w:r>
      <w:r>
        <w:t>15</w:t>
      </w:r>
      <w:r>
        <w:fldChar w:fldCharType="end"/>
      </w:r>
      <w:r>
        <w:fldChar w:fldCharType="end"/>
      </w:r>
    </w:p>
    <w:p>
      <w:pPr>
        <w:pStyle w:val="12"/>
        <w:tabs>
          <w:tab w:val="right" w:leader="dot" w:pos="8844"/>
        </w:tabs>
      </w:pPr>
      <w:r>
        <w:fldChar w:fldCharType="begin"/>
      </w:r>
      <w:r>
        <w:instrText xml:space="preserve"> HYPERLINK \l "_Toc23129" </w:instrText>
      </w:r>
      <w:r>
        <w:fldChar w:fldCharType="separate"/>
      </w:r>
      <w:r>
        <w:rPr>
          <w:rFonts w:eastAsia="方正楷体_GBK"/>
        </w:rPr>
        <w:t>8</w:t>
      </w:r>
      <w:r>
        <w:rPr>
          <w:rFonts w:eastAsia="方正楷体_GBK"/>
          <w:lang w:val="zh-CN"/>
        </w:rPr>
        <w:t>.6</w:t>
      </w:r>
      <w:r>
        <w:rPr>
          <w:rFonts w:eastAsia="方正楷体_GBK"/>
        </w:rPr>
        <w:t>责任追究</w:t>
      </w:r>
      <w:r>
        <w:tab/>
      </w:r>
      <w:r>
        <w:fldChar w:fldCharType="begin"/>
      </w:r>
      <w:r>
        <w:instrText xml:space="preserve"> PAGEREF _Toc23129 </w:instrText>
      </w:r>
      <w:r>
        <w:fldChar w:fldCharType="separate"/>
      </w:r>
      <w:r>
        <w:t>15</w:t>
      </w:r>
      <w:r>
        <w:fldChar w:fldCharType="end"/>
      </w:r>
      <w:r>
        <w:fldChar w:fldCharType="end"/>
      </w:r>
    </w:p>
    <w:p>
      <w:pPr>
        <w:pStyle w:val="11"/>
        <w:tabs>
          <w:tab w:val="right" w:leader="dot" w:pos="8844"/>
        </w:tabs>
      </w:pPr>
      <w:r>
        <w:fldChar w:fldCharType="begin"/>
      </w:r>
      <w:r>
        <w:instrText xml:space="preserve"> HYPERLINK \l "_Toc12881" </w:instrText>
      </w:r>
      <w:r>
        <w:fldChar w:fldCharType="separate"/>
      </w:r>
      <w:r>
        <w:rPr>
          <w:rFonts w:eastAsia="方正黑体_GBK"/>
        </w:rPr>
        <w:t>9宣传培训和演练</w:t>
      </w:r>
      <w:r>
        <w:tab/>
      </w:r>
      <w:r>
        <w:fldChar w:fldCharType="begin"/>
      </w:r>
      <w:r>
        <w:instrText xml:space="preserve"> PAGEREF _Toc12881 </w:instrText>
      </w:r>
      <w:r>
        <w:fldChar w:fldCharType="separate"/>
      </w:r>
      <w:r>
        <w:t>15</w:t>
      </w:r>
      <w:r>
        <w:fldChar w:fldCharType="end"/>
      </w:r>
      <w:r>
        <w:fldChar w:fldCharType="end"/>
      </w:r>
    </w:p>
    <w:p>
      <w:pPr>
        <w:pStyle w:val="12"/>
        <w:tabs>
          <w:tab w:val="right" w:leader="dot" w:pos="8844"/>
        </w:tabs>
      </w:pPr>
      <w:r>
        <w:fldChar w:fldCharType="begin"/>
      </w:r>
      <w:r>
        <w:instrText xml:space="preserve"> HYPERLINK \l "_Toc9872" </w:instrText>
      </w:r>
      <w:r>
        <w:fldChar w:fldCharType="separate"/>
      </w:r>
      <w:r>
        <w:rPr>
          <w:rFonts w:eastAsia="方正楷体_GBK"/>
        </w:rPr>
        <w:t>9.1宣传</w:t>
      </w:r>
      <w:r>
        <w:tab/>
      </w:r>
      <w:r>
        <w:fldChar w:fldCharType="begin"/>
      </w:r>
      <w:r>
        <w:instrText xml:space="preserve"> PAGEREF _Toc9872 </w:instrText>
      </w:r>
      <w:r>
        <w:fldChar w:fldCharType="separate"/>
      </w:r>
      <w:r>
        <w:t>16</w:t>
      </w:r>
      <w:r>
        <w:fldChar w:fldCharType="end"/>
      </w:r>
      <w:r>
        <w:fldChar w:fldCharType="end"/>
      </w:r>
    </w:p>
    <w:p>
      <w:pPr>
        <w:pStyle w:val="12"/>
        <w:tabs>
          <w:tab w:val="right" w:leader="dot" w:pos="8844"/>
        </w:tabs>
      </w:pPr>
      <w:r>
        <w:fldChar w:fldCharType="begin"/>
      </w:r>
      <w:r>
        <w:instrText xml:space="preserve"> HYPERLINK \l "_Toc30029" </w:instrText>
      </w:r>
      <w:r>
        <w:fldChar w:fldCharType="separate"/>
      </w:r>
      <w:r>
        <w:rPr>
          <w:rFonts w:eastAsia="方正楷体_GBK"/>
        </w:rPr>
        <w:t>9.2预案培训</w:t>
      </w:r>
      <w:r>
        <w:tab/>
      </w:r>
      <w:r>
        <w:fldChar w:fldCharType="begin"/>
      </w:r>
      <w:r>
        <w:instrText xml:space="preserve"> PAGEREF _Toc30029 </w:instrText>
      </w:r>
      <w:r>
        <w:fldChar w:fldCharType="separate"/>
      </w:r>
      <w:r>
        <w:t>16</w:t>
      </w:r>
      <w:r>
        <w:fldChar w:fldCharType="end"/>
      </w:r>
      <w:r>
        <w:fldChar w:fldCharType="end"/>
      </w:r>
    </w:p>
    <w:p>
      <w:pPr>
        <w:pStyle w:val="12"/>
        <w:tabs>
          <w:tab w:val="right" w:leader="dot" w:pos="8844"/>
        </w:tabs>
      </w:pPr>
      <w:r>
        <w:fldChar w:fldCharType="begin"/>
      </w:r>
      <w:r>
        <w:instrText xml:space="preserve"> HYPERLINK \l "_Toc26327" </w:instrText>
      </w:r>
      <w:r>
        <w:fldChar w:fldCharType="separate"/>
      </w:r>
      <w:r>
        <w:rPr>
          <w:rFonts w:eastAsia="方正楷体_GBK"/>
        </w:rPr>
        <w:t>9.3预案演练</w:t>
      </w:r>
      <w:r>
        <w:tab/>
      </w:r>
      <w:r>
        <w:fldChar w:fldCharType="begin"/>
      </w:r>
      <w:r>
        <w:instrText xml:space="preserve"> PAGEREF _Toc26327 </w:instrText>
      </w:r>
      <w:r>
        <w:fldChar w:fldCharType="separate"/>
      </w:r>
      <w:r>
        <w:t>16</w:t>
      </w:r>
      <w:r>
        <w:fldChar w:fldCharType="end"/>
      </w:r>
      <w:r>
        <w:fldChar w:fldCharType="end"/>
      </w:r>
    </w:p>
    <w:p>
      <w:pPr>
        <w:pStyle w:val="12"/>
        <w:tabs>
          <w:tab w:val="right" w:leader="dot" w:pos="8844"/>
        </w:tabs>
      </w:pPr>
      <w:r>
        <w:fldChar w:fldCharType="begin"/>
      </w:r>
      <w:r>
        <w:instrText xml:space="preserve"> HYPERLINK \l "_Toc6245" </w:instrText>
      </w:r>
      <w:r>
        <w:fldChar w:fldCharType="separate"/>
      </w:r>
      <w:r>
        <w:rPr>
          <w:rFonts w:eastAsia="方正楷体_GBK"/>
        </w:rPr>
        <w:t>9.4监督检查</w:t>
      </w:r>
      <w:r>
        <w:tab/>
      </w:r>
      <w:r>
        <w:fldChar w:fldCharType="begin"/>
      </w:r>
      <w:r>
        <w:instrText xml:space="preserve"> PAGEREF _Toc6245 </w:instrText>
      </w:r>
      <w:r>
        <w:fldChar w:fldCharType="separate"/>
      </w:r>
      <w:r>
        <w:t>16</w:t>
      </w:r>
      <w:r>
        <w:fldChar w:fldCharType="end"/>
      </w:r>
      <w:r>
        <w:fldChar w:fldCharType="end"/>
      </w:r>
    </w:p>
    <w:p>
      <w:pPr>
        <w:pStyle w:val="11"/>
        <w:tabs>
          <w:tab w:val="right" w:leader="dot" w:pos="8844"/>
        </w:tabs>
      </w:pPr>
      <w:r>
        <w:fldChar w:fldCharType="begin"/>
      </w:r>
      <w:r>
        <w:instrText xml:space="preserve"> HYPERLINK \l "_Toc21223" </w:instrText>
      </w:r>
      <w:r>
        <w:fldChar w:fldCharType="separate"/>
      </w:r>
      <w:r>
        <w:rPr>
          <w:rFonts w:eastAsia="方正黑体_GBK"/>
        </w:rPr>
        <w:t>10 附则</w:t>
      </w:r>
      <w:r>
        <w:tab/>
      </w:r>
      <w:r>
        <w:fldChar w:fldCharType="begin"/>
      </w:r>
      <w:r>
        <w:instrText xml:space="preserve"> PAGEREF _Toc21223 </w:instrText>
      </w:r>
      <w:r>
        <w:fldChar w:fldCharType="separate"/>
      </w:r>
      <w:r>
        <w:t>16</w:t>
      </w:r>
      <w:r>
        <w:fldChar w:fldCharType="end"/>
      </w:r>
      <w:r>
        <w:fldChar w:fldCharType="end"/>
      </w:r>
    </w:p>
    <w:p>
      <w:pPr>
        <w:pStyle w:val="12"/>
        <w:tabs>
          <w:tab w:val="right" w:leader="dot" w:pos="8844"/>
        </w:tabs>
      </w:pPr>
      <w:r>
        <w:fldChar w:fldCharType="begin"/>
      </w:r>
      <w:r>
        <w:instrText xml:space="preserve"> HYPERLINK \l "_Toc20691" </w:instrText>
      </w:r>
      <w:r>
        <w:fldChar w:fldCharType="separate"/>
      </w:r>
      <w:r>
        <w:rPr>
          <w:rFonts w:eastAsia="方正楷体_GBK"/>
        </w:rPr>
        <w:t>10.1预案解释</w:t>
      </w:r>
      <w:r>
        <w:tab/>
      </w:r>
      <w:r>
        <w:fldChar w:fldCharType="begin"/>
      </w:r>
      <w:r>
        <w:instrText xml:space="preserve"> PAGEREF _Toc20691 </w:instrText>
      </w:r>
      <w:r>
        <w:fldChar w:fldCharType="separate"/>
      </w:r>
      <w:r>
        <w:t>16</w:t>
      </w:r>
      <w:r>
        <w:fldChar w:fldCharType="end"/>
      </w:r>
      <w:r>
        <w:fldChar w:fldCharType="end"/>
      </w:r>
    </w:p>
    <w:p>
      <w:pPr>
        <w:pStyle w:val="12"/>
        <w:tabs>
          <w:tab w:val="right" w:leader="dot" w:pos="8844"/>
        </w:tabs>
      </w:pPr>
      <w:r>
        <w:fldChar w:fldCharType="begin"/>
      </w:r>
      <w:r>
        <w:instrText xml:space="preserve"> HYPERLINK \l "_Toc15847" </w:instrText>
      </w:r>
      <w:r>
        <w:fldChar w:fldCharType="separate"/>
      </w:r>
      <w:r>
        <w:rPr>
          <w:rFonts w:eastAsia="方正楷体_GBK"/>
        </w:rPr>
        <w:t>10.2预案颁布实施</w:t>
      </w:r>
      <w:r>
        <w:tab/>
      </w:r>
      <w:r>
        <w:fldChar w:fldCharType="begin"/>
      </w:r>
      <w:r>
        <w:instrText xml:space="preserve"> PAGEREF _Toc15847 </w:instrText>
      </w:r>
      <w:r>
        <w:fldChar w:fldCharType="separate"/>
      </w:r>
      <w:r>
        <w:t>16</w:t>
      </w:r>
      <w:r>
        <w:fldChar w:fldCharType="end"/>
      </w:r>
      <w:r>
        <w:fldChar w:fldCharType="end"/>
      </w:r>
    </w:p>
    <w:p>
      <w:pPr>
        <w:pStyle w:val="12"/>
        <w:tabs>
          <w:tab w:val="right" w:leader="dot" w:pos="8844"/>
        </w:tabs>
      </w:pPr>
      <w:r>
        <w:fldChar w:fldCharType="begin"/>
      </w:r>
      <w:r>
        <w:instrText xml:space="preserve"> HYPERLINK \l "_Toc13455" </w:instrText>
      </w:r>
      <w:r>
        <w:fldChar w:fldCharType="separate"/>
      </w:r>
      <w:r>
        <w:rPr>
          <w:rFonts w:eastAsia="方正楷体_GBK"/>
        </w:rPr>
        <w:t>10.3预案管理</w:t>
      </w:r>
      <w:r>
        <w:tab/>
      </w:r>
      <w:r>
        <w:fldChar w:fldCharType="begin"/>
      </w:r>
      <w:r>
        <w:instrText xml:space="preserve"> PAGEREF _Toc13455 </w:instrText>
      </w:r>
      <w:r>
        <w:fldChar w:fldCharType="separate"/>
      </w:r>
      <w:r>
        <w:t>16</w:t>
      </w:r>
      <w:r>
        <w:fldChar w:fldCharType="end"/>
      </w:r>
      <w:r>
        <w:fldChar w:fldCharType="end"/>
      </w:r>
    </w:p>
    <w:p>
      <w:pPr>
        <w:pStyle w:val="12"/>
        <w:tabs>
          <w:tab w:val="right" w:leader="dot" w:pos="8844"/>
        </w:tabs>
      </w:pPr>
      <w:r>
        <w:fldChar w:fldCharType="begin"/>
      </w:r>
      <w:r>
        <w:instrText xml:space="preserve"> HYPERLINK \l "_Toc32671" </w:instrText>
      </w:r>
      <w:r>
        <w:fldChar w:fldCharType="separate"/>
      </w:r>
      <w:r>
        <w:rPr>
          <w:rFonts w:eastAsia="方正楷体_GBK"/>
        </w:rPr>
        <w:t>10.4预案修订</w:t>
      </w:r>
      <w:r>
        <w:tab/>
      </w:r>
      <w:r>
        <w:fldChar w:fldCharType="begin"/>
      </w:r>
      <w:r>
        <w:instrText xml:space="preserve"> PAGEREF _Toc32671 </w:instrText>
      </w:r>
      <w:r>
        <w:fldChar w:fldCharType="separate"/>
      </w:r>
      <w:r>
        <w:t>17</w:t>
      </w:r>
      <w:r>
        <w:fldChar w:fldCharType="end"/>
      </w:r>
      <w:r>
        <w:fldChar w:fldCharType="end"/>
      </w:r>
    </w:p>
    <w:p>
      <w:pPr>
        <w:pStyle w:val="12"/>
        <w:tabs>
          <w:tab w:val="right" w:leader="dot" w:pos="8844"/>
        </w:tabs>
      </w:pPr>
      <w:r>
        <w:fldChar w:fldCharType="begin"/>
      </w:r>
      <w:r>
        <w:instrText xml:space="preserve"> HYPERLINK \l "_Toc5957" </w:instrText>
      </w:r>
      <w:r>
        <w:fldChar w:fldCharType="separate"/>
      </w:r>
      <w:r>
        <w:rPr>
          <w:rFonts w:eastAsia="方正楷体_GBK"/>
        </w:rPr>
        <w:t>10.5奖励</w:t>
      </w:r>
      <w:r>
        <w:tab/>
      </w:r>
      <w:r>
        <w:fldChar w:fldCharType="begin"/>
      </w:r>
      <w:r>
        <w:instrText xml:space="preserve"> PAGEREF _Toc5957 </w:instrText>
      </w:r>
      <w:r>
        <w:fldChar w:fldCharType="separate"/>
      </w:r>
      <w:r>
        <w:t>17</w:t>
      </w:r>
      <w:r>
        <w:fldChar w:fldCharType="end"/>
      </w:r>
      <w:r>
        <w:fldChar w:fldCharType="end"/>
      </w:r>
    </w:p>
    <w:p>
      <w:pPr>
        <w:pStyle w:val="11"/>
        <w:tabs>
          <w:tab w:val="right" w:leader="dot" w:pos="8844"/>
        </w:tabs>
      </w:pPr>
      <w:r>
        <w:fldChar w:fldCharType="begin"/>
      </w:r>
      <w:r>
        <w:instrText xml:space="preserve"> HYPERLINK \l "_Toc5121" </w:instrText>
      </w:r>
      <w:r>
        <w:fldChar w:fldCharType="separate"/>
      </w:r>
      <w:r>
        <w:rPr>
          <w:rFonts w:eastAsia="方正黑体_GBK"/>
        </w:rPr>
        <w:t>11附录</w:t>
      </w:r>
      <w:r>
        <w:tab/>
      </w:r>
      <w:r>
        <w:fldChar w:fldCharType="begin"/>
      </w:r>
      <w:r>
        <w:instrText xml:space="preserve"> PAGEREF _Toc5121 </w:instrText>
      </w:r>
      <w:r>
        <w:fldChar w:fldCharType="separate"/>
      </w:r>
      <w:r>
        <w:t>17</w:t>
      </w:r>
      <w:r>
        <w:fldChar w:fldCharType="end"/>
      </w:r>
      <w:r>
        <w:fldChar w:fldCharType="end"/>
      </w:r>
    </w:p>
    <w:p>
      <w:pPr>
        <w:pStyle w:val="12"/>
        <w:tabs>
          <w:tab w:val="right" w:leader="dot" w:pos="8844"/>
        </w:tabs>
      </w:pPr>
      <w:r>
        <w:fldChar w:fldCharType="begin"/>
      </w:r>
      <w:r>
        <w:instrText xml:space="preserve"> HYPERLINK \l "_Toc2099" </w:instrText>
      </w:r>
      <w:r>
        <w:fldChar w:fldCharType="separate"/>
      </w:r>
      <w:r>
        <w:rPr>
          <w:rFonts w:eastAsia="方正楷体_GBK"/>
        </w:rPr>
        <w:t>附录1 区地指成员单位主要职责及值班电话</w:t>
      </w:r>
      <w:r>
        <w:tab/>
      </w:r>
      <w:r>
        <w:fldChar w:fldCharType="begin"/>
      </w:r>
      <w:r>
        <w:instrText xml:space="preserve"> PAGEREF _Toc2099 </w:instrText>
      </w:r>
      <w:r>
        <w:fldChar w:fldCharType="separate"/>
      </w:r>
      <w:r>
        <w:t>18</w:t>
      </w:r>
      <w:r>
        <w:fldChar w:fldCharType="end"/>
      </w:r>
      <w:r>
        <w:fldChar w:fldCharType="end"/>
      </w:r>
    </w:p>
    <w:p>
      <w:pPr>
        <w:pStyle w:val="12"/>
        <w:tabs>
          <w:tab w:val="right" w:leader="dot" w:pos="8844"/>
        </w:tabs>
      </w:pPr>
      <w:r>
        <w:fldChar w:fldCharType="begin"/>
      </w:r>
      <w:r>
        <w:instrText xml:space="preserve"> HYPERLINK \l "_Toc3102" </w:instrText>
      </w:r>
      <w:r>
        <w:fldChar w:fldCharType="separate"/>
      </w:r>
      <w:r>
        <w:rPr>
          <w:rFonts w:eastAsia="方正楷体_GBK"/>
        </w:rPr>
        <w:t>附录2 现场指挥部工作组及职责</w:t>
      </w:r>
      <w:r>
        <w:tab/>
      </w:r>
      <w:r>
        <w:fldChar w:fldCharType="begin"/>
      </w:r>
      <w:r>
        <w:instrText xml:space="preserve"> PAGEREF _Toc3102 </w:instrText>
      </w:r>
      <w:r>
        <w:fldChar w:fldCharType="separate"/>
      </w:r>
      <w:r>
        <w:t>22</w:t>
      </w:r>
      <w:r>
        <w:fldChar w:fldCharType="end"/>
      </w:r>
      <w:r>
        <w:fldChar w:fldCharType="end"/>
      </w:r>
    </w:p>
    <w:p>
      <w:pPr>
        <w:pStyle w:val="12"/>
        <w:tabs>
          <w:tab w:val="right" w:leader="dot" w:pos="8844"/>
        </w:tabs>
      </w:pPr>
      <w:r>
        <w:fldChar w:fldCharType="begin"/>
      </w:r>
      <w:r>
        <w:instrText xml:space="preserve"> HYPERLINK \l "_Toc16324" </w:instrText>
      </w:r>
      <w:r>
        <w:fldChar w:fldCharType="separate"/>
      </w:r>
      <w:r>
        <w:rPr>
          <w:rFonts w:eastAsia="方正楷体_GBK"/>
        </w:rPr>
        <w:t>附录3 地质灾害气象风险预警（地质灾害气象预报）分级及响应</w:t>
      </w:r>
      <w:r>
        <w:tab/>
      </w:r>
      <w:r>
        <w:fldChar w:fldCharType="begin"/>
      </w:r>
      <w:r>
        <w:instrText xml:space="preserve"> PAGEREF _Toc16324 </w:instrText>
      </w:r>
      <w:r>
        <w:fldChar w:fldCharType="separate"/>
      </w:r>
      <w:r>
        <w:t>24</w:t>
      </w:r>
      <w:r>
        <w:fldChar w:fldCharType="end"/>
      </w:r>
      <w:r>
        <w:fldChar w:fldCharType="end"/>
      </w:r>
    </w:p>
    <w:p>
      <w:pPr>
        <w:pStyle w:val="12"/>
        <w:tabs>
          <w:tab w:val="right" w:leader="dot" w:pos="8844"/>
        </w:tabs>
      </w:pPr>
      <w:r>
        <w:fldChar w:fldCharType="begin"/>
      </w:r>
      <w:r>
        <w:instrText xml:space="preserve"> HYPERLINK \l "_Toc978" </w:instrText>
      </w:r>
      <w:r>
        <w:fldChar w:fldCharType="separate"/>
      </w:r>
      <w:r>
        <w:rPr>
          <w:rFonts w:eastAsia="方正楷体_GBK"/>
        </w:rPr>
        <w:t>附录4 地质灾害监测预警分级及响应</w:t>
      </w:r>
      <w:r>
        <w:tab/>
      </w:r>
      <w:r>
        <w:fldChar w:fldCharType="begin"/>
      </w:r>
      <w:r>
        <w:instrText xml:space="preserve"> PAGEREF _Toc978 </w:instrText>
      </w:r>
      <w:r>
        <w:fldChar w:fldCharType="separate"/>
      </w:r>
      <w:r>
        <w:t>24</w:t>
      </w:r>
      <w:r>
        <w:fldChar w:fldCharType="end"/>
      </w:r>
      <w:r>
        <w:fldChar w:fldCharType="end"/>
      </w:r>
    </w:p>
    <w:p>
      <w:pPr>
        <w:pStyle w:val="12"/>
        <w:tabs>
          <w:tab w:val="right" w:leader="dot" w:pos="8844"/>
        </w:tabs>
      </w:pPr>
      <w:r>
        <w:fldChar w:fldCharType="begin"/>
      </w:r>
      <w:r>
        <w:instrText xml:space="preserve"> HYPERLINK \l "_Toc793" </w:instrText>
      </w:r>
      <w:r>
        <w:fldChar w:fldCharType="separate"/>
      </w:r>
      <w:r>
        <w:rPr>
          <w:rFonts w:eastAsia="方正楷体_GBK"/>
        </w:rPr>
        <w:t>附录5 地质灾害险情分级表</w:t>
      </w:r>
      <w:r>
        <w:tab/>
      </w:r>
      <w:r>
        <w:fldChar w:fldCharType="begin"/>
      </w:r>
      <w:r>
        <w:instrText xml:space="preserve"> PAGEREF _Toc793 </w:instrText>
      </w:r>
      <w:r>
        <w:fldChar w:fldCharType="separate"/>
      </w:r>
      <w:r>
        <w:t>25</w:t>
      </w:r>
      <w:r>
        <w:fldChar w:fldCharType="end"/>
      </w:r>
      <w:r>
        <w:fldChar w:fldCharType="end"/>
      </w:r>
    </w:p>
    <w:p>
      <w:pPr>
        <w:pStyle w:val="12"/>
        <w:tabs>
          <w:tab w:val="right" w:leader="dot" w:pos="8844"/>
        </w:tabs>
      </w:pPr>
      <w:r>
        <w:fldChar w:fldCharType="begin"/>
      </w:r>
      <w:r>
        <w:instrText xml:space="preserve"> HYPERLINK \l "_Toc10655" </w:instrText>
      </w:r>
      <w:r>
        <w:fldChar w:fldCharType="separate"/>
      </w:r>
      <w:r>
        <w:rPr>
          <w:rFonts w:eastAsia="方正楷体_GBK"/>
        </w:rPr>
        <w:t>附录6 地质灾害灾情分级表</w:t>
      </w:r>
      <w:r>
        <w:tab/>
      </w:r>
      <w:r>
        <w:fldChar w:fldCharType="begin"/>
      </w:r>
      <w:r>
        <w:instrText xml:space="preserve"> PAGEREF _Toc10655 </w:instrText>
      </w:r>
      <w:r>
        <w:fldChar w:fldCharType="separate"/>
      </w:r>
      <w:r>
        <w:t>25</w:t>
      </w:r>
      <w:r>
        <w:fldChar w:fldCharType="end"/>
      </w:r>
      <w:r>
        <w:fldChar w:fldCharType="end"/>
      </w:r>
    </w:p>
    <w:p>
      <w:pPr>
        <w:pStyle w:val="12"/>
        <w:tabs>
          <w:tab w:val="right" w:leader="dot" w:pos="8844"/>
        </w:tabs>
      </w:pPr>
      <w:r>
        <w:fldChar w:fldCharType="begin"/>
      </w:r>
      <w:r>
        <w:instrText xml:space="preserve"> HYPERLINK \l "_Toc29932" </w:instrText>
      </w:r>
      <w:r>
        <w:fldChar w:fldCharType="separate"/>
      </w:r>
      <w:r>
        <w:rPr>
          <w:rFonts w:eastAsia="方正楷体_GBK"/>
        </w:rPr>
        <w:t>附录7 镇乡（街道）、行业部门、区地指对应应急响应</w:t>
      </w:r>
      <w:r>
        <w:tab/>
      </w:r>
      <w:r>
        <w:fldChar w:fldCharType="begin"/>
      </w:r>
      <w:r>
        <w:instrText xml:space="preserve"> PAGEREF _Toc29932 </w:instrText>
      </w:r>
      <w:r>
        <w:fldChar w:fldCharType="separate"/>
      </w:r>
      <w:r>
        <w:t>26</w:t>
      </w:r>
      <w:r>
        <w:fldChar w:fldCharType="end"/>
      </w:r>
      <w:r>
        <w:fldChar w:fldCharType="end"/>
      </w:r>
    </w:p>
    <w:p>
      <w:pPr>
        <w:pStyle w:val="12"/>
        <w:tabs>
          <w:tab w:val="right" w:leader="dot" w:pos="8844"/>
        </w:tabs>
      </w:pPr>
      <w:r>
        <w:fldChar w:fldCharType="begin"/>
      </w:r>
      <w:r>
        <w:instrText xml:space="preserve"> HYPERLINK \l "_Toc4754" </w:instrText>
      </w:r>
      <w:r>
        <w:fldChar w:fldCharType="separate"/>
      </w:r>
      <w:r>
        <w:rPr>
          <w:rFonts w:eastAsia="方正楷体_GBK"/>
        </w:rPr>
        <w:t>附录8 区地质灾害技术保障队花名册</w:t>
      </w:r>
      <w:r>
        <w:tab/>
      </w:r>
      <w:r>
        <w:fldChar w:fldCharType="begin"/>
      </w:r>
      <w:r>
        <w:instrText xml:space="preserve"> PAGEREF _Toc4754 </w:instrText>
      </w:r>
      <w:r>
        <w:fldChar w:fldCharType="separate"/>
      </w:r>
      <w:r>
        <w:t>29</w:t>
      </w:r>
      <w:r>
        <w:fldChar w:fldCharType="end"/>
      </w:r>
      <w:r>
        <w:fldChar w:fldCharType="end"/>
      </w:r>
    </w:p>
    <w:p>
      <w:pPr>
        <w:pStyle w:val="12"/>
        <w:tabs>
          <w:tab w:val="right" w:leader="dot" w:pos="8844"/>
        </w:tabs>
      </w:pPr>
      <w:r>
        <w:fldChar w:fldCharType="begin"/>
      </w:r>
      <w:r>
        <w:instrText xml:space="preserve"> HYPERLINK \l "_Toc18029" </w:instrText>
      </w:r>
      <w:r>
        <w:fldChar w:fldCharType="separate"/>
      </w:r>
      <w:r>
        <w:rPr>
          <w:rFonts w:eastAsia="方正楷体_GBK"/>
        </w:rPr>
        <w:t>附录9 万州区地质灾害易发分区图</w:t>
      </w:r>
      <w:r>
        <w:tab/>
      </w:r>
      <w:r>
        <w:fldChar w:fldCharType="begin"/>
      </w:r>
      <w:r>
        <w:instrText xml:space="preserve"> PAGEREF _Toc18029 </w:instrText>
      </w:r>
      <w:r>
        <w:fldChar w:fldCharType="separate"/>
      </w:r>
      <w:r>
        <w:t>30</w:t>
      </w:r>
      <w:r>
        <w:fldChar w:fldCharType="end"/>
      </w:r>
      <w:r>
        <w:fldChar w:fldCharType="end"/>
      </w:r>
    </w:p>
    <w:p>
      <w:pPr>
        <w:pStyle w:val="12"/>
        <w:tabs>
          <w:tab w:val="right" w:leader="dot" w:pos="8844"/>
        </w:tabs>
      </w:pPr>
      <w:r>
        <w:fldChar w:fldCharType="begin"/>
      </w:r>
      <w:r>
        <w:instrText xml:space="preserve"> HYPERLINK \l "_Toc8745" </w:instrText>
      </w:r>
      <w:r>
        <w:fldChar w:fldCharType="separate"/>
      </w:r>
      <w:r>
        <w:rPr>
          <w:rFonts w:eastAsia="方正楷体_GBK"/>
        </w:rPr>
        <w:t>附录10 万州区突发地质灾害事件处置流程图</w:t>
      </w:r>
      <w:r>
        <w:tab/>
      </w:r>
      <w:r>
        <w:fldChar w:fldCharType="begin"/>
      </w:r>
      <w:r>
        <w:instrText xml:space="preserve"> PAGEREF _Toc8745 </w:instrText>
      </w:r>
      <w:r>
        <w:fldChar w:fldCharType="separate"/>
      </w:r>
      <w:r>
        <w:t>31</w:t>
      </w:r>
      <w:r>
        <w:fldChar w:fldCharType="end"/>
      </w:r>
      <w:r>
        <w:fldChar w:fldCharType="end"/>
      </w:r>
    </w:p>
    <w:p>
      <w:pPr>
        <w:ind w:firstLine="411" w:firstLineChars="196"/>
        <w:rPr>
          <w:rFonts w:eastAsia="方正楷体_GBK"/>
          <w:sz w:val="36"/>
          <w:szCs w:val="36"/>
        </w:rPr>
        <w:sectPr>
          <w:footerReference r:id="rId7" w:type="default"/>
          <w:footerReference r:id="rId8" w:type="even"/>
          <w:pgSz w:w="11906" w:h="16838"/>
          <w:pgMar w:top="1985" w:right="1531" w:bottom="1985" w:left="1531" w:header="851" w:footer="1474" w:gutter="0"/>
          <w:pgNumType w:start="1"/>
          <w:cols w:space="720" w:num="1"/>
          <w:docGrid w:type="linesAndChars" w:linePitch="579" w:charSpace="0"/>
        </w:sectPr>
      </w:pPr>
      <w:r>
        <w:rPr>
          <w:rFonts w:eastAsia="方正楷体_GBK"/>
          <w:szCs w:val="32"/>
        </w:rPr>
        <w:fldChar w:fldCharType="end"/>
      </w:r>
    </w:p>
    <w:p>
      <w:pPr>
        <w:pStyle w:val="3"/>
        <w:adjustRightInd w:val="0"/>
        <w:spacing w:line="560" w:lineRule="exact"/>
        <w:ind w:firstLine="640" w:firstLineChars="200"/>
        <w:rPr>
          <w:rFonts w:ascii="Times New Roman" w:hAnsi="Times New Roman" w:eastAsia="方正黑体_GBK"/>
          <w:b w:val="0"/>
          <w:sz w:val="32"/>
        </w:rPr>
      </w:pPr>
      <w:bookmarkStart w:id="0" w:name="_Toc13278"/>
      <w:bookmarkStart w:id="1" w:name="_Toc24722"/>
      <w:r>
        <w:rPr>
          <w:rFonts w:ascii="Times New Roman" w:hAnsi="Times New Roman" w:eastAsia="方正黑体_GBK"/>
          <w:b w:val="0"/>
          <w:sz w:val="32"/>
        </w:rPr>
        <w:t>1 总则</w:t>
      </w:r>
      <w:bookmarkEnd w:id="0"/>
      <w:bookmarkEnd w:id="1"/>
    </w:p>
    <w:p>
      <w:pPr>
        <w:pStyle w:val="23"/>
        <w:adjustRightInd w:val="0"/>
        <w:snapToGrid w:val="0"/>
        <w:spacing w:before="0" w:after="0" w:line="560" w:lineRule="exact"/>
        <w:ind w:firstLine="640" w:firstLineChars="200"/>
        <w:jc w:val="both"/>
        <w:rPr>
          <w:rFonts w:ascii="Times New Roman" w:hAnsi="Times New Roman" w:eastAsia="方正楷体_GBK"/>
          <w:kern w:val="0"/>
          <w:lang w:val="zh-CN"/>
        </w:rPr>
      </w:pPr>
      <w:bookmarkStart w:id="2" w:name="_Toc20194"/>
      <w:bookmarkStart w:id="3" w:name="_Toc28921"/>
      <w:r>
        <w:rPr>
          <w:rFonts w:ascii="Times New Roman" w:hAnsi="Times New Roman" w:eastAsia="方正楷体_GBK"/>
          <w:kern w:val="0"/>
          <w:lang w:val="zh-CN"/>
        </w:rPr>
        <w:t>1.1编制目的</w:t>
      </w:r>
      <w:bookmarkEnd w:id="2"/>
      <w:bookmarkEnd w:id="3"/>
    </w:p>
    <w:p>
      <w:pPr>
        <w:pStyle w:val="7"/>
        <w:adjustRightInd w:val="0"/>
        <w:snapToGrid w:val="0"/>
        <w:spacing w:after="0" w:line="560" w:lineRule="exact"/>
        <w:ind w:left="0" w:leftChars="0" w:firstLine="640" w:firstLineChars="200"/>
        <w:rPr>
          <w:rFonts w:eastAsia="方正仿宋_GBK"/>
          <w:sz w:val="32"/>
          <w:szCs w:val="32"/>
        </w:rPr>
      </w:pPr>
      <w:r>
        <w:rPr>
          <w:rFonts w:eastAsia="方正仿宋_GBK"/>
          <w:sz w:val="32"/>
          <w:szCs w:val="32"/>
        </w:rPr>
        <w:t>为科学规范、协调有序、快速高效开展突发性地质灾害应对工作，避免或减轻地质灾害造成的损失，切实维护人民群众生命财产安全和社会稳定，为我区经济社会全面、协调、可持续发展提供保障。</w:t>
      </w:r>
    </w:p>
    <w:p>
      <w:pPr>
        <w:pStyle w:val="23"/>
        <w:adjustRightInd w:val="0"/>
        <w:snapToGrid w:val="0"/>
        <w:spacing w:before="0" w:after="0" w:line="560" w:lineRule="exact"/>
        <w:ind w:firstLine="640" w:firstLineChars="200"/>
        <w:jc w:val="both"/>
        <w:rPr>
          <w:rFonts w:ascii="Times New Roman" w:hAnsi="Times New Roman" w:eastAsia="方正楷体_GBK"/>
          <w:kern w:val="0"/>
          <w:lang w:val="zh-CN"/>
        </w:rPr>
      </w:pPr>
      <w:bookmarkStart w:id="4" w:name="_Toc3051"/>
      <w:bookmarkStart w:id="5" w:name="_Toc19505"/>
      <w:r>
        <w:rPr>
          <w:rFonts w:ascii="Times New Roman" w:hAnsi="Times New Roman" w:eastAsia="方正楷体_GBK"/>
          <w:kern w:val="0"/>
          <w:lang w:val="zh-CN"/>
        </w:rPr>
        <w:t>1.2编制依据</w:t>
      </w:r>
      <w:bookmarkEnd w:id="4"/>
      <w:bookmarkEnd w:id="5"/>
    </w:p>
    <w:p>
      <w:pPr>
        <w:adjustRightInd w:val="0"/>
        <w:snapToGrid w:val="0"/>
        <w:spacing w:line="560" w:lineRule="exact"/>
        <w:ind w:firstLine="640" w:firstLineChars="200"/>
        <w:rPr>
          <w:rFonts w:eastAsia="方正仿宋_GBK"/>
          <w:sz w:val="32"/>
          <w:szCs w:val="32"/>
        </w:rPr>
      </w:pPr>
      <w:r>
        <w:rPr>
          <w:rFonts w:eastAsia="方正仿宋_GBK"/>
          <w:sz w:val="32"/>
          <w:szCs w:val="32"/>
        </w:rPr>
        <w:t>依据</w:t>
      </w:r>
      <w:r>
        <w:rPr>
          <w:rFonts w:eastAsia="方正仿宋_GBK"/>
          <w:kern w:val="0"/>
          <w:sz w:val="32"/>
          <w:szCs w:val="32"/>
        </w:rPr>
        <w:t>《中华人民共和国突发事件应对法》《地质灾害防治条例》《重庆市地质灾害防治条例》《重庆市突发事件应对条例》等法律法规，根据《重庆市突发事件应急预案管理办法》《</w:t>
      </w:r>
      <w:r>
        <w:rPr>
          <w:rFonts w:eastAsia="方正仿宋_GBK"/>
          <w:sz w:val="32"/>
          <w:szCs w:val="32"/>
        </w:rPr>
        <w:t>重庆市突发地质灾害应急专项预案</w:t>
      </w:r>
      <w:r>
        <w:rPr>
          <w:rFonts w:eastAsia="方正仿宋_GBK"/>
          <w:kern w:val="0"/>
          <w:sz w:val="32"/>
          <w:szCs w:val="32"/>
        </w:rPr>
        <w:t>》《重庆市万州区突发事件总体应急预案》《重庆市万州区减灾委员会办公室关于印发重庆市万州区减灾委员会重庆市万州区自然灾害应急总指挥部成员单位工作职责及专项指挥部工作规则的通知》（万州减灾办〔2019〕10号）、《重庆市万州区人民政府办公室关于调整万州区安全生产委员会和万州区减灾委员会的通知》（万州府办发〔2019〕63号）相关法律法规和规范性文件，并结合我区地质灾害实际情况，编制本预案。</w:t>
      </w:r>
    </w:p>
    <w:p>
      <w:pPr>
        <w:pStyle w:val="23"/>
        <w:adjustRightInd w:val="0"/>
        <w:snapToGrid w:val="0"/>
        <w:spacing w:before="0" w:after="0" w:line="560" w:lineRule="exact"/>
        <w:ind w:firstLine="640" w:firstLineChars="200"/>
        <w:jc w:val="both"/>
        <w:rPr>
          <w:rFonts w:ascii="Times New Roman" w:hAnsi="Times New Roman" w:eastAsia="方正楷体_GBK"/>
          <w:kern w:val="0"/>
          <w:lang w:val="zh-CN"/>
        </w:rPr>
      </w:pPr>
      <w:bookmarkStart w:id="6" w:name="_Toc14800"/>
      <w:bookmarkStart w:id="7" w:name="_Toc5601"/>
      <w:r>
        <w:rPr>
          <w:rFonts w:ascii="Times New Roman" w:hAnsi="Times New Roman" w:eastAsia="方正楷体_GBK"/>
          <w:kern w:val="0"/>
          <w:lang w:val="zh-CN"/>
        </w:rPr>
        <w:t>1.3工作原则</w:t>
      </w:r>
      <w:bookmarkEnd w:id="6"/>
      <w:bookmarkEnd w:id="7"/>
    </w:p>
    <w:p>
      <w:pPr>
        <w:adjustRightInd w:val="0"/>
        <w:snapToGrid w:val="0"/>
        <w:spacing w:line="560" w:lineRule="exact"/>
        <w:ind w:firstLine="640" w:firstLineChars="200"/>
        <w:rPr>
          <w:rFonts w:eastAsia="方正仿宋_GBK"/>
          <w:sz w:val="32"/>
          <w:szCs w:val="32"/>
        </w:rPr>
      </w:pPr>
      <w:r>
        <w:rPr>
          <w:rFonts w:eastAsia="方正仿宋_GBK"/>
          <w:sz w:val="32"/>
          <w:szCs w:val="32"/>
        </w:rPr>
        <w:t>以人为本、安全第一。在处置突发性地质灾害中首先救人，最大限度地减少地质灾害和重大险情对人民生命财产带来的损失和威胁。</w:t>
      </w:r>
    </w:p>
    <w:p>
      <w:pPr>
        <w:adjustRightInd w:val="0"/>
        <w:snapToGrid w:val="0"/>
        <w:spacing w:line="560" w:lineRule="exact"/>
        <w:ind w:firstLine="640" w:firstLineChars="200"/>
        <w:rPr>
          <w:rFonts w:eastAsia="方正仿宋_GBK"/>
          <w:sz w:val="32"/>
          <w:szCs w:val="32"/>
        </w:rPr>
      </w:pPr>
      <w:r>
        <w:rPr>
          <w:rFonts w:eastAsia="方正仿宋_GBK"/>
          <w:sz w:val="32"/>
          <w:szCs w:val="32"/>
        </w:rPr>
        <w:t>预防为主、常备不懈。全区各级政府、有关部门应积极开展地质灾害的预防工作，认真按照预案做好地质灾害防治工作。</w:t>
      </w:r>
    </w:p>
    <w:p>
      <w:pPr>
        <w:adjustRightInd w:val="0"/>
        <w:snapToGrid w:val="0"/>
        <w:spacing w:line="560" w:lineRule="exact"/>
        <w:ind w:firstLine="640" w:firstLineChars="200"/>
        <w:rPr>
          <w:rFonts w:eastAsia="方正仿宋_GBK"/>
          <w:sz w:val="32"/>
          <w:szCs w:val="32"/>
        </w:rPr>
      </w:pPr>
      <w:r>
        <w:rPr>
          <w:rFonts w:eastAsia="方正仿宋_GBK"/>
          <w:sz w:val="32"/>
          <w:szCs w:val="32"/>
        </w:rPr>
        <w:t>统一领导、部门联动。在各级党委、政府统一领导下，有关行业主管部门按“谁主管、谁负责”的原则，做好本行业突发地质灾害应对工作，部门间要加强沟通协调。</w:t>
      </w:r>
    </w:p>
    <w:p>
      <w:pPr>
        <w:adjustRightInd w:val="0"/>
        <w:snapToGrid w:val="0"/>
        <w:spacing w:line="560" w:lineRule="exact"/>
        <w:ind w:firstLine="640" w:firstLineChars="200"/>
        <w:rPr>
          <w:rFonts w:eastAsia="方正仿宋_GBK"/>
          <w:color w:val="000000"/>
          <w:sz w:val="32"/>
          <w:szCs w:val="32"/>
        </w:rPr>
      </w:pPr>
      <w:r>
        <w:rPr>
          <w:rFonts w:eastAsia="方正仿宋_GBK"/>
          <w:sz w:val="32"/>
          <w:szCs w:val="32"/>
        </w:rPr>
        <w:t>属地管理，分级响应。突发地质灾害灾情发生后，按属地管理，分级响应的原则，由属地镇乡（街道）首先作出应急响应。根据灾情等级，区级有关部门及区政府采取相应处置措施。发生</w:t>
      </w:r>
      <w:r>
        <w:rPr>
          <w:rFonts w:eastAsia="方正仿宋_GBK"/>
          <w:color w:val="000000"/>
          <w:sz w:val="32"/>
          <w:szCs w:val="32"/>
        </w:rPr>
        <w:t>重特大地质灾害灾情及时向市级相关部门、市抗震救灾和地质灾害防治救援指挥部（以下简称市地指）和市政府报告。</w:t>
      </w:r>
    </w:p>
    <w:p>
      <w:pPr>
        <w:pStyle w:val="23"/>
        <w:adjustRightInd w:val="0"/>
        <w:snapToGrid w:val="0"/>
        <w:spacing w:before="0" w:after="0" w:line="560" w:lineRule="exact"/>
        <w:ind w:firstLine="640" w:firstLineChars="200"/>
        <w:jc w:val="both"/>
        <w:rPr>
          <w:rFonts w:ascii="Times New Roman" w:hAnsi="Times New Roman" w:eastAsia="方正楷体_GBK"/>
          <w:kern w:val="0"/>
          <w:lang w:val="zh-CN"/>
        </w:rPr>
      </w:pPr>
      <w:bookmarkStart w:id="8" w:name="_Toc19025"/>
      <w:bookmarkStart w:id="9" w:name="_Toc11769"/>
      <w:r>
        <w:rPr>
          <w:rFonts w:ascii="Times New Roman" w:hAnsi="Times New Roman" w:eastAsia="方正楷体_GBK"/>
          <w:kern w:val="0"/>
          <w:lang w:val="zh-CN"/>
        </w:rPr>
        <w:t>1.4 适用范围</w:t>
      </w:r>
      <w:bookmarkEnd w:id="8"/>
      <w:bookmarkEnd w:id="9"/>
    </w:p>
    <w:p>
      <w:pPr>
        <w:adjustRightInd w:val="0"/>
        <w:snapToGrid w:val="0"/>
        <w:spacing w:line="560" w:lineRule="exact"/>
        <w:ind w:firstLine="640" w:firstLineChars="200"/>
        <w:rPr>
          <w:rFonts w:eastAsia="方正仿宋_GBK"/>
          <w:sz w:val="32"/>
          <w:szCs w:val="32"/>
        </w:rPr>
      </w:pPr>
      <w:r>
        <w:rPr>
          <w:rFonts w:eastAsia="方正仿宋_GBK"/>
          <w:sz w:val="32"/>
          <w:szCs w:val="32"/>
        </w:rPr>
        <w:t>本预案适用于发生在万州区行政辖区内所有的地质灾害应急管理和处置工作。</w:t>
      </w:r>
    </w:p>
    <w:p>
      <w:pPr>
        <w:pStyle w:val="23"/>
        <w:adjustRightInd w:val="0"/>
        <w:snapToGrid w:val="0"/>
        <w:spacing w:before="0" w:after="0" w:line="560" w:lineRule="exact"/>
        <w:ind w:firstLine="640" w:firstLineChars="200"/>
        <w:jc w:val="both"/>
        <w:rPr>
          <w:rFonts w:ascii="Times New Roman" w:hAnsi="Times New Roman" w:eastAsia="方正楷体_GBK"/>
          <w:kern w:val="0"/>
          <w:lang w:val="zh-CN"/>
        </w:rPr>
      </w:pPr>
      <w:bookmarkStart w:id="10" w:name="_Toc12458"/>
      <w:bookmarkStart w:id="11" w:name="_Toc11956"/>
      <w:r>
        <w:rPr>
          <w:rFonts w:ascii="Times New Roman" w:hAnsi="Times New Roman" w:eastAsia="方正楷体_GBK"/>
          <w:kern w:val="0"/>
          <w:lang w:val="zh-CN"/>
        </w:rPr>
        <w:t>1.5应急预案的启动与终止</w:t>
      </w:r>
      <w:bookmarkEnd w:id="10"/>
      <w:bookmarkEnd w:id="11"/>
    </w:p>
    <w:p>
      <w:pPr>
        <w:adjustRightInd w:val="0"/>
        <w:snapToGrid w:val="0"/>
        <w:spacing w:line="560" w:lineRule="exact"/>
        <w:ind w:firstLine="640" w:firstLineChars="200"/>
        <w:rPr>
          <w:rFonts w:eastAsia="方正仿宋_GBK"/>
          <w:color w:val="000000"/>
          <w:sz w:val="32"/>
          <w:szCs w:val="32"/>
        </w:rPr>
      </w:pPr>
      <w:r>
        <w:rPr>
          <w:rFonts w:eastAsia="方正仿宋_GBK"/>
          <w:color w:val="000000"/>
          <w:sz w:val="32"/>
          <w:szCs w:val="32"/>
        </w:rPr>
        <w:t>突发地质灾害灾情（险情）应急响应由高到低分为四级：Ⅰ级、Ⅱ级、Ⅲ级、Ⅳ级。</w:t>
      </w:r>
    </w:p>
    <w:p>
      <w:pPr>
        <w:adjustRightInd w:val="0"/>
        <w:snapToGrid w:val="0"/>
        <w:spacing w:line="560" w:lineRule="exact"/>
        <w:ind w:firstLine="640" w:firstLineChars="200"/>
        <w:rPr>
          <w:rFonts w:eastAsia="方正仿宋_GBK"/>
          <w:color w:val="000000"/>
          <w:sz w:val="32"/>
          <w:szCs w:val="32"/>
        </w:rPr>
      </w:pPr>
      <w:r>
        <w:rPr>
          <w:rFonts w:eastAsia="方正仿宋_GBK"/>
          <w:color w:val="000000"/>
          <w:sz w:val="32"/>
          <w:szCs w:val="32"/>
        </w:rPr>
        <w:t>Ⅲ级以下地质灾害灾情（险情）由区地指决定启动本级地质灾害应急预案。地质灾害灾情（险情）应急处置工作结束后，由区地指决定响应终止。</w:t>
      </w:r>
    </w:p>
    <w:p>
      <w:pPr>
        <w:adjustRightInd w:val="0"/>
        <w:snapToGrid w:val="0"/>
        <w:spacing w:line="560" w:lineRule="exact"/>
        <w:ind w:firstLine="640" w:firstLineChars="200"/>
        <w:rPr>
          <w:rFonts w:eastAsia="方正仿宋_GBK"/>
          <w:color w:val="000000"/>
          <w:sz w:val="32"/>
          <w:szCs w:val="32"/>
        </w:rPr>
      </w:pPr>
      <w:r>
        <w:rPr>
          <w:rFonts w:eastAsia="方正仿宋_GBK"/>
          <w:color w:val="000000"/>
          <w:sz w:val="32"/>
          <w:szCs w:val="32"/>
        </w:rPr>
        <w:t>Ⅰ级、Ⅱ级地质灾害灾情（险情）经市地指同意后启动本预案。Ⅰ级、Ⅱ级地质灾害应急处置工作结束后，由市地指决定响应终止。</w:t>
      </w:r>
    </w:p>
    <w:p>
      <w:pPr>
        <w:pStyle w:val="2"/>
        <w:rPr>
          <w:rFonts w:hint="default" w:ascii="Times New Roman" w:eastAsia="方正仿宋_GBK"/>
        </w:rPr>
      </w:pPr>
      <w:r>
        <w:rPr>
          <w:rFonts w:hint="default" w:ascii="Times New Roman" w:eastAsia="方正仿宋_GBK"/>
          <w:kern w:val="2"/>
          <w:sz w:val="32"/>
          <w:szCs w:val="32"/>
        </w:rPr>
        <w:t>应急预案启动及处置流程见附录10。</w:t>
      </w:r>
    </w:p>
    <w:p>
      <w:pPr>
        <w:pStyle w:val="3"/>
        <w:adjustRightInd w:val="0"/>
        <w:spacing w:line="560" w:lineRule="exact"/>
        <w:ind w:firstLine="640" w:firstLineChars="200"/>
        <w:rPr>
          <w:rFonts w:ascii="Times New Roman" w:hAnsi="Times New Roman" w:eastAsia="方正黑体_GBK"/>
          <w:b w:val="0"/>
          <w:sz w:val="32"/>
        </w:rPr>
      </w:pPr>
      <w:bookmarkStart w:id="12" w:name="_Toc2141"/>
      <w:bookmarkStart w:id="13" w:name="_Toc21131"/>
      <w:r>
        <w:rPr>
          <w:rFonts w:ascii="Times New Roman" w:hAnsi="Times New Roman" w:eastAsia="方正黑体_GBK"/>
          <w:b w:val="0"/>
          <w:sz w:val="32"/>
        </w:rPr>
        <w:t>2 组织机构及职责</w:t>
      </w:r>
      <w:bookmarkEnd w:id="12"/>
      <w:bookmarkEnd w:id="13"/>
    </w:p>
    <w:p>
      <w:pPr>
        <w:pStyle w:val="23"/>
        <w:adjustRightInd w:val="0"/>
        <w:snapToGrid w:val="0"/>
        <w:spacing w:before="0" w:after="0" w:line="560" w:lineRule="exact"/>
        <w:ind w:firstLine="640" w:firstLineChars="200"/>
        <w:jc w:val="both"/>
        <w:rPr>
          <w:rFonts w:ascii="Times New Roman" w:hAnsi="Times New Roman" w:eastAsia="方正楷体_GBK"/>
          <w:kern w:val="0"/>
          <w:lang w:val="zh-CN"/>
        </w:rPr>
      </w:pPr>
      <w:bookmarkStart w:id="14" w:name="_Toc24545"/>
      <w:bookmarkStart w:id="15" w:name="_Toc31731"/>
      <w:r>
        <w:rPr>
          <w:rFonts w:ascii="Times New Roman" w:hAnsi="Times New Roman" w:eastAsia="方正楷体_GBK"/>
          <w:kern w:val="0"/>
          <w:lang w:val="zh-CN"/>
        </w:rPr>
        <w:t>2.1区级指挥机构及职责</w:t>
      </w:r>
      <w:bookmarkEnd w:id="14"/>
      <w:bookmarkEnd w:id="15"/>
    </w:p>
    <w:p>
      <w:pPr>
        <w:adjustRightInd w:val="0"/>
        <w:snapToGrid w:val="0"/>
        <w:spacing w:line="560" w:lineRule="exact"/>
        <w:ind w:firstLine="640" w:firstLineChars="200"/>
        <w:outlineLvl w:val="2"/>
        <w:rPr>
          <w:rFonts w:eastAsia="方正仿宋_GBK"/>
          <w:kern w:val="0"/>
          <w:sz w:val="32"/>
          <w:szCs w:val="32"/>
        </w:rPr>
      </w:pPr>
      <w:r>
        <w:rPr>
          <w:rFonts w:eastAsia="方正仿宋_GBK"/>
          <w:kern w:val="0"/>
          <w:sz w:val="32"/>
          <w:szCs w:val="32"/>
        </w:rPr>
        <w:t>2.1.1区地指</w:t>
      </w:r>
    </w:p>
    <w:p>
      <w:pPr>
        <w:adjustRightInd w:val="0"/>
        <w:snapToGrid w:val="0"/>
        <w:spacing w:line="560" w:lineRule="exact"/>
        <w:ind w:firstLine="640" w:firstLineChars="200"/>
        <w:rPr>
          <w:rFonts w:eastAsia="方正仿宋_GBK"/>
          <w:sz w:val="32"/>
          <w:szCs w:val="32"/>
        </w:rPr>
      </w:pPr>
      <w:r>
        <w:rPr>
          <w:rFonts w:eastAsia="方正仿宋_GBK"/>
          <w:sz w:val="32"/>
          <w:szCs w:val="32"/>
        </w:rPr>
        <w:t>万州区抗震救灾和地质灾害防治救援指挥部（以下简称“区地指”）是区政府议事协调机构，在区政府领导下，负责统筹协调全区地质灾害防治救援工作。</w:t>
      </w:r>
    </w:p>
    <w:p>
      <w:pPr>
        <w:adjustRightInd w:val="0"/>
        <w:snapToGrid w:val="0"/>
        <w:spacing w:line="560" w:lineRule="exact"/>
        <w:ind w:firstLine="640" w:firstLineChars="200"/>
        <w:rPr>
          <w:rFonts w:eastAsia="方正仿宋_GBK"/>
          <w:sz w:val="32"/>
          <w:szCs w:val="32"/>
        </w:rPr>
      </w:pPr>
      <w:r>
        <w:rPr>
          <w:rFonts w:eastAsia="方正仿宋_GBK"/>
          <w:sz w:val="32"/>
          <w:szCs w:val="32"/>
        </w:rPr>
        <w:t>区地指指挥长由区政府分管副区长担任，副指挥长由区政府办公室联系副主任和区应急局、区规划自然资源局主要负责人担任。</w:t>
      </w:r>
    </w:p>
    <w:p>
      <w:pPr>
        <w:adjustRightInd w:val="0"/>
        <w:snapToGrid w:val="0"/>
        <w:spacing w:line="560" w:lineRule="exact"/>
        <w:ind w:firstLine="640" w:firstLineChars="200"/>
        <w:rPr>
          <w:rFonts w:eastAsia="方正仿宋_GBK"/>
          <w:sz w:val="32"/>
          <w:szCs w:val="32"/>
        </w:rPr>
      </w:pPr>
      <w:r>
        <w:rPr>
          <w:rFonts w:eastAsia="方正仿宋_GBK"/>
          <w:sz w:val="32"/>
          <w:szCs w:val="32"/>
        </w:rPr>
        <w:t>区地指下设办公室（以下简称“区地指办”）在区应急局，承担指挥部日常工作。区地指办主任由区应急局分管负责人担任。</w:t>
      </w:r>
    </w:p>
    <w:p>
      <w:pPr>
        <w:adjustRightInd w:val="0"/>
        <w:snapToGrid w:val="0"/>
        <w:spacing w:line="560" w:lineRule="exact"/>
        <w:ind w:firstLine="640" w:firstLineChars="200"/>
        <w:outlineLvl w:val="2"/>
        <w:rPr>
          <w:rFonts w:eastAsia="方正仿宋_GBK"/>
          <w:kern w:val="0"/>
          <w:sz w:val="32"/>
          <w:szCs w:val="32"/>
        </w:rPr>
      </w:pPr>
      <w:r>
        <w:rPr>
          <w:rFonts w:eastAsia="方正仿宋_GBK"/>
          <w:kern w:val="0"/>
          <w:sz w:val="32"/>
          <w:szCs w:val="32"/>
        </w:rPr>
        <w:t>2.1.2 区地指主要职责</w:t>
      </w:r>
    </w:p>
    <w:p>
      <w:pPr>
        <w:adjustRightInd w:val="0"/>
        <w:snapToGrid w:val="0"/>
        <w:spacing w:line="560" w:lineRule="exact"/>
        <w:ind w:firstLine="640" w:firstLineChars="200"/>
        <w:rPr>
          <w:rFonts w:eastAsia="方正仿宋_GBK"/>
          <w:sz w:val="32"/>
          <w:szCs w:val="32"/>
        </w:rPr>
      </w:pPr>
      <w:r>
        <w:rPr>
          <w:rFonts w:eastAsia="方正仿宋_GBK"/>
          <w:sz w:val="32"/>
          <w:szCs w:val="32"/>
        </w:rPr>
        <w:t>（1）贯彻落实上级关于地质灾害防治救援工作的决策部署和区委、区政府工作要求；</w:t>
      </w:r>
    </w:p>
    <w:p>
      <w:pPr>
        <w:adjustRightInd w:val="0"/>
        <w:snapToGrid w:val="0"/>
        <w:spacing w:line="560" w:lineRule="exact"/>
        <w:ind w:firstLine="640" w:firstLineChars="200"/>
        <w:rPr>
          <w:rFonts w:eastAsia="方正仿宋_GBK"/>
          <w:sz w:val="32"/>
          <w:szCs w:val="32"/>
        </w:rPr>
      </w:pPr>
      <w:r>
        <w:rPr>
          <w:rFonts w:eastAsia="方正仿宋_GBK"/>
          <w:sz w:val="32"/>
          <w:szCs w:val="32"/>
        </w:rPr>
        <w:t>（2）指导和检查全区地质灾害防治、应急准备和应急体系建设；</w:t>
      </w:r>
    </w:p>
    <w:p>
      <w:pPr>
        <w:adjustRightInd w:val="0"/>
        <w:snapToGrid w:val="0"/>
        <w:spacing w:line="560" w:lineRule="exact"/>
        <w:ind w:firstLine="640" w:firstLineChars="200"/>
        <w:rPr>
          <w:rFonts w:eastAsia="方正仿宋_GBK"/>
          <w:sz w:val="32"/>
          <w:szCs w:val="32"/>
        </w:rPr>
      </w:pPr>
      <w:r>
        <w:rPr>
          <w:rFonts w:eastAsia="方正仿宋_GBK"/>
          <w:sz w:val="32"/>
          <w:szCs w:val="32"/>
        </w:rPr>
        <w:t>（3）建立完善信息共享、协作联动等工作机制；</w:t>
      </w:r>
    </w:p>
    <w:p>
      <w:pPr>
        <w:adjustRightInd w:val="0"/>
        <w:snapToGrid w:val="0"/>
        <w:spacing w:line="560" w:lineRule="exact"/>
        <w:ind w:firstLine="640" w:firstLineChars="200"/>
        <w:rPr>
          <w:rFonts w:eastAsia="方正仿宋_GBK"/>
          <w:sz w:val="32"/>
          <w:szCs w:val="32"/>
        </w:rPr>
      </w:pPr>
      <w:r>
        <w:rPr>
          <w:rFonts w:eastAsia="方正仿宋_GBK"/>
          <w:sz w:val="32"/>
          <w:szCs w:val="32"/>
        </w:rPr>
        <w:t>（4）发布突发地质灾害灾情（险情）信息，启动</w:t>
      </w:r>
      <w:r>
        <w:rPr>
          <w:rFonts w:eastAsia="方正仿宋_GBK"/>
          <w:color w:val="000000"/>
          <w:sz w:val="32"/>
          <w:szCs w:val="32"/>
        </w:rPr>
        <w:t>Ⅲ级、Ⅳ级地质灾害</w:t>
      </w:r>
      <w:r>
        <w:rPr>
          <w:rFonts w:eastAsia="方正仿宋_GBK"/>
          <w:sz w:val="32"/>
          <w:szCs w:val="32"/>
        </w:rPr>
        <w:t>应急响应，研究制定应急处置措施；</w:t>
      </w:r>
    </w:p>
    <w:p>
      <w:pPr>
        <w:adjustRightInd w:val="0"/>
        <w:snapToGrid w:val="0"/>
        <w:spacing w:line="560" w:lineRule="exact"/>
        <w:ind w:firstLine="640" w:firstLineChars="200"/>
        <w:rPr>
          <w:rFonts w:eastAsia="方正仿宋_GBK"/>
          <w:sz w:val="32"/>
          <w:szCs w:val="32"/>
        </w:rPr>
      </w:pPr>
      <w:r>
        <w:rPr>
          <w:rFonts w:eastAsia="方正仿宋_GBK"/>
          <w:sz w:val="32"/>
          <w:szCs w:val="32"/>
        </w:rPr>
        <w:t>（5）组织、指挥、协调各级抢险救援力量，做好地质灾害应急救援工作；</w:t>
      </w:r>
    </w:p>
    <w:p>
      <w:pPr>
        <w:adjustRightInd w:val="0"/>
        <w:snapToGrid w:val="0"/>
        <w:spacing w:line="560" w:lineRule="exact"/>
        <w:ind w:firstLine="640" w:firstLineChars="200"/>
        <w:rPr>
          <w:rFonts w:eastAsia="方正仿宋_GBK"/>
          <w:sz w:val="32"/>
          <w:szCs w:val="32"/>
        </w:rPr>
      </w:pPr>
      <w:r>
        <w:rPr>
          <w:rFonts w:eastAsia="方正仿宋_GBK"/>
          <w:sz w:val="32"/>
          <w:szCs w:val="32"/>
        </w:rPr>
        <w:t>（6）指导协调区级有关部门和有关镇乡（街道）开展灾后恢复与重建工作</w:t>
      </w:r>
      <w:r>
        <w:rPr>
          <w:rFonts w:eastAsia="方正仿宋_GBK"/>
          <w:color w:val="000000"/>
          <w:sz w:val="32"/>
          <w:szCs w:val="32"/>
        </w:rPr>
        <w:t>；</w:t>
      </w:r>
    </w:p>
    <w:p>
      <w:pPr>
        <w:adjustRightInd w:val="0"/>
        <w:snapToGrid w:val="0"/>
        <w:spacing w:line="560" w:lineRule="exact"/>
        <w:ind w:firstLine="640" w:firstLineChars="200"/>
        <w:rPr>
          <w:rFonts w:eastAsia="方正仿宋_GBK"/>
          <w:sz w:val="32"/>
          <w:szCs w:val="32"/>
        </w:rPr>
      </w:pPr>
      <w:r>
        <w:rPr>
          <w:rFonts w:eastAsia="方正仿宋_GBK"/>
          <w:sz w:val="32"/>
          <w:szCs w:val="32"/>
        </w:rPr>
        <w:t>（7）统筹全区地质灾害防治、应急救援工作，向区政府和市地指报告。</w:t>
      </w:r>
    </w:p>
    <w:p>
      <w:pPr>
        <w:adjustRightInd w:val="0"/>
        <w:snapToGrid w:val="0"/>
        <w:spacing w:line="560" w:lineRule="exact"/>
        <w:ind w:firstLine="640" w:firstLineChars="200"/>
        <w:outlineLvl w:val="2"/>
        <w:rPr>
          <w:rFonts w:eastAsia="方正仿宋_GBK"/>
          <w:kern w:val="0"/>
          <w:sz w:val="32"/>
          <w:szCs w:val="32"/>
        </w:rPr>
      </w:pPr>
      <w:r>
        <w:rPr>
          <w:rFonts w:eastAsia="方正仿宋_GBK"/>
          <w:kern w:val="0"/>
          <w:sz w:val="32"/>
          <w:szCs w:val="32"/>
        </w:rPr>
        <w:t>2.1.3 区地指成员及主要职责</w:t>
      </w:r>
    </w:p>
    <w:p>
      <w:pPr>
        <w:adjustRightInd w:val="0"/>
        <w:snapToGrid w:val="0"/>
        <w:spacing w:line="560" w:lineRule="exact"/>
        <w:ind w:firstLine="640" w:firstLineChars="200"/>
        <w:rPr>
          <w:rFonts w:eastAsia="方正仿宋_GBK"/>
          <w:color w:val="000000"/>
          <w:sz w:val="32"/>
          <w:szCs w:val="32"/>
        </w:rPr>
      </w:pPr>
      <w:r>
        <w:rPr>
          <w:rFonts w:eastAsia="方正仿宋_GBK"/>
          <w:color w:val="000000"/>
          <w:sz w:val="32"/>
          <w:szCs w:val="32"/>
        </w:rPr>
        <w:t>区地指成员单位及主要职责详见附</w:t>
      </w:r>
      <w:r>
        <w:rPr>
          <w:rFonts w:eastAsia="方正仿宋_GBK"/>
          <w:spacing w:val="-4"/>
          <w:kern w:val="0"/>
          <w:sz w:val="32"/>
          <w:szCs w:val="32"/>
        </w:rPr>
        <w:t>录</w:t>
      </w:r>
      <w:r>
        <w:rPr>
          <w:rFonts w:eastAsia="方正仿宋_GBK"/>
          <w:color w:val="000000"/>
          <w:sz w:val="32"/>
          <w:szCs w:val="32"/>
        </w:rPr>
        <w:t>1。</w:t>
      </w:r>
    </w:p>
    <w:p>
      <w:pPr>
        <w:pStyle w:val="23"/>
        <w:adjustRightInd w:val="0"/>
        <w:snapToGrid w:val="0"/>
        <w:spacing w:before="0" w:after="0" w:line="560" w:lineRule="exact"/>
        <w:ind w:firstLine="640" w:firstLineChars="200"/>
        <w:jc w:val="both"/>
        <w:rPr>
          <w:rFonts w:ascii="Times New Roman" w:hAnsi="Times New Roman" w:eastAsia="方正楷体_GBK"/>
          <w:kern w:val="0"/>
          <w:lang w:val="zh-CN"/>
        </w:rPr>
      </w:pPr>
      <w:bookmarkStart w:id="16" w:name="_Toc26918"/>
      <w:bookmarkStart w:id="17" w:name="_Toc945"/>
      <w:r>
        <w:rPr>
          <w:rFonts w:ascii="Times New Roman" w:hAnsi="Times New Roman" w:eastAsia="方正楷体_GBK"/>
          <w:kern w:val="0"/>
          <w:lang w:val="zh-CN"/>
        </w:rPr>
        <w:t>2.2区地指办主要职责</w:t>
      </w:r>
      <w:bookmarkEnd w:id="16"/>
      <w:bookmarkEnd w:id="17"/>
    </w:p>
    <w:p>
      <w:pPr>
        <w:adjustRightInd w:val="0"/>
        <w:snapToGrid w:val="0"/>
        <w:spacing w:line="560" w:lineRule="exact"/>
        <w:ind w:firstLine="640" w:firstLineChars="200"/>
        <w:rPr>
          <w:rFonts w:eastAsia="方正仿宋_GBK"/>
          <w:sz w:val="32"/>
          <w:szCs w:val="32"/>
        </w:rPr>
      </w:pPr>
      <w:r>
        <w:rPr>
          <w:rFonts w:eastAsia="方正仿宋_GBK"/>
          <w:sz w:val="32"/>
          <w:szCs w:val="32"/>
        </w:rPr>
        <w:t>（1）承担区地指日常工作；督促、指导各镇乡（街道）和区地指各成员单位贯彻落实市委、市政府关于地质灾害防治救援工作的决策部署和区委、区政府工作要</w:t>
      </w:r>
      <w:r>
        <w:rPr>
          <w:rFonts w:eastAsia="方正仿宋_GBK"/>
          <w:color w:val="000000"/>
          <w:sz w:val="32"/>
          <w:szCs w:val="32"/>
        </w:rPr>
        <w:t>求</w:t>
      </w:r>
      <w:r>
        <w:rPr>
          <w:rFonts w:eastAsia="方正仿宋_GBK"/>
          <w:sz w:val="32"/>
          <w:szCs w:val="32"/>
        </w:rPr>
        <w:t>；</w:t>
      </w:r>
    </w:p>
    <w:p>
      <w:pPr>
        <w:adjustRightInd w:val="0"/>
        <w:snapToGrid w:val="0"/>
        <w:spacing w:line="560" w:lineRule="exact"/>
        <w:ind w:firstLine="640" w:firstLineChars="200"/>
        <w:rPr>
          <w:rFonts w:eastAsia="方正仿宋_GBK"/>
          <w:sz w:val="32"/>
          <w:szCs w:val="32"/>
        </w:rPr>
      </w:pPr>
      <w:r>
        <w:rPr>
          <w:rFonts w:eastAsia="方正仿宋_GBK"/>
          <w:sz w:val="32"/>
          <w:szCs w:val="32"/>
        </w:rPr>
        <w:t>（2）负责统筹协调制定地质灾害防灾减灾规划，编制区突发地质灾害应急预案；</w:t>
      </w:r>
    </w:p>
    <w:p>
      <w:pPr>
        <w:adjustRightInd w:val="0"/>
        <w:snapToGrid w:val="0"/>
        <w:spacing w:line="560" w:lineRule="exact"/>
        <w:ind w:firstLine="640" w:firstLineChars="200"/>
        <w:rPr>
          <w:rFonts w:eastAsia="方正仿宋_GBK"/>
          <w:sz w:val="32"/>
          <w:szCs w:val="32"/>
        </w:rPr>
      </w:pPr>
      <w:r>
        <w:rPr>
          <w:rFonts w:eastAsia="方正仿宋_GBK"/>
          <w:sz w:val="32"/>
          <w:szCs w:val="32"/>
        </w:rPr>
        <w:t>（3）负责组织地质灾害知识与法律法规、政策的宣传；</w:t>
      </w:r>
    </w:p>
    <w:p>
      <w:pPr>
        <w:adjustRightInd w:val="0"/>
        <w:snapToGrid w:val="0"/>
        <w:spacing w:line="560" w:lineRule="exact"/>
        <w:ind w:firstLine="640" w:firstLineChars="200"/>
        <w:rPr>
          <w:rFonts w:eastAsia="方正仿宋_GBK"/>
          <w:sz w:val="32"/>
          <w:szCs w:val="32"/>
        </w:rPr>
      </w:pPr>
      <w:r>
        <w:rPr>
          <w:rFonts w:eastAsia="方正仿宋_GBK"/>
          <w:sz w:val="32"/>
          <w:szCs w:val="32"/>
        </w:rPr>
        <w:t>（4）负责组织开展地质灾害突发事件调查与评估；</w:t>
      </w:r>
    </w:p>
    <w:p>
      <w:pPr>
        <w:adjustRightInd w:val="0"/>
        <w:snapToGrid w:val="0"/>
        <w:spacing w:line="560" w:lineRule="exact"/>
        <w:ind w:firstLine="640" w:firstLineChars="200"/>
        <w:rPr>
          <w:rFonts w:eastAsia="方正仿宋_GBK"/>
          <w:sz w:val="32"/>
          <w:szCs w:val="32"/>
        </w:rPr>
      </w:pPr>
      <w:r>
        <w:rPr>
          <w:rFonts w:eastAsia="方正仿宋_GBK"/>
          <w:sz w:val="32"/>
          <w:szCs w:val="32"/>
        </w:rPr>
        <w:t>（5）收集、掌握地质灾害发生、发展、应急处置和灾后重建情况，向区地指报告。</w:t>
      </w:r>
    </w:p>
    <w:p>
      <w:pPr>
        <w:pStyle w:val="23"/>
        <w:adjustRightInd w:val="0"/>
        <w:snapToGrid w:val="0"/>
        <w:spacing w:before="0" w:after="0" w:line="560" w:lineRule="exact"/>
        <w:ind w:firstLine="640" w:firstLineChars="200"/>
        <w:jc w:val="both"/>
        <w:rPr>
          <w:rFonts w:ascii="Times New Roman" w:hAnsi="Times New Roman" w:eastAsia="方正楷体_GBK"/>
          <w:kern w:val="0"/>
          <w:lang w:val="zh-CN"/>
        </w:rPr>
      </w:pPr>
      <w:bookmarkStart w:id="18" w:name="_Toc1692"/>
      <w:bookmarkStart w:id="19" w:name="_Toc11450"/>
      <w:r>
        <w:rPr>
          <w:rFonts w:ascii="Times New Roman" w:hAnsi="Times New Roman" w:eastAsia="方正楷体_GBK"/>
          <w:kern w:val="0"/>
          <w:lang w:val="zh-CN"/>
        </w:rPr>
        <w:t>2.3现场指挥机构及职责</w:t>
      </w:r>
      <w:bookmarkEnd w:id="18"/>
      <w:bookmarkEnd w:id="19"/>
    </w:p>
    <w:p>
      <w:pPr>
        <w:adjustRightInd w:val="0"/>
        <w:snapToGrid w:val="0"/>
        <w:spacing w:line="560" w:lineRule="exact"/>
        <w:ind w:firstLine="640" w:firstLineChars="200"/>
        <w:outlineLvl w:val="2"/>
        <w:rPr>
          <w:rFonts w:eastAsia="方正仿宋_GBK"/>
          <w:kern w:val="0"/>
          <w:sz w:val="32"/>
          <w:szCs w:val="32"/>
        </w:rPr>
      </w:pPr>
      <w:r>
        <w:rPr>
          <w:rFonts w:eastAsia="方正仿宋_GBK"/>
          <w:kern w:val="0"/>
          <w:sz w:val="32"/>
          <w:szCs w:val="32"/>
        </w:rPr>
        <w:t>2.3.1现场指挥部</w:t>
      </w:r>
    </w:p>
    <w:p>
      <w:pPr>
        <w:adjustRightInd w:val="0"/>
        <w:snapToGrid w:val="0"/>
        <w:spacing w:line="560" w:lineRule="exact"/>
        <w:ind w:firstLine="640" w:firstLineChars="200"/>
        <w:rPr>
          <w:rFonts w:eastAsia="方正仿宋_GBK"/>
          <w:color w:val="C00000"/>
          <w:sz w:val="32"/>
          <w:szCs w:val="32"/>
        </w:rPr>
      </w:pPr>
      <w:r>
        <w:rPr>
          <w:rFonts w:eastAsia="方正仿宋_GBK"/>
          <w:sz w:val="32"/>
          <w:szCs w:val="32"/>
        </w:rPr>
        <w:t>当发生突发地质灾害灾情（险情）时，区地指根据实际情况在受灾地区设立现场指挥部。</w:t>
      </w:r>
      <w:r>
        <w:rPr>
          <w:rFonts w:eastAsia="方正仿宋_GBK"/>
          <w:color w:val="000000"/>
          <w:sz w:val="32"/>
          <w:szCs w:val="32"/>
        </w:rPr>
        <w:t>按照响应级别，Ⅰ级、Ⅱ级灾（险）情现场指挥部指挥长由市应急总指挥部或市地指负责人指定，Ⅲ级、Ⅳ级灾（险）情现场指挥部指挥长由区政府负责人指定。</w:t>
      </w:r>
    </w:p>
    <w:p>
      <w:pPr>
        <w:adjustRightInd w:val="0"/>
        <w:snapToGrid w:val="0"/>
        <w:spacing w:line="560" w:lineRule="exact"/>
        <w:ind w:firstLine="640" w:firstLineChars="200"/>
        <w:rPr>
          <w:rFonts w:eastAsia="方正仿宋_GBK"/>
          <w:color w:val="000000"/>
          <w:sz w:val="32"/>
          <w:szCs w:val="32"/>
        </w:rPr>
      </w:pPr>
      <w:r>
        <w:rPr>
          <w:rFonts w:eastAsia="方正仿宋_GBK"/>
          <w:color w:val="000000"/>
          <w:sz w:val="32"/>
          <w:szCs w:val="32"/>
        </w:rPr>
        <w:t>现场指挥部统一指挥和组织实施现场应急处置工作，主要承担制定和组织实施地质灾害应急救援处置方案，指挥调度应急救援力量开展应急救援，及时收集、汇总并向区地指报告事故发展态势及救援情况，落实区地指交办的其他事项等工作。</w:t>
      </w:r>
    </w:p>
    <w:p>
      <w:pPr>
        <w:adjustRightInd w:val="0"/>
        <w:snapToGrid w:val="0"/>
        <w:spacing w:line="560" w:lineRule="exact"/>
        <w:ind w:firstLine="640" w:firstLineChars="200"/>
        <w:outlineLvl w:val="2"/>
        <w:rPr>
          <w:rFonts w:eastAsia="方正仿宋_GBK"/>
          <w:kern w:val="0"/>
          <w:sz w:val="32"/>
          <w:szCs w:val="32"/>
        </w:rPr>
      </w:pPr>
      <w:r>
        <w:rPr>
          <w:rFonts w:eastAsia="方正仿宋_GBK"/>
          <w:kern w:val="0"/>
          <w:sz w:val="32"/>
          <w:szCs w:val="32"/>
        </w:rPr>
        <w:t>2.3.2现场工作组</w:t>
      </w:r>
    </w:p>
    <w:p>
      <w:pPr>
        <w:adjustRightInd w:val="0"/>
        <w:snapToGrid w:val="0"/>
        <w:spacing w:line="560" w:lineRule="exact"/>
        <w:ind w:firstLine="640" w:firstLineChars="200"/>
        <w:rPr>
          <w:rFonts w:eastAsia="方正仿宋_GBK"/>
          <w:sz w:val="32"/>
          <w:szCs w:val="32"/>
        </w:rPr>
      </w:pPr>
      <w:r>
        <w:rPr>
          <w:rFonts w:eastAsia="方正仿宋_GBK"/>
          <w:sz w:val="32"/>
          <w:szCs w:val="32"/>
        </w:rPr>
        <w:t>现场指挥部下设8个工作组，各个工作组主要职责详见附</w:t>
      </w:r>
      <w:r>
        <w:rPr>
          <w:rFonts w:eastAsia="方正仿宋_GBK"/>
          <w:spacing w:val="-4"/>
          <w:kern w:val="0"/>
          <w:sz w:val="32"/>
          <w:szCs w:val="32"/>
        </w:rPr>
        <w:t>录</w:t>
      </w:r>
      <w:r>
        <w:rPr>
          <w:rFonts w:eastAsia="方正仿宋_GBK"/>
          <w:sz w:val="32"/>
          <w:szCs w:val="32"/>
        </w:rPr>
        <w:t>2。</w:t>
      </w:r>
    </w:p>
    <w:p>
      <w:pPr>
        <w:pStyle w:val="23"/>
        <w:adjustRightInd w:val="0"/>
        <w:snapToGrid w:val="0"/>
        <w:spacing w:before="0" w:after="0" w:line="560" w:lineRule="exact"/>
        <w:ind w:firstLine="640" w:firstLineChars="200"/>
        <w:jc w:val="both"/>
        <w:rPr>
          <w:rFonts w:ascii="Times New Roman" w:hAnsi="Times New Roman" w:eastAsia="方正楷体_GBK"/>
          <w:kern w:val="0"/>
          <w:lang w:val="zh-CN"/>
        </w:rPr>
      </w:pPr>
      <w:bookmarkStart w:id="20" w:name="_Toc10788"/>
      <w:bookmarkStart w:id="21" w:name="_Toc10875"/>
      <w:r>
        <w:rPr>
          <w:rFonts w:ascii="Times New Roman" w:hAnsi="Times New Roman" w:eastAsia="方正楷体_GBK"/>
          <w:kern w:val="0"/>
          <w:lang w:val="zh-CN"/>
        </w:rPr>
        <w:t>2.4镇乡（街道）指挥机构</w:t>
      </w:r>
      <w:bookmarkEnd w:id="20"/>
      <w:bookmarkEnd w:id="21"/>
    </w:p>
    <w:p>
      <w:pPr>
        <w:spacing w:line="560" w:lineRule="exact"/>
        <w:ind w:firstLine="640" w:firstLineChars="200"/>
        <w:rPr>
          <w:rFonts w:eastAsia="方正仿宋_GBK"/>
          <w:sz w:val="32"/>
          <w:szCs w:val="32"/>
        </w:rPr>
      </w:pPr>
      <w:r>
        <w:rPr>
          <w:rFonts w:eastAsia="方正仿宋_GBK"/>
          <w:sz w:val="32"/>
          <w:szCs w:val="32"/>
        </w:rPr>
        <w:t>各镇乡（街道）成立地质灾害抢险救灾指挥机构，由镇乡（街道）主要领导任指挥长，负责领导、指挥和协调本行政区域的地质灾害抢险救灾工作；组织实施重大地灾先期应急处置；贯彻落实区地指指令，配合和协助区地指现场指挥部的应急救援行动。</w:t>
      </w:r>
    </w:p>
    <w:p>
      <w:pPr>
        <w:pStyle w:val="3"/>
        <w:adjustRightInd w:val="0"/>
        <w:spacing w:line="560" w:lineRule="exact"/>
        <w:ind w:firstLine="640" w:firstLineChars="200"/>
        <w:rPr>
          <w:rFonts w:ascii="Times New Roman" w:hAnsi="Times New Roman" w:eastAsia="方正黑体_GBK"/>
          <w:b w:val="0"/>
          <w:sz w:val="32"/>
        </w:rPr>
      </w:pPr>
      <w:bookmarkStart w:id="22" w:name="_Toc23658"/>
      <w:bookmarkStart w:id="23" w:name="_Toc4585"/>
      <w:r>
        <w:rPr>
          <w:rFonts w:ascii="Times New Roman" w:hAnsi="Times New Roman" w:eastAsia="方正黑体_GBK"/>
          <w:b w:val="0"/>
          <w:sz w:val="32"/>
        </w:rPr>
        <w:t>3 预防、监测、预警</w:t>
      </w:r>
      <w:bookmarkEnd w:id="22"/>
      <w:bookmarkEnd w:id="23"/>
    </w:p>
    <w:p>
      <w:pPr>
        <w:pStyle w:val="23"/>
        <w:adjustRightInd w:val="0"/>
        <w:snapToGrid w:val="0"/>
        <w:spacing w:before="0" w:after="0" w:line="560" w:lineRule="exact"/>
        <w:ind w:firstLine="640" w:firstLineChars="200"/>
        <w:jc w:val="both"/>
        <w:rPr>
          <w:rFonts w:ascii="Times New Roman" w:hAnsi="Times New Roman" w:eastAsia="方正楷体_GBK"/>
          <w:kern w:val="0"/>
          <w:lang w:val="zh-CN"/>
        </w:rPr>
      </w:pPr>
      <w:bookmarkStart w:id="24" w:name="_Toc32058"/>
      <w:bookmarkStart w:id="25" w:name="_Toc6062"/>
      <w:r>
        <w:rPr>
          <w:rFonts w:ascii="Times New Roman" w:hAnsi="Times New Roman" w:eastAsia="方正楷体_GBK"/>
          <w:kern w:val="0"/>
          <w:lang w:val="zh-CN"/>
        </w:rPr>
        <w:t>3.1预防</w:t>
      </w:r>
      <w:bookmarkEnd w:id="24"/>
      <w:bookmarkEnd w:id="25"/>
    </w:p>
    <w:p>
      <w:pPr>
        <w:adjustRightInd w:val="0"/>
        <w:snapToGrid w:val="0"/>
        <w:spacing w:line="560" w:lineRule="exact"/>
        <w:ind w:firstLine="640" w:firstLineChars="200"/>
        <w:outlineLvl w:val="2"/>
        <w:rPr>
          <w:rFonts w:eastAsia="方正仿宋_GBK"/>
          <w:sz w:val="32"/>
          <w:szCs w:val="32"/>
        </w:rPr>
      </w:pPr>
      <w:r>
        <w:rPr>
          <w:rFonts w:eastAsia="方正仿宋_GBK"/>
          <w:kern w:val="0"/>
          <w:sz w:val="32"/>
          <w:szCs w:val="32"/>
        </w:rPr>
        <w:t>3.1.1落实</w:t>
      </w:r>
      <w:r>
        <w:rPr>
          <w:rFonts w:eastAsia="方正仿宋_GBK"/>
          <w:sz w:val="32"/>
          <w:szCs w:val="32"/>
        </w:rPr>
        <w:t>地质灾害防治责任</w:t>
      </w:r>
    </w:p>
    <w:p>
      <w:pPr>
        <w:adjustRightInd w:val="0"/>
        <w:snapToGrid w:val="0"/>
        <w:spacing w:line="560" w:lineRule="exact"/>
        <w:ind w:firstLine="640" w:firstLineChars="200"/>
        <w:rPr>
          <w:rFonts w:eastAsia="方正仿宋_GBK"/>
          <w:sz w:val="32"/>
          <w:szCs w:val="32"/>
        </w:rPr>
      </w:pPr>
      <w:r>
        <w:rPr>
          <w:rFonts w:eastAsia="方正仿宋_GBK"/>
          <w:sz w:val="32"/>
          <w:szCs w:val="32"/>
        </w:rPr>
        <w:t>健全“党委政府领导、规划自然资源局牵头、部门协作、基层组织、全民参与”的地质灾害共同防治责任机制。按照“谁主管、谁负责”的原则及职责分工，做好相关领域和主管范围内的地质灾害防治工作。因工程建设等人为活动引发的地质灾害，按照“谁引发、谁治理”原则落实责任主体，督促落实防治措施。</w:t>
      </w:r>
    </w:p>
    <w:p>
      <w:pPr>
        <w:pStyle w:val="2"/>
        <w:spacing w:line="560" w:lineRule="exact"/>
        <w:ind w:firstLine="640" w:firstLineChars="200"/>
        <w:rPr>
          <w:rFonts w:hint="default" w:ascii="Times New Roman"/>
        </w:rPr>
      </w:pPr>
      <w:r>
        <w:rPr>
          <w:rFonts w:hint="default" w:ascii="Times New Roman" w:eastAsia="方正仿宋_GBK"/>
          <w:sz w:val="32"/>
          <w:szCs w:val="32"/>
        </w:rPr>
        <w:t>区规划自然资源局会同相关部门编制地质灾害防治规划，制定地质灾害年度防治方案，报区政府批准后公布并实施。</w:t>
      </w:r>
    </w:p>
    <w:p>
      <w:pPr>
        <w:adjustRightInd w:val="0"/>
        <w:snapToGrid w:val="0"/>
        <w:spacing w:line="560" w:lineRule="exact"/>
        <w:ind w:firstLine="640" w:firstLineChars="200"/>
        <w:outlineLvl w:val="2"/>
        <w:rPr>
          <w:rFonts w:eastAsia="方正仿宋_GBK"/>
          <w:kern w:val="0"/>
          <w:sz w:val="32"/>
          <w:szCs w:val="32"/>
        </w:rPr>
      </w:pPr>
      <w:r>
        <w:rPr>
          <w:rFonts w:eastAsia="方正仿宋_GBK"/>
          <w:kern w:val="0"/>
          <w:sz w:val="32"/>
          <w:szCs w:val="32"/>
        </w:rPr>
        <w:t>3.1.2强化隐患排查与风险防控</w:t>
      </w:r>
    </w:p>
    <w:p>
      <w:pPr>
        <w:pStyle w:val="2"/>
        <w:spacing w:line="560" w:lineRule="exact"/>
        <w:ind w:firstLine="640" w:firstLineChars="200"/>
        <w:rPr>
          <w:rFonts w:hint="default" w:ascii="Times New Roman" w:eastAsia="方正仿宋_GBK"/>
          <w:sz w:val="32"/>
          <w:szCs w:val="32"/>
        </w:rPr>
      </w:pPr>
      <w:r>
        <w:rPr>
          <w:rFonts w:hint="default" w:ascii="Times New Roman" w:eastAsia="方正仿宋_GBK"/>
          <w:sz w:val="32"/>
          <w:szCs w:val="32"/>
        </w:rPr>
        <w:t>各镇乡（街道）、区级各行业主管部门要建立隐患排查制度，特别要重点加强人员密集区、重要基础设施周边、重要交通干线、农房周边、旅游景区等区域排查，根据排查结果，确定地质灾害隐患点、划定地质灾害易发区，建立台帐，落实防灾责任向社会公布。</w:t>
      </w:r>
    </w:p>
    <w:p>
      <w:pPr>
        <w:pStyle w:val="2"/>
        <w:spacing w:line="560" w:lineRule="exact"/>
        <w:ind w:firstLine="640" w:firstLineChars="200"/>
        <w:rPr>
          <w:rFonts w:hint="default" w:ascii="Times New Roman" w:eastAsia="方正仿宋_GBK"/>
          <w:kern w:val="2"/>
          <w:sz w:val="32"/>
          <w:szCs w:val="32"/>
        </w:rPr>
      </w:pPr>
      <w:r>
        <w:rPr>
          <w:rFonts w:hint="default" w:ascii="Times New Roman" w:eastAsia="方正仿宋_GBK"/>
          <w:kern w:val="2"/>
          <w:sz w:val="32"/>
          <w:szCs w:val="32"/>
        </w:rPr>
        <w:t>开展地质灾害风险调查评估工作，科学划定地质灾害风险等级，建立地质灾害风险台账，分类分级管理地质灾害风险。</w:t>
      </w:r>
      <w:r>
        <w:rPr>
          <w:rFonts w:hint="default" w:ascii="Times New Roman" w:eastAsia="方正仿宋_GBK"/>
          <w:sz w:val="32"/>
          <w:szCs w:val="32"/>
        </w:rPr>
        <w:t>区规划自然资源局牵头对重大风险隐患点进行</w:t>
      </w:r>
      <w:r>
        <w:rPr>
          <w:rFonts w:hint="default" w:ascii="Times New Roman" w:eastAsia="方正仿宋_GBK"/>
          <w:kern w:val="2"/>
          <w:sz w:val="32"/>
          <w:szCs w:val="32"/>
        </w:rPr>
        <w:t>勘察论证，开展地质灾害综合防治，实施综合治理和搬迁避让。</w:t>
      </w:r>
    </w:p>
    <w:p>
      <w:pPr>
        <w:pStyle w:val="2"/>
        <w:spacing w:line="560" w:lineRule="exact"/>
        <w:ind w:firstLine="640" w:firstLineChars="200"/>
        <w:rPr>
          <w:rFonts w:hint="default" w:ascii="Times New Roman" w:eastAsia="方正仿宋_GBK"/>
          <w:sz w:val="32"/>
          <w:szCs w:val="32"/>
        </w:rPr>
      </w:pPr>
      <w:r>
        <w:rPr>
          <w:rFonts w:hint="default" w:ascii="Times New Roman" w:eastAsia="方正仿宋_GBK"/>
          <w:sz w:val="32"/>
          <w:szCs w:val="32"/>
        </w:rPr>
        <w:t>加强地质灾害易发区内工程建设活动监管，按照国家和本市有关规定对工程建设项目进行地质灾害危险性评估，严格落实工程建设活动地质灾害治理工程“三同时”制度。</w:t>
      </w:r>
    </w:p>
    <w:p>
      <w:pPr>
        <w:adjustRightInd w:val="0"/>
        <w:snapToGrid w:val="0"/>
        <w:spacing w:line="560" w:lineRule="exact"/>
        <w:ind w:firstLine="640" w:firstLineChars="200"/>
        <w:outlineLvl w:val="2"/>
        <w:rPr>
          <w:rFonts w:eastAsia="方正仿宋_GBK"/>
          <w:kern w:val="0"/>
          <w:sz w:val="32"/>
          <w:szCs w:val="32"/>
        </w:rPr>
      </w:pPr>
      <w:bookmarkStart w:id="26" w:name="_Toc29351"/>
      <w:bookmarkStart w:id="27" w:name="_Toc55396549"/>
      <w:bookmarkStart w:id="28" w:name="_Toc5202"/>
      <w:bookmarkStart w:id="29" w:name="_Toc21769"/>
      <w:bookmarkStart w:id="30" w:name="_Toc26040"/>
      <w:bookmarkStart w:id="31" w:name="_Toc38011417"/>
      <w:r>
        <w:rPr>
          <w:rFonts w:eastAsia="方正仿宋_GBK"/>
          <w:kern w:val="0"/>
          <w:sz w:val="32"/>
          <w:szCs w:val="32"/>
        </w:rPr>
        <w:t>3.1.3健全地质灾害监测体系</w:t>
      </w:r>
      <w:bookmarkEnd w:id="26"/>
    </w:p>
    <w:p>
      <w:pPr>
        <w:adjustRightInd w:val="0"/>
        <w:snapToGrid w:val="0"/>
        <w:spacing w:line="560" w:lineRule="exact"/>
        <w:ind w:firstLine="624" w:firstLineChars="200"/>
        <w:rPr>
          <w:rFonts w:eastAsia="方正仿宋_GBK"/>
          <w:spacing w:val="-4"/>
          <w:kern w:val="0"/>
          <w:sz w:val="32"/>
          <w:szCs w:val="32"/>
        </w:rPr>
      </w:pPr>
      <w:r>
        <w:rPr>
          <w:rFonts w:eastAsia="方正仿宋_GBK"/>
          <w:spacing w:val="-4"/>
          <w:kern w:val="0"/>
          <w:sz w:val="32"/>
          <w:szCs w:val="32"/>
        </w:rPr>
        <w:t>区规划自然资源局组织镇乡（街道）进一步夯实群专结合的“四重”网格监测预警体系建设，开展群测群防监测预警工作，</w:t>
      </w:r>
      <w:r>
        <w:rPr>
          <w:rFonts w:eastAsia="方正仿宋_GBK"/>
          <w:spacing w:val="-4"/>
          <w:sz w:val="32"/>
          <w:szCs w:val="32"/>
        </w:rPr>
        <w:t>并制订单点防灾预案</w:t>
      </w:r>
      <w:r>
        <w:rPr>
          <w:rFonts w:eastAsia="方正仿宋_GBK"/>
          <w:spacing w:val="-4"/>
          <w:kern w:val="0"/>
          <w:sz w:val="32"/>
          <w:szCs w:val="32"/>
        </w:rPr>
        <w:t>；</w:t>
      </w:r>
      <w:r>
        <w:rPr>
          <w:rFonts w:eastAsia="方正仿宋_GBK"/>
          <w:spacing w:val="-4"/>
          <w:sz w:val="32"/>
          <w:szCs w:val="32"/>
        </w:rPr>
        <w:t>对重大地质灾害隐患点开展专业监测预警工作；地质灾害高易发区和重要天气时段落实专人开展巡查。</w:t>
      </w:r>
    </w:p>
    <w:p>
      <w:pPr>
        <w:pStyle w:val="23"/>
        <w:adjustRightInd w:val="0"/>
        <w:snapToGrid w:val="0"/>
        <w:spacing w:before="0" w:after="0" w:line="560" w:lineRule="exact"/>
        <w:ind w:firstLine="640" w:firstLineChars="200"/>
        <w:jc w:val="both"/>
        <w:rPr>
          <w:rFonts w:ascii="Times New Roman" w:hAnsi="Times New Roman" w:eastAsia="方正楷体_GBK"/>
        </w:rPr>
      </w:pPr>
      <w:bookmarkStart w:id="32" w:name="_Toc3662"/>
      <w:bookmarkStart w:id="33" w:name="_Toc31634"/>
      <w:r>
        <w:rPr>
          <w:rFonts w:ascii="Times New Roman" w:hAnsi="Times New Roman" w:eastAsia="方正楷体_GBK"/>
        </w:rPr>
        <w:t>3.2预警预报</w:t>
      </w:r>
      <w:bookmarkEnd w:id="27"/>
      <w:bookmarkEnd w:id="32"/>
      <w:bookmarkEnd w:id="33"/>
    </w:p>
    <w:p>
      <w:pPr>
        <w:adjustRightInd w:val="0"/>
        <w:snapToGrid w:val="0"/>
        <w:spacing w:line="560" w:lineRule="exact"/>
        <w:ind w:firstLine="640" w:firstLineChars="200"/>
        <w:outlineLvl w:val="2"/>
        <w:rPr>
          <w:rFonts w:eastAsia="方正仿宋_GBK"/>
          <w:kern w:val="0"/>
          <w:sz w:val="32"/>
          <w:szCs w:val="32"/>
        </w:rPr>
      </w:pPr>
      <w:bookmarkStart w:id="34" w:name="_Toc14137"/>
      <w:r>
        <w:rPr>
          <w:rFonts w:eastAsia="方正仿宋_GBK"/>
          <w:kern w:val="0"/>
          <w:sz w:val="32"/>
          <w:szCs w:val="32"/>
        </w:rPr>
        <w:t>3.2.1预警预报</w:t>
      </w:r>
      <w:bookmarkEnd w:id="34"/>
      <w:r>
        <w:rPr>
          <w:rFonts w:eastAsia="方正仿宋_GBK"/>
          <w:kern w:val="0"/>
          <w:sz w:val="32"/>
          <w:szCs w:val="32"/>
        </w:rPr>
        <w:t>分类</w:t>
      </w:r>
    </w:p>
    <w:p>
      <w:pPr>
        <w:ind w:firstLine="624" w:firstLineChars="200"/>
        <w:rPr>
          <w:rFonts w:eastAsia="仿宋_GB2312"/>
          <w:sz w:val="30"/>
          <w:szCs w:val="30"/>
        </w:rPr>
      </w:pPr>
      <w:r>
        <w:rPr>
          <w:rFonts w:eastAsia="方正仿宋_GBK"/>
          <w:spacing w:val="-4"/>
          <w:sz w:val="32"/>
          <w:szCs w:val="32"/>
        </w:rPr>
        <w:t>地质灾害预报包括地质灾害年度预报、地质灾害气象风险预警预报（地质灾害气象预报）和地质灾害临灾预报。</w:t>
      </w:r>
    </w:p>
    <w:p>
      <w:pPr>
        <w:adjustRightInd w:val="0"/>
        <w:snapToGrid w:val="0"/>
        <w:spacing w:line="560" w:lineRule="exact"/>
        <w:ind w:firstLine="624" w:firstLineChars="200"/>
      </w:pPr>
      <w:r>
        <w:rPr>
          <w:rFonts w:eastAsia="方正仿宋_GBK"/>
          <w:spacing w:val="-4"/>
          <w:kern w:val="0"/>
          <w:sz w:val="32"/>
          <w:szCs w:val="32"/>
        </w:rPr>
        <w:t>地质灾害年度预报由区规划自然资源局会同区气象局提出，纳入年度防灾方案发布。</w:t>
      </w:r>
    </w:p>
    <w:p>
      <w:pPr>
        <w:adjustRightInd w:val="0"/>
        <w:snapToGrid w:val="0"/>
        <w:spacing w:line="560" w:lineRule="exact"/>
        <w:ind w:firstLine="624" w:firstLineChars="200"/>
        <w:rPr>
          <w:rFonts w:eastAsia="方正仿宋_GBK"/>
          <w:spacing w:val="-4"/>
          <w:kern w:val="0"/>
          <w:sz w:val="32"/>
          <w:szCs w:val="32"/>
        </w:rPr>
      </w:pPr>
      <w:r>
        <w:rPr>
          <w:rFonts w:eastAsia="方正仿宋_GBK"/>
          <w:spacing w:val="-4"/>
          <w:kern w:val="0"/>
          <w:sz w:val="32"/>
          <w:szCs w:val="32"/>
        </w:rPr>
        <w:t>地质灾害气象风险预警预报由区规划自然资源局和区气象局会商后，报请区政府或授权的部门发布（预警分级详见附录3）。主要内容包括地质灾害可能发生的时间、地点、成灾范围和影响程度。</w:t>
      </w:r>
    </w:p>
    <w:p>
      <w:pPr>
        <w:adjustRightInd w:val="0"/>
        <w:snapToGrid w:val="0"/>
        <w:spacing w:line="560" w:lineRule="exact"/>
        <w:ind w:firstLine="624" w:firstLineChars="200"/>
        <w:rPr>
          <w:rFonts w:eastAsia="仿宋_GB2312"/>
          <w:sz w:val="30"/>
          <w:szCs w:val="30"/>
        </w:rPr>
      </w:pPr>
      <w:r>
        <w:rPr>
          <w:rFonts w:eastAsia="方正仿宋_GBK"/>
          <w:spacing w:val="-4"/>
          <w:kern w:val="0"/>
          <w:sz w:val="32"/>
          <w:szCs w:val="32"/>
        </w:rPr>
        <w:t>地质灾害临灾预报由区规划自然资源局根据监测结果发布（预警分级见附录4）。主要内容包括地质灾害可能发生的时间、地点、成灾范围和影响程度等。</w:t>
      </w:r>
    </w:p>
    <w:p>
      <w:pPr>
        <w:adjustRightInd w:val="0"/>
        <w:snapToGrid w:val="0"/>
        <w:spacing w:line="560" w:lineRule="exact"/>
        <w:ind w:firstLine="640" w:firstLineChars="200"/>
        <w:outlineLvl w:val="2"/>
        <w:rPr>
          <w:rFonts w:eastAsia="方正仿宋_GBK"/>
          <w:kern w:val="0"/>
          <w:sz w:val="32"/>
          <w:szCs w:val="32"/>
        </w:rPr>
      </w:pPr>
      <w:bookmarkStart w:id="35" w:name="_Toc19372"/>
      <w:r>
        <w:rPr>
          <w:rFonts w:eastAsia="方正仿宋_GBK"/>
          <w:kern w:val="0"/>
          <w:sz w:val="32"/>
          <w:szCs w:val="32"/>
        </w:rPr>
        <w:t>3.3.2预警预报分级响应</w:t>
      </w:r>
      <w:bookmarkEnd w:id="35"/>
    </w:p>
    <w:p>
      <w:pPr>
        <w:pStyle w:val="2"/>
        <w:rPr>
          <w:rFonts w:hint="default" w:ascii="Times New Roman" w:eastAsia="方正仿宋_GBK"/>
        </w:rPr>
      </w:pPr>
      <w:r>
        <w:rPr>
          <w:rFonts w:hint="default" w:ascii="Times New Roman" w:eastAsia="方正仿宋_GBK"/>
          <w:sz w:val="32"/>
          <w:szCs w:val="32"/>
        </w:rPr>
        <w:t xml:space="preserve">    规划自然资源部门和地方政府根据风险大小、临时撤离转移受威胁人数和潜在经济损失启动相应级别预警响应（见附录3、4）。</w:t>
      </w:r>
    </w:p>
    <w:p>
      <w:pPr>
        <w:pStyle w:val="3"/>
        <w:keepNext w:val="0"/>
        <w:keepLines w:val="0"/>
        <w:adjustRightInd w:val="0"/>
        <w:spacing w:line="560" w:lineRule="exact"/>
        <w:ind w:firstLine="640" w:firstLineChars="200"/>
        <w:rPr>
          <w:rFonts w:ascii="Times New Roman" w:hAnsi="Times New Roman" w:eastAsia="方正黑体_GBK"/>
          <w:b w:val="0"/>
          <w:sz w:val="32"/>
        </w:rPr>
      </w:pPr>
      <w:bookmarkStart w:id="36" w:name="_Toc27793"/>
      <w:bookmarkStart w:id="37" w:name="_Toc28983"/>
      <w:r>
        <w:rPr>
          <w:rFonts w:ascii="Times New Roman" w:hAnsi="Times New Roman" w:eastAsia="方正黑体_GBK"/>
          <w:b w:val="0"/>
          <w:sz w:val="32"/>
        </w:rPr>
        <w:t>4灾（险）情报告</w:t>
      </w:r>
      <w:bookmarkEnd w:id="36"/>
      <w:bookmarkEnd w:id="37"/>
    </w:p>
    <w:p>
      <w:pPr>
        <w:pStyle w:val="23"/>
        <w:keepNext w:val="0"/>
        <w:keepLines w:val="0"/>
        <w:adjustRightInd w:val="0"/>
        <w:snapToGrid w:val="0"/>
        <w:spacing w:before="0" w:after="0" w:line="560" w:lineRule="exact"/>
        <w:ind w:firstLine="640" w:firstLineChars="200"/>
        <w:jc w:val="both"/>
        <w:rPr>
          <w:rFonts w:ascii="Times New Roman" w:hAnsi="Times New Roman" w:eastAsia="方正楷体_GBK"/>
          <w:kern w:val="0"/>
          <w:lang w:val="zh-CN"/>
        </w:rPr>
      </w:pPr>
      <w:bookmarkStart w:id="38" w:name="_Toc29700"/>
      <w:bookmarkStart w:id="39" w:name="_Toc23634"/>
      <w:r>
        <w:rPr>
          <w:rFonts w:ascii="Times New Roman" w:hAnsi="Times New Roman" w:eastAsia="方正楷体_GBK"/>
          <w:kern w:val="0"/>
          <w:lang w:val="zh-CN"/>
        </w:rPr>
        <w:t>4.1报警</w:t>
      </w:r>
      <w:bookmarkEnd w:id="38"/>
      <w:bookmarkEnd w:id="39"/>
    </w:p>
    <w:p>
      <w:pPr>
        <w:adjustRightInd w:val="0"/>
        <w:snapToGrid w:val="0"/>
        <w:spacing w:line="560" w:lineRule="exact"/>
        <w:ind w:firstLine="624" w:firstLineChars="200"/>
        <w:rPr>
          <w:rFonts w:eastAsia="方正仿宋_GBK"/>
          <w:spacing w:val="-4"/>
          <w:kern w:val="0"/>
          <w:sz w:val="32"/>
          <w:szCs w:val="32"/>
        </w:rPr>
      </w:pPr>
      <w:r>
        <w:rPr>
          <w:rFonts w:eastAsia="方正仿宋_GBK"/>
          <w:spacing w:val="-4"/>
          <w:kern w:val="0"/>
          <w:sz w:val="32"/>
          <w:szCs w:val="32"/>
        </w:rPr>
        <w:t>突发地质灾害灾情发生后，获悉情况的公民、法人或其他组织应立即向事发当地镇乡（街道）及区地指办、区</w:t>
      </w:r>
      <w:r>
        <w:rPr>
          <w:rFonts w:eastAsia="方正仿宋_GBK"/>
          <w:color w:val="000000"/>
          <w:spacing w:val="-4"/>
          <w:kern w:val="0"/>
          <w:sz w:val="32"/>
          <w:szCs w:val="32"/>
        </w:rPr>
        <w:t>应急局（</w:t>
      </w:r>
      <w:r>
        <w:rPr>
          <w:rFonts w:eastAsia="方正仿宋_GBK"/>
          <w:spacing w:val="-4"/>
          <w:kern w:val="0"/>
          <w:sz w:val="32"/>
          <w:szCs w:val="32"/>
        </w:rPr>
        <w:t>值班电话：58255666</w:t>
      </w:r>
      <w:r>
        <w:rPr>
          <w:rFonts w:eastAsia="方正仿宋_GBK"/>
          <w:color w:val="000000"/>
          <w:spacing w:val="-4"/>
          <w:kern w:val="0"/>
          <w:sz w:val="32"/>
          <w:szCs w:val="32"/>
        </w:rPr>
        <w:t>）</w:t>
      </w:r>
      <w:r>
        <w:rPr>
          <w:rFonts w:eastAsia="方正仿宋_GBK"/>
          <w:spacing w:val="-4"/>
          <w:kern w:val="0"/>
          <w:sz w:val="32"/>
          <w:szCs w:val="32"/>
        </w:rPr>
        <w:t>、区规划自然资源局（值班电话：58114080）或有关行业主管部门报告。</w:t>
      </w:r>
    </w:p>
    <w:p>
      <w:pPr>
        <w:pStyle w:val="23"/>
        <w:keepNext w:val="0"/>
        <w:keepLines w:val="0"/>
        <w:adjustRightInd w:val="0"/>
        <w:snapToGrid w:val="0"/>
        <w:spacing w:before="0" w:after="0" w:line="560" w:lineRule="exact"/>
        <w:ind w:firstLine="640" w:firstLineChars="200"/>
        <w:jc w:val="both"/>
        <w:rPr>
          <w:rFonts w:ascii="Times New Roman" w:hAnsi="Times New Roman" w:eastAsia="方正楷体_GBK"/>
          <w:kern w:val="0"/>
          <w:lang w:val="zh-CN"/>
        </w:rPr>
      </w:pPr>
      <w:bookmarkStart w:id="40" w:name="_Toc24372"/>
      <w:bookmarkStart w:id="41" w:name="_Toc14579"/>
      <w:r>
        <w:rPr>
          <w:rFonts w:ascii="Times New Roman" w:hAnsi="Times New Roman" w:eastAsia="方正楷体_GBK"/>
          <w:kern w:val="0"/>
          <w:lang w:val="zh-CN"/>
        </w:rPr>
        <w:t>4.2信息报告</w:t>
      </w:r>
      <w:bookmarkEnd w:id="40"/>
      <w:bookmarkEnd w:id="41"/>
    </w:p>
    <w:p>
      <w:pPr>
        <w:adjustRightInd w:val="0"/>
        <w:snapToGrid w:val="0"/>
        <w:spacing w:line="560" w:lineRule="exact"/>
        <w:ind w:firstLine="624" w:firstLineChars="200"/>
        <w:rPr>
          <w:rFonts w:eastAsia="方正仿宋_GBK"/>
          <w:spacing w:val="-4"/>
          <w:kern w:val="0"/>
          <w:sz w:val="32"/>
          <w:szCs w:val="32"/>
        </w:rPr>
      </w:pPr>
      <w:r>
        <w:rPr>
          <w:rFonts w:eastAsia="方正仿宋_GBK"/>
          <w:spacing w:val="-4"/>
          <w:kern w:val="0"/>
          <w:sz w:val="32"/>
          <w:szCs w:val="32"/>
        </w:rPr>
        <w:t>各镇乡（街道）、各有关部门应按照规定及时、准确、规范向区地指办报告地质灾害灾（险）情，</w:t>
      </w:r>
      <w:r>
        <w:rPr>
          <w:rFonts w:eastAsia="方正仿宋_GBK"/>
          <w:color w:val="000000"/>
          <w:spacing w:val="-4"/>
          <w:kern w:val="0"/>
          <w:sz w:val="32"/>
          <w:szCs w:val="32"/>
        </w:rPr>
        <w:t>20分钟内电话报告，40分钟内书面报告。</w:t>
      </w:r>
      <w:r>
        <w:rPr>
          <w:rFonts w:eastAsia="方正仿宋_GBK"/>
          <w:spacing w:val="-4"/>
          <w:kern w:val="0"/>
          <w:sz w:val="32"/>
          <w:szCs w:val="32"/>
        </w:rPr>
        <w:t>区地指办应按照规定向区地指和市地指办报告地质灾害灾（险）情速报、重要地质灾害灾（险）情（专报）信息、地质灾害灾（险）情日报。</w:t>
      </w:r>
    </w:p>
    <w:p>
      <w:pPr>
        <w:adjustRightInd w:val="0"/>
        <w:snapToGrid w:val="0"/>
        <w:spacing w:line="560" w:lineRule="exact"/>
        <w:ind w:firstLine="624" w:firstLineChars="200"/>
        <w:rPr>
          <w:rFonts w:eastAsia="方正仿宋_GBK"/>
          <w:spacing w:val="-4"/>
          <w:kern w:val="0"/>
          <w:sz w:val="32"/>
          <w:szCs w:val="32"/>
        </w:rPr>
      </w:pPr>
      <w:r>
        <w:rPr>
          <w:rFonts w:eastAsia="方正仿宋_GBK"/>
          <w:spacing w:val="-4"/>
          <w:kern w:val="0"/>
          <w:sz w:val="32"/>
          <w:szCs w:val="32"/>
        </w:rPr>
        <w:t>当发生较大地质灾害灾（险）情后，区地指根据发生的地质灾害类型和级别启动响应，组织有关单位和人员赶赴现场开展抢险救灾，并及时将核实的地质灾害情况、处置情况、后续工作有关情况向区政府和市地指办报告。</w:t>
      </w:r>
    </w:p>
    <w:p>
      <w:pPr>
        <w:adjustRightInd w:val="0"/>
        <w:snapToGrid w:val="0"/>
        <w:spacing w:line="560" w:lineRule="exact"/>
        <w:ind w:firstLine="624" w:firstLineChars="200"/>
        <w:rPr>
          <w:rFonts w:eastAsia="方正仿宋_GBK"/>
          <w:spacing w:val="-4"/>
          <w:kern w:val="0"/>
          <w:sz w:val="32"/>
          <w:szCs w:val="32"/>
        </w:rPr>
      </w:pPr>
      <w:r>
        <w:rPr>
          <w:rFonts w:eastAsia="方正仿宋_GBK"/>
          <w:spacing w:val="-4"/>
          <w:kern w:val="0"/>
          <w:sz w:val="32"/>
          <w:szCs w:val="32"/>
        </w:rPr>
        <w:t>经区规划自然资源局、区应急局核实不属于地质灾害的，应主动协调其他有关部门按照正常渠道上报。经调查认定属生产经营活动引发地质灾害，造成人员伤亡和重大财产损失的，按安全生产管理规定报送信息。</w:t>
      </w:r>
    </w:p>
    <w:p>
      <w:pPr>
        <w:adjustRightInd w:val="0"/>
        <w:snapToGrid w:val="0"/>
        <w:spacing w:line="560" w:lineRule="exact"/>
        <w:ind w:firstLine="624" w:firstLineChars="200"/>
        <w:rPr>
          <w:rFonts w:eastAsia="方正仿宋_GBK"/>
          <w:spacing w:val="-4"/>
          <w:kern w:val="0"/>
          <w:sz w:val="32"/>
          <w:szCs w:val="32"/>
        </w:rPr>
      </w:pPr>
      <w:r>
        <w:rPr>
          <w:rFonts w:eastAsia="方正仿宋_GBK"/>
          <w:spacing w:val="-4"/>
          <w:kern w:val="0"/>
          <w:sz w:val="32"/>
          <w:szCs w:val="32"/>
        </w:rPr>
        <w:t>对发生在敏感地区、敏感时间，或可能演化为大型、特大型地质灾害灾情的，可不受分级管理要求限制。</w:t>
      </w:r>
    </w:p>
    <w:p>
      <w:pPr>
        <w:pStyle w:val="23"/>
        <w:keepNext w:val="0"/>
        <w:keepLines w:val="0"/>
        <w:adjustRightInd w:val="0"/>
        <w:snapToGrid w:val="0"/>
        <w:spacing w:before="0" w:after="0" w:line="560" w:lineRule="exact"/>
        <w:ind w:firstLine="640" w:firstLineChars="200"/>
        <w:jc w:val="both"/>
        <w:rPr>
          <w:rFonts w:ascii="Times New Roman" w:hAnsi="Times New Roman" w:eastAsia="方正楷体_GBK"/>
        </w:rPr>
      </w:pPr>
      <w:bookmarkStart w:id="42" w:name="_Toc8266"/>
      <w:bookmarkStart w:id="43" w:name="_Toc20000"/>
      <w:r>
        <w:rPr>
          <w:rFonts w:ascii="Times New Roman" w:hAnsi="Times New Roman" w:eastAsia="方正楷体_GBK"/>
        </w:rPr>
        <w:t>4.3灾（险）情分级</w:t>
      </w:r>
      <w:bookmarkEnd w:id="42"/>
      <w:bookmarkStart w:id="44" w:name="_Toc18606"/>
      <w:bookmarkStart w:id="45" w:name="_Toc902"/>
      <w:bookmarkStart w:id="46" w:name="_Toc25086"/>
    </w:p>
    <w:p>
      <w:pPr>
        <w:adjustRightInd w:val="0"/>
        <w:snapToGrid w:val="0"/>
        <w:spacing w:line="560" w:lineRule="exact"/>
        <w:ind w:firstLine="624" w:firstLineChars="200"/>
        <w:rPr>
          <w:rFonts w:eastAsia="方正仿宋_GBK"/>
          <w:spacing w:val="-4"/>
          <w:kern w:val="0"/>
          <w:sz w:val="32"/>
          <w:szCs w:val="32"/>
        </w:rPr>
      </w:pPr>
      <w:r>
        <w:rPr>
          <w:rFonts w:eastAsia="方正仿宋_GBK"/>
          <w:spacing w:val="-4"/>
          <w:kern w:val="0"/>
          <w:sz w:val="32"/>
          <w:szCs w:val="32"/>
        </w:rPr>
        <w:t>地质灾害灾（险）情分为特大型、大型、中型、小型（见附录5、6）</w:t>
      </w:r>
      <w:bookmarkEnd w:id="44"/>
      <w:bookmarkEnd w:id="45"/>
      <w:bookmarkEnd w:id="46"/>
      <w:bookmarkStart w:id="47" w:name="_Toc32032"/>
      <w:bookmarkStart w:id="48" w:name="_Toc5978"/>
    </w:p>
    <w:p>
      <w:pPr>
        <w:pStyle w:val="23"/>
        <w:keepNext w:val="0"/>
        <w:keepLines w:val="0"/>
        <w:adjustRightInd w:val="0"/>
        <w:snapToGrid w:val="0"/>
        <w:spacing w:before="0" w:after="0" w:line="560" w:lineRule="exact"/>
        <w:ind w:firstLine="640" w:firstLineChars="200"/>
        <w:jc w:val="both"/>
        <w:rPr>
          <w:rFonts w:ascii="Times New Roman" w:hAnsi="Times New Roman" w:eastAsia="方正楷体_GBK"/>
        </w:rPr>
      </w:pPr>
      <w:bookmarkStart w:id="49" w:name="_Toc31943"/>
      <w:r>
        <w:rPr>
          <w:rFonts w:ascii="Times New Roman" w:hAnsi="Times New Roman" w:eastAsia="方正楷体_GBK"/>
        </w:rPr>
        <w:t>4.4灾（险）情响应分级</w:t>
      </w:r>
      <w:bookmarkEnd w:id="47"/>
      <w:bookmarkEnd w:id="48"/>
      <w:bookmarkEnd w:id="49"/>
    </w:p>
    <w:p>
      <w:pPr>
        <w:adjustRightInd w:val="0"/>
        <w:snapToGrid w:val="0"/>
        <w:spacing w:line="560" w:lineRule="exact"/>
        <w:ind w:firstLine="624" w:firstLineChars="200"/>
        <w:rPr>
          <w:rFonts w:eastAsia="方正仿宋_GBK"/>
          <w:spacing w:val="-4"/>
          <w:kern w:val="0"/>
          <w:sz w:val="32"/>
          <w:szCs w:val="32"/>
        </w:rPr>
      </w:pPr>
      <w:bookmarkStart w:id="50" w:name="_Toc28441"/>
      <w:bookmarkStart w:id="51" w:name="_Toc18276"/>
      <w:r>
        <w:rPr>
          <w:rFonts w:eastAsia="方正仿宋_GBK"/>
          <w:spacing w:val="-4"/>
          <w:kern w:val="0"/>
          <w:sz w:val="32"/>
          <w:szCs w:val="32"/>
        </w:rPr>
        <w:t>根据地质灾害灾（险）情规模和危害对象，应急响应对应级别分为Ⅰ级、Ⅱ级、Ⅲ级、Ⅳ级（见附录5、6）。</w:t>
      </w:r>
      <w:bookmarkEnd w:id="50"/>
      <w:bookmarkEnd w:id="51"/>
    </w:p>
    <w:p>
      <w:pPr>
        <w:pStyle w:val="3"/>
        <w:adjustRightInd w:val="0"/>
        <w:spacing w:line="560" w:lineRule="exact"/>
        <w:ind w:firstLine="640" w:firstLineChars="200"/>
        <w:rPr>
          <w:rFonts w:ascii="Times New Roman" w:hAnsi="Times New Roman" w:eastAsia="方正黑体_GBK"/>
          <w:b w:val="0"/>
          <w:sz w:val="32"/>
        </w:rPr>
      </w:pPr>
      <w:bookmarkStart w:id="52" w:name="_Toc20743"/>
      <w:r>
        <w:rPr>
          <w:rFonts w:ascii="Times New Roman" w:hAnsi="Times New Roman" w:eastAsia="方正黑体_GBK"/>
          <w:b w:val="0"/>
          <w:sz w:val="32"/>
        </w:rPr>
        <w:t>5灾（险）情应急响应</w:t>
      </w:r>
      <w:bookmarkEnd w:id="28"/>
      <w:bookmarkEnd w:id="29"/>
      <w:bookmarkEnd w:id="30"/>
      <w:bookmarkEnd w:id="31"/>
      <w:bookmarkEnd w:id="43"/>
      <w:bookmarkEnd w:id="52"/>
    </w:p>
    <w:p>
      <w:pPr>
        <w:pStyle w:val="23"/>
        <w:adjustRightInd w:val="0"/>
        <w:snapToGrid w:val="0"/>
        <w:spacing w:before="0" w:after="0" w:line="560" w:lineRule="exact"/>
        <w:ind w:firstLine="640" w:firstLineChars="200"/>
        <w:jc w:val="both"/>
        <w:rPr>
          <w:rFonts w:ascii="Times New Roman" w:hAnsi="Times New Roman" w:eastAsia="方正楷体_GBK"/>
          <w:color w:val="FF0000"/>
          <w:kern w:val="0"/>
        </w:rPr>
      </w:pPr>
      <w:bookmarkStart w:id="53" w:name="_Toc31823"/>
      <w:bookmarkStart w:id="54" w:name="_Toc5135"/>
      <w:r>
        <w:rPr>
          <w:rFonts w:ascii="Times New Roman" w:hAnsi="Times New Roman" w:eastAsia="方正楷体_GBK"/>
          <w:color w:val="000000"/>
          <w:kern w:val="0"/>
        </w:rPr>
        <w:t>5.1属地先期处置</w:t>
      </w:r>
      <w:bookmarkEnd w:id="53"/>
      <w:bookmarkEnd w:id="54"/>
    </w:p>
    <w:p>
      <w:pPr>
        <w:adjustRightInd w:val="0"/>
        <w:snapToGrid w:val="0"/>
        <w:spacing w:line="560" w:lineRule="exact"/>
        <w:ind w:firstLine="640" w:firstLineChars="200"/>
        <w:rPr>
          <w:rFonts w:eastAsia="微软雅黑"/>
          <w:color w:val="000000"/>
          <w:sz w:val="27"/>
          <w:szCs w:val="27"/>
          <w:shd w:val="clear" w:color="auto" w:fill="FFFFFF"/>
        </w:rPr>
      </w:pPr>
      <w:r>
        <w:rPr>
          <w:rFonts w:eastAsia="方正仿宋_GBK"/>
          <w:color w:val="000000"/>
          <w:kern w:val="0"/>
          <w:sz w:val="32"/>
          <w:szCs w:val="32"/>
        </w:rPr>
        <w:t>（1）发生地质灾害灾（险）情后，群测群防员或发现灾（险）情的相关人员，应向受地质灾害威胁对象通报险情，提醒按疏散路线撤离；</w:t>
      </w:r>
    </w:p>
    <w:p>
      <w:pPr>
        <w:adjustRightInd w:val="0"/>
        <w:snapToGrid w:val="0"/>
        <w:spacing w:line="560" w:lineRule="exact"/>
        <w:ind w:firstLine="640" w:firstLineChars="200"/>
        <w:rPr>
          <w:rFonts w:eastAsia="方正仿宋_GBK"/>
          <w:color w:val="000000"/>
          <w:kern w:val="0"/>
          <w:sz w:val="32"/>
          <w:szCs w:val="32"/>
        </w:rPr>
      </w:pPr>
      <w:r>
        <w:rPr>
          <w:rFonts w:eastAsia="方正仿宋_GBK"/>
          <w:color w:val="000000"/>
          <w:kern w:val="0"/>
          <w:sz w:val="32"/>
          <w:szCs w:val="32"/>
        </w:rPr>
        <w:t>（2）发现灾（险）情的相关人员，3分钟内电话告知防灾责任人（村组干部）和有关部门，防灾责任人（村组干部）15分钟内到达现场，了解灾（险）情，发布预警信号，设置警戒区域，组织险区群众撤离，开展互助互救，并迅速上报镇乡政府、街道办事处和有关部门；</w:t>
      </w:r>
    </w:p>
    <w:p>
      <w:pPr>
        <w:pStyle w:val="2"/>
        <w:ind w:firstLine="640" w:firstLineChars="200"/>
        <w:rPr>
          <w:rFonts w:hint="default" w:ascii="Times New Roman" w:eastAsia="方正仿宋_GBK"/>
        </w:rPr>
      </w:pPr>
      <w:r>
        <w:rPr>
          <w:rFonts w:hint="default" w:ascii="Times New Roman" w:eastAsia="方正仿宋_GBK"/>
          <w:sz w:val="32"/>
          <w:szCs w:val="32"/>
        </w:rPr>
        <w:t>（3）受灾镇乡</w:t>
      </w:r>
      <w:r>
        <w:rPr>
          <w:rFonts w:hint="default" w:ascii="Times New Roman" w:eastAsia="方正仿宋_GBK"/>
          <w:spacing w:val="-4"/>
          <w:sz w:val="32"/>
          <w:szCs w:val="32"/>
        </w:rPr>
        <w:t>（街道）接到灾（险）情报告后，</w:t>
      </w:r>
      <w:r>
        <w:rPr>
          <w:rFonts w:hint="default" w:ascii="Times New Roman" w:eastAsia="方正仿宋_GBK"/>
          <w:sz w:val="32"/>
          <w:szCs w:val="32"/>
        </w:rPr>
        <w:t>有关主要负责人30分钟内到达现场，迅速收集了解灾（险）情情况，向区地指办和行业主管部门报告；</w:t>
      </w:r>
    </w:p>
    <w:p>
      <w:pPr>
        <w:adjustRightInd w:val="0"/>
        <w:snapToGrid w:val="0"/>
        <w:spacing w:line="560" w:lineRule="exact"/>
        <w:ind w:firstLine="640" w:firstLineChars="200"/>
        <w:rPr>
          <w:rFonts w:eastAsia="仿宋_GB2312"/>
          <w:color w:val="FF0000"/>
          <w:sz w:val="30"/>
          <w:szCs w:val="30"/>
        </w:rPr>
      </w:pPr>
      <w:r>
        <w:rPr>
          <w:rFonts w:eastAsia="方正仿宋_GBK"/>
          <w:color w:val="000000"/>
          <w:kern w:val="0"/>
          <w:sz w:val="32"/>
          <w:szCs w:val="32"/>
        </w:rPr>
        <w:t>（4）镇乡</w:t>
      </w:r>
      <w:r>
        <w:rPr>
          <w:rFonts w:eastAsia="方正仿宋_GBK"/>
          <w:color w:val="000000"/>
          <w:spacing w:val="-4"/>
          <w:kern w:val="0"/>
          <w:sz w:val="32"/>
          <w:szCs w:val="32"/>
        </w:rPr>
        <w:t>（街道）</w:t>
      </w:r>
      <w:r>
        <w:rPr>
          <w:rFonts w:eastAsia="方正仿宋_GBK"/>
          <w:color w:val="000000"/>
          <w:kern w:val="0"/>
          <w:sz w:val="32"/>
          <w:szCs w:val="32"/>
        </w:rPr>
        <w:t>组织驻守地灾队员进一步核实成灾范围和危险区域，设置警戒线、落实专人24小时监测值守等防范措施，并确定应急工作规模；</w:t>
      </w:r>
    </w:p>
    <w:p>
      <w:pPr>
        <w:adjustRightInd w:val="0"/>
        <w:snapToGrid w:val="0"/>
        <w:spacing w:line="560" w:lineRule="exact"/>
        <w:ind w:firstLine="640" w:firstLineChars="200"/>
        <w:rPr>
          <w:rFonts w:eastAsia="方正仿宋_GBK"/>
          <w:kern w:val="0"/>
          <w:sz w:val="32"/>
          <w:szCs w:val="32"/>
        </w:rPr>
      </w:pPr>
      <w:r>
        <w:rPr>
          <w:rFonts w:eastAsia="方正仿宋_GBK"/>
          <w:kern w:val="0"/>
          <w:sz w:val="32"/>
          <w:szCs w:val="32"/>
        </w:rPr>
        <w:t>（5）加强趋势研判，及时发布预警信息，提出应急抢险措施；</w:t>
      </w:r>
    </w:p>
    <w:p>
      <w:pPr>
        <w:adjustRightInd w:val="0"/>
        <w:snapToGrid w:val="0"/>
        <w:spacing w:line="560" w:lineRule="exact"/>
        <w:ind w:firstLine="640" w:firstLineChars="200"/>
        <w:rPr>
          <w:rFonts w:eastAsia="仿宋_GB2312"/>
          <w:color w:val="000000"/>
          <w:kern w:val="0"/>
          <w:sz w:val="32"/>
          <w:szCs w:val="32"/>
        </w:rPr>
      </w:pPr>
      <w:r>
        <w:rPr>
          <w:rFonts w:eastAsia="方正仿宋_GBK"/>
          <w:kern w:val="0"/>
          <w:sz w:val="32"/>
          <w:szCs w:val="32"/>
        </w:rPr>
        <w:t>（6）</w:t>
      </w:r>
      <w:r>
        <w:rPr>
          <w:rFonts w:eastAsia="方正仿宋_GBK"/>
          <w:color w:val="000000"/>
          <w:sz w:val="32"/>
          <w:szCs w:val="32"/>
        </w:rPr>
        <w:t>根据需要启动本级预案，</w:t>
      </w:r>
      <w:r>
        <w:rPr>
          <w:rFonts w:eastAsia="方正仿宋_GBK"/>
          <w:color w:val="000000"/>
          <w:kern w:val="0"/>
          <w:sz w:val="32"/>
          <w:szCs w:val="32"/>
        </w:rPr>
        <w:t>可强行撤离危险区人员，妥善安置受灾群众，根据现场实际情况</w:t>
      </w:r>
      <w:r>
        <w:rPr>
          <w:rFonts w:eastAsia="仿宋_GB2312"/>
          <w:color w:val="000000"/>
          <w:sz w:val="30"/>
          <w:szCs w:val="30"/>
        </w:rPr>
        <w:t>，</w:t>
      </w:r>
      <w:r>
        <w:rPr>
          <w:rFonts w:eastAsia="方正仿宋_GBK"/>
          <w:color w:val="000000"/>
          <w:kern w:val="0"/>
          <w:sz w:val="32"/>
          <w:szCs w:val="32"/>
        </w:rPr>
        <w:t>布置突发地质灾害应急抢险工作；</w:t>
      </w:r>
    </w:p>
    <w:p>
      <w:pPr>
        <w:adjustRightInd w:val="0"/>
        <w:snapToGrid w:val="0"/>
        <w:spacing w:line="560" w:lineRule="exact"/>
        <w:ind w:firstLine="640" w:firstLineChars="200"/>
        <w:rPr>
          <w:rFonts w:eastAsia="方正仿宋_GBK"/>
          <w:color w:val="FF0000"/>
          <w:kern w:val="0"/>
          <w:sz w:val="32"/>
          <w:szCs w:val="32"/>
        </w:rPr>
      </w:pPr>
      <w:r>
        <w:rPr>
          <w:rFonts w:eastAsia="方正仿宋_GBK"/>
          <w:kern w:val="0"/>
          <w:sz w:val="32"/>
          <w:szCs w:val="32"/>
        </w:rPr>
        <w:t>（7）</w:t>
      </w:r>
      <w:r>
        <w:rPr>
          <w:rFonts w:eastAsia="方正仿宋_GBK"/>
          <w:color w:val="000000"/>
          <w:kern w:val="0"/>
          <w:sz w:val="32"/>
          <w:szCs w:val="32"/>
        </w:rPr>
        <w:t>在确保安全情况下，组织当地干部群众开展现场搜救工作；</w:t>
      </w:r>
    </w:p>
    <w:p>
      <w:pPr>
        <w:adjustRightInd w:val="0"/>
        <w:snapToGrid w:val="0"/>
        <w:spacing w:line="560" w:lineRule="exact"/>
        <w:ind w:firstLine="640" w:firstLineChars="200"/>
        <w:rPr>
          <w:rFonts w:eastAsia="方正仿宋_GBK"/>
          <w:kern w:val="0"/>
          <w:sz w:val="32"/>
          <w:szCs w:val="32"/>
        </w:rPr>
      </w:pPr>
      <w:r>
        <w:rPr>
          <w:rFonts w:eastAsia="方正仿宋_GBK"/>
          <w:kern w:val="0"/>
          <w:sz w:val="32"/>
          <w:szCs w:val="32"/>
        </w:rPr>
        <w:t>（8）镇乡（街道）处置完毕，迅速电话报告区地指办，随后书面详细报告地灾发生情况、灾害损失情况、应急救援情况、地灾防治情况、相关问题等，同时抄送有关部门；</w:t>
      </w:r>
    </w:p>
    <w:p>
      <w:pPr>
        <w:pStyle w:val="2"/>
        <w:spacing w:line="560" w:lineRule="exact"/>
        <w:ind w:firstLine="640" w:firstLineChars="200"/>
        <w:rPr>
          <w:rFonts w:hint="default" w:ascii="Times New Roman" w:eastAsia="方正仿宋_GBK"/>
        </w:rPr>
      </w:pPr>
      <w:r>
        <w:rPr>
          <w:rFonts w:hint="default" w:ascii="Times New Roman" w:eastAsia="方正仿宋_GBK"/>
          <w:sz w:val="32"/>
          <w:szCs w:val="32"/>
        </w:rPr>
        <w:t>（9）情况复杂或受灾损失较大的（大于30万元及以上、需倒腾安置或搬迁避让30人以上、有人员伤亡），应报告区地指启动应急预案，开展调查评估。</w:t>
      </w:r>
    </w:p>
    <w:p>
      <w:pPr>
        <w:pStyle w:val="23"/>
        <w:adjustRightInd w:val="0"/>
        <w:snapToGrid w:val="0"/>
        <w:spacing w:before="0" w:after="0" w:line="560" w:lineRule="exact"/>
        <w:ind w:firstLine="640" w:firstLineChars="200"/>
        <w:jc w:val="both"/>
        <w:rPr>
          <w:rFonts w:ascii="Times New Roman" w:hAnsi="Times New Roman" w:eastAsia="方正楷体_GBK"/>
          <w:kern w:val="0"/>
          <w:lang w:val="zh-CN"/>
        </w:rPr>
      </w:pPr>
      <w:bookmarkStart w:id="55" w:name="_Toc28611"/>
      <w:bookmarkStart w:id="56" w:name="_Toc4810"/>
      <w:r>
        <w:rPr>
          <w:rFonts w:ascii="Times New Roman" w:hAnsi="Times New Roman" w:eastAsia="方正楷体_GBK"/>
          <w:kern w:val="0"/>
          <w:lang w:val="zh-CN"/>
        </w:rPr>
        <w:t>5.</w:t>
      </w:r>
      <w:r>
        <w:rPr>
          <w:rFonts w:ascii="Times New Roman" w:hAnsi="Times New Roman" w:eastAsia="方正楷体_GBK"/>
          <w:kern w:val="0"/>
        </w:rPr>
        <w:t>2</w:t>
      </w:r>
      <w:r>
        <w:rPr>
          <w:rFonts w:ascii="Times New Roman" w:hAnsi="Times New Roman" w:eastAsia="方正楷体_GBK"/>
          <w:kern w:val="0"/>
          <w:lang w:val="zh-CN"/>
        </w:rPr>
        <w:t>行业部门和区地指应急处置</w:t>
      </w:r>
      <w:bookmarkEnd w:id="55"/>
      <w:bookmarkEnd w:id="56"/>
    </w:p>
    <w:p>
      <w:pPr>
        <w:adjustRightInd w:val="0"/>
        <w:snapToGrid w:val="0"/>
        <w:spacing w:line="560" w:lineRule="exact"/>
        <w:ind w:firstLine="640" w:firstLineChars="200"/>
        <w:rPr>
          <w:rFonts w:eastAsia="方正仿宋_GBK"/>
          <w:color w:val="000000"/>
          <w:sz w:val="32"/>
          <w:szCs w:val="32"/>
        </w:rPr>
      </w:pPr>
      <w:r>
        <w:rPr>
          <w:rFonts w:eastAsia="方正仿宋_GBK"/>
          <w:color w:val="000000"/>
          <w:sz w:val="32"/>
          <w:szCs w:val="32"/>
        </w:rPr>
        <w:t>区应急局指派人员赶赴现场组织指导抢险救援，加强值班和信息收集报送、做好救援队伍和物资调度；</w:t>
      </w:r>
    </w:p>
    <w:p>
      <w:pPr>
        <w:adjustRightInd w:val="0"/>
        <w:snapToGrid w:val="0"/>
        <w:spacing w:line="560" w:lineRule="exact"/>
        <w:ind w:firstLine="640" w:firstLineChars="200"/>
        <w:rPr>
          <w:rFonts w:eastAsia="方正仿宋_GBK"/>
          <w:color w:val="000000"/>
          <w:sz w:val="32"/>
          <w:szCs w:val="32"/>
        </w:rPr>
      </w:pPr>
      <w:r>
        <w:rPr>
          <w:rFonts w:eastAsia="方正仿宋_GBK"/>
          <w:color w:val="000000"/>
          <w:sz w:val="32"/>
          <w:szCs w:val="32"/>
        </w:rPr>
        <w:t>区规划自然资源局及相关行业主管部门派遣专业技术人员开展现场调查，指导设置警戒；开展应急监测，及时作出分析研判，提出应急抢险措施建议，为抢险救援提供技术支持；</w:t>
      </w:r>
    </w:p>
    <w:p>
      <w:pPr>
        <w:adjustRightInd w:val="0"/>
        <w:snapToGrid w:val="0"/>
        <w:spacing w:line="560" w:lineRule="exact"/>
        <w:ind w:firstLine="640" w:firstLineChars="200"/>
        <w:rPr>
          <w:rFonts w:eastAsia="方正仿宋_GBK"/>
          <w:color w:val="000000"/>
          <w:sz w:val="32"/>
          <w:szCs w:val="32"/>
        </w:rPr>
      </w:pPr>
      <w:r>
        <w:rPr>
          <w:rFonts w:eastAsia="方正仿宋_GBK"/>
          <w:color w:val="000000"/>
          <w:sz w:val="32"/>
          <w:szCs w:val="32"/>
        </w:rPr>
        <w:t>其他成员单位根据职责和现场需要派出相应人员和救援队伍。</w:t>
      </w:r>
    </w:p>
    <w:p>
      <w:pPr>
        <w:pStyle w:val="2"/>
        <w:spacing w:line="560" w:lineRule="exact"/>
        <w:ind w:firstLine="624" w:firstLineChars="195"/>
        <w:rPr>
          <w:rFonts w:hint="default" w:ascii="Times New Roman" w:eastAsia="方正仿宋_GBK"/>
          <w:sz w:val="32"/>
          <w:szCs w:val="32"/>
        </w:rPr>
      </w:pPr>
      <w:r>
        <w:rPr>
          <w:rFonts w:hint="default" w:ascii="Times New Roman" w:eastAsia="方正仿宋_GBK"/>
          <w:sz w:val="32"/>
          <w:szCs w:val="32"/>
        </w:rPr>
        <w:t>区地指收集情况，制订抢险救援方案，启动分级响应，组织开展应急救援。</w:t>
      </w:r>
    </w:p>
    <w:p>
      <w:pPr>
        <w:pStyle w:val="2"/>
        <w:spacing w:line="560" w:lineRule="exact"/>
        <w:ind w:firstLine="624" w:firstLineChars="195"/>
        <w:rPr>
          <w:rFonts w:hint="default" w:ascii="Times New Roman" w:eastAsia="方正仿宋_GBK"/>
          <w:sz w:val="32"/>
          <w:szCs w:val="32"/>
        </w:rPr>
      </w:pPr>
      <w:r>
        <w:rPr>
          <w:rFonts w:hint="default" w:ascii="Times New Roman" w:eastAsia="方正仿宋_GBK"/>
          <w:sz w:val="32"/>
          <w:szCs w:val="32"/>
        </w:rPr>
        <w:t>镇乡</w:t>
      </w:r>
      <w:r>
        <w:rPr>
          <w:rFonts w:hint="default" w:ascii="Times New Roman" w:eastAsia="方正仿宋_GBK"/>
          <w:spacing w:val="-4"/>
          <w:sz w:val="32"/>
          <w:szCs w:val="32"/>
        </w:rPr>
        <w:t>（街道）</w:t>
      </w:r>
      <w:r>
        <w:rPr>
          <w:rFonts w:hint="default" w:ascii="Times New Roman" w:eastAsia="方正仿宋_GBK"/>
          <w:sz w:val="32"/>
          <w:szCs w:val="32"/>
        </w:rPr>
        <w:t>、部门、区地指应急响应详见附录7。</w:t>
      </w:r>
    </w:p>
    <w:p>
      <w:pPr>
        <w:pStyle w:val="23"/>
        <w:adjustRightInd w:val="0"/>
        <w:snapToGrid w:val="0"/>
        <w:spacing w:before="0" w:after="0" w:line="560" w:lineRule="exact"/>
        <w:ind w:firstLine="640" w:firstLineChars="200"/>
        <w:jc w:val="both"/>
        <w:rPr>
          <w:rFonts w:ascii="Times New Roman" w:hAnsi="Times New Roman" w:eastAsia="方正楷体_GBK"/>
          <w:kern w:val="0"/>
          <w:lang w:val="zh-CN"/>
        </w:rPr>
      </w:pPr>
      <w:bookmarkStart w:id="57" w:name="_Toc26196"/>
      <w:bookmarkStart w:id="58" w:name="_Toc5390"/>
      <w:r>
        <w:rPr>
          <w:rFonts w:ascii="Times New Roman" w:hAnsi="Times New Roman" w:eastAsia="方正楷体_GBK"/>
          <w:kern w:val="0"/>
          <w:lang w:val="zh-CN"/>
        </w:rPr>
        <w:t>5.</w:t>
      </w:r>
      <w:bookmarkStart w:id="59" w:name="_Hlk62143602"/>
      <w:r>
        <w:rPr>
          <w:rFonts w:ascii="Times New Roman" w:hAnsi="Times New Roman" w:eastAsia="方正楷体_GBK"/>
          <w:kern w:val="0"/>
        </w:rPr>
        <w:t>3</w:t>
      </w:r>
      <w:r>
        <w:rPr>
          <w:rFonts w:ascii="Times New Roman" w:hAnsi="Times New Roman" w:eastAsia="方正楷体_GBK"/>
          <w:kern w:val="0"/>
          <w:lang w:val="zh-CN"/>
        </w:rPr>
        <w:t>分级响应处置措施</w:t>
      </w:r>
      <w:bookmarkEnd w:id="57"/>
      <w:bookmarkEnd w:id="58"/>
      <w:bookmarkEnd w:id="59"/>
    </w:p>
    <w:p>
      <w:pPr>
        <w:adjustRightInd w:val="0"/>
        <w:snapToGrid w:val="0"/>
        <w:spacing w:line="560" w:lineRule="exact"/>
        <w:ind w:firstLine="640" w:firstLineChars="200"/>
        <w:outlineLvl w:val="2"/>
        <w:rPr>
          <w:rFonts w:eastAsia="方正仿宋_GBK"/>
          <w:color w:val="000000"/>
          <w:sz w:val="32"/>
          <w:szCs w:val="32"/>
        </w:rPr>
      </w:pPr>
      <w:r>
        <w:rPr>
          <w:rFonts w:eastAsia="方正仿宋_GBK"/>
          <w:color w:val="000000"/>
          <w:sz w:val="32"/>
          <w:szCs w:val="32"/>
        </w:rPr>
        <w:t>5.3.1Ⅳ级响应主要处置措施</w:t>
      </w:r>
    </w:p>
    <w:p>
      <w:pPr>
        <w:numPr>
          <w:ilvl w:val="0"/>
          <w:numId w:val="1"/>
        </w:numPr>
        <w:adjustRightInd w:val="0"/>
        <w:snapToGrid w:val="0"/>
        <w:spacing w:line="560" w:lineRule="exact"/>
        <w:ind w:firstLine="640" w:firstLineChars="200"/>
        <w:rPr>
          <w:rFonts w:eastAsia="方正仿宋_GBK"/>
          <w:color w:val="000000"/>
          <w:kern w:val="0"/>
          <w:sz w:val="32"/>
          <w:szCs w:val="32"/>
        </w:rPr>
      </w:pPr>
      <w:r>
        <w:rPr>
          <w:rFonts w:eastAsia="方正仿宋_GBK"/>
          <w:color w:val="000000"/>
          <w:kern w:val="0"/>
          <w:sz w:val="32"/>
          <w:szCs w:val="32"/>
        </w:rPr>
        <w:t>镇乡</w:t>
      </w:r>
      <w:r>
        <w:rPr>
          <w:rFonts w:eastAsia="方正仿宋_GBK"/>
          <w:spacing w:val="-4"/>
          <w:kern w:val="0"/>
          <w:sz w:val="32"/>
          <w:szCs w:val="32"/>
        </w:rPr>
        <w:t>（街道）</w:t>
      </w:r>
      <w:r>
        <w:rPr>
          <w:rFonts w:eastAsia="方正仿宋_GBK"/>
          <w:color w:val="000000"/>
          <w:kern w:val="0"/>
          <w:sz w:val="32"/>
          <w:szCs w:val="32"/>
        </w:rPr>
        <w:t>先期处置；</w:t>
      </w:r>
    </w:p>
    <w:p>
      <w:pPr>
        <w:numPr>
          <w:ilvl w:val="0"/>
          <w:numId w:val="1"/>
        </w:numPr>
        <w:adjustRightInd w:val="0"/>
        <w:snapToGrid w:val="0"/>
        <w:spacing w:line="560" w:lineRule="exact"/>
        <w:ind w:firstLine="640" w:firstLineChars="200"/>
        <w:rPr>
          <w:rFonts w:eastAsia="方正仿宋_GBK"/>
          <w:color w:val="000000"/>
          <w:kern w:val="0"/>
          <w:sz w:val="32"/>
          <w:szCs w:val="32"/>
        </w:rPr>
      </w:pPr>
      <w:r>
        <w:rPr>
          <w:rFonts w:eastAsia="方正仿宋_GBK"/>
          <w:color w:val="000000"/>
          <w:kern w:val="0"/>
          <w:sz w:val="32"/>
          <w:szCs w:val="32"/>
        </w:rPr>
        <w:t>区地指作出启动Ⅳ级响应指示，区地指办将指示印发有关部门，并报送市地指办；</w:t>
      </w:r>
    </w:p>
    <w:p>
      <w:pPr>
        <w:numPr>
          <w:ilvl w:val="0"/>
          <w:numId w:val="1"/>
        </w:numPr>
        <w:adjustRightInd w:val="0"/>
        <w:snapToGrid w:val="0"/>
        <w:spacing w:line="560" w:lineRule="exact"/>
        <w:ind w:firstLine="640" w:firstLineChars="200"/>
        <w:rPr>
          <w:rFonts w:eastAsia="方正仿宋_GBK"/>
          <w:color w:val="000000"/>
          <w:kern w:val="0"/>
          <w:sz w:val="32"/>
          <w:szCs w:val="32"/>
        </w:rPr>
      </w:pPr>
      <w:r>
        <w:rPr>
          <w:rFonts w:eastAsia="方正仿宋_GBK"/>
          <w:color w:val="000000"/>
          <w:kern w:val="0"/>
          <w:sz w:val="32"/>
          <w:szCs w:val="32"/>
        </w:rPr>
        <w:t>通知区级地灾抢险救援队伍备勤；</w:t>
      </w:r>
    </w:p>
    <w:p>
      <w:pPr>
        <w:numPr>
          <w:ilvl w:val="0"/>
          <w:numId w:val="1"/>
        </w:numPr>
        <w:adjustRightInd w:val="0"/>
        <w:snapToGrid w:val="0"/>
        <w:spacing w:line="560" w:lineRule="exact"/>
        <w:ind w:firstLine="640" w:firstLineChars="200"/>
        <w:rPr>
          <w:rFonts w:eastAsia="方正仿宋_GBK"/>
          <w:color w:val="000000"/>
          <w:kern w:val="0"/>
          <w:sz w:val="32"/>
          <w:szCs w:val="32"/>
        </w:rPr>
      </w:pPr>
      <w:r>
        <w:rPr>
          <w:rFonts w:eastAsia="方正仿宋_GBK"/>
          <w:color w:val="000000"/>
          <w:sz w:val="32"/>
          <w:szCs w:val="32"/>
        </w:rPr>
        <w:t>成立现场指挥部，区地指派</w:t>
      </w:r>
      <w:r>
        <w:rPr>
          <w:rFonts w:eastAsia="方正仿宋_GBK"/>
          <w:sz w:val="32"/>
          <w:szCs w:val="32"/>
        </w:rPr>
        <w:t>副指挥长（应急）或委派相关人员</w:t>
      </w:r>
      <w:r>
        <w:rPr>
          <w:rFonts w:eastAsia="方正仿宋_GBK"/>
          <w:color w:val="000000"/>
          <w:sz w:val="32"/>
          <w:szCs w:val="32"/>
        </w:rPr>
        <w:t>任现场指挥长，根据情况成立相应工作组开展工作；</w:t>
      </w:r>
    </w:p>
    <w:p>
      <w:pPr>
        <w:pStyle w:val="2"/>
        <w:numPr>
          <w:ilvl w:val="0"/>
          <w:numId w:val="1"/>
        </w:numPr>
        <w:spacing w:line="560" w:lineRule="exact"/>
        <w:ind w:firstLine="640" w:firstLineChars="200"/>
        <w:rPr>
          <w:rFonts w:hint="default" w:ascii="Times New Roman" w:eastAsia="方正仿宋_GBK"/>
          <w:sz w:val="32"/>
          <w:szCs w:val="32"/>
        </w:rPr>
      </w:pPr>
      <w:r>
        <w:rPr>
          <w:rFonts w:hint="default" w:ascii="Times New Roman" w:eastAsia="方正仿宋_GBK"/>
          <w:sz w:val="32"/>
          <w:szCs w:val="32"/>
        </w:rPr>
        <w:t>区规划自然资源局组织片区地质灾害驻守人员开展应急调查，指导开展应急监测，及时作出分析研判，提出应急抢险措施建议，报现场指挥部，为抢险救援提供技术支持；</w:t>
      </w:r>
    </w:p>
    <w:p>
      <w:pPr>
        <w:pStyle w:val="2"/>
        <w:numPr>
          <w:ilvl w:val="0"/>
          <w:numId w:val="1"/>
        </w:numPr>
        <w:spacing w:line="560" w:lineRule="exact"/>
        <w:ind w:firstLine="640" w:firstLineChars="200"/>
        <w:rPr>
          <w:rFonts w:hint="default" w:ascii="Times New Roman" w:eastAsia="方正仿宋_GBK"/>
          <w:sz w:val="32"/>
          <w:szCs w:val="32"/>
        </w:rPr>
      </w:pPr>
      <w:r>
        <w:rPr>
          <w:rFonts w:hint="default" w:ascii="Times New Roman" w:eastAsia="方正仿宋_GBK"/>
          <w:sz w:val="32"/>
          <w:szCs w:val="32"/>
        </w:rPr>
        <w:t>现场指挥部根据调查结果，研究形成抢险救援方案报区地指，向现场工作组下达任务，开展抢险救援各项工作；危险区内群众全部撤离至安全地带，必要时可征用物资、交通工具和有关设施，甚至采取强制撤离等措施；</w:t>
      </w:r>
    </w:p>
    <w:p>
      <w:pPr>
        <w:numPr>
          <w:ilvl w:val="0"/>
          <w:numId w:val="1"/>
        </w:numPr>
        <w:adjustRightInd w:val="0"/>
        <w:snapToGrid w:val="0"/>
        <w:spacing w:line="560" w:lineRule="exact"/>
        <w:ind w:firstLine="640" w:firstLineChars="200"/>
        <w:rPr>
          <w:rFonts w:eastAsia="方正仿宋_GBK"/>
          <w:color w:val="000000"/>
          <w:kern w:val="0"/>
          <w:sz w:val="32"/>
          <w:szCs w:val="32"/>
        </w:rPr>
      </w:pPr>
      <w:r>
        <w:rPr>
          <w:rFonts w:eastAsia="方正仿宋_GBK"/>
          <w:color w:val="000000"/>
          <w:sz w:val="32"/>
          <w:szCs w:val="32"/>
        </w:rPr>
        <w:t>现场指挥部根据救援需要，调集相关部门单位人员、救援队伍、救援装备、物资赶赴现场；</w:t>
      </w:r>
    </w:p>
    <w:p>
      <w:pPr>
        <w:numPr>
          <w:ilvl w:val="0"/>
          <w:numId w:val="1"/>
        </w:numPr>
        <w:adjustRightInd w:val="0"/>
        <w:snapToGrid w:val="0"/>
        <w:spacing w:line="560" w:lineRule="exact"/>
        <w:ind w:firstLine="640" w:firstLineChars="200"/>
        <w:rPr>
          <w:rFonts w:eastAsia="方正仿宋_GBK"/>
          <w:sz w:val="32"/>
          <w:szCs w:val="32"/>
        </w:rPr>
      </w:pPr>
      <w:r>
        <w:rPr>
          <w:rFonts w:eastAsia="方正仿宋_GBK"/>
          <w:sz w:val="32"/>
          <w:szCs w:val="32"/>
        </w:rPr>
        <w:t>现场指挥部加强趋势研判，及时更新预警信息。组织现场科学搜救，避免次生灾害和二次人员伤亡；</w:t>
      </w:r>
    </w:p>
    <w:p>
      <w:pPr>
        <w:numPr>
          <w:ilvl w:val="0"/>
          <w:numId w:val="1"/>
        </w:numPr>
        <w:adjustRightInd w:val="0"/>
        <w:snapToGrid w:val="0"/>
        <w:spacing w:line="560" w:lineRule="exact"/>
        <w:ind w:firstLine="640" w:firstLineChars="200"/>
        <w:rPr>
          <w:rFonts w:eastAsia="方正仿宋_GBK"/>
          <w:sz w:val="32"/>
          <w:szCs w:val="32"/>
        </w:rPr>
      </w:pPr>
      <w:r>
        <w:rPr>
          <w:rFonts w:eastAsia="方正仿宋_GBK"/>
          <w:sz w:val="32"/>
          <w:szCs w:val="32"/>
        </w:rPr>
        <w:t>现场指挥部统筹转移人员安置和灾民生活，对灾害损失进行核实，</w:t>
      </w:r>
      <w:r>
        <w:rPr>
          <w:rFonts w:eastAsia="方正仿宋_GBK"/>
          <w:color w:val="000000"/>
          <w:sz w:val="32"/>
          <w:szCs w:val="32"/>
        </w:rPr>
        <w:t>及时向区政府、市地指汇报抢险救援情况。</w:t>
      </w:r>
    </w:p>
    <w:p>
      <w:pPr>
        <w:adjustRightInd w:val="0"/>
        <w:snapToGrid w:val="0"/>
        <w:spacing w:line="560" w:lineRule="exact"/>
        <w:ind w:firstLine="640" w:firstLineChars="200"/>
        <w:outlineLvl w:val="2"/>
        <w:rPr>
          <w:rFonts w:eastAsia="方正仿宋_GBK"/>
          <w:color w:val="000000"/>
          <w:sz w:val="32"/>
          <w:szCs w:val="32"/>
        </w:rPr>
      </w:pPr>
      <w:r>
        <w:rPr>
          <w:rFonts w:eastAsia="方正仿宋_GBK"/>
          <w:color w:val="000000"/>
          <w:sz w:val="32"/>
          <w:szCs w:val="32"/>
        </w:rPr>
        <w:t>5.3.2Ⅲ级响应主要处置措施</w:t>
      </w:r>
    </w:p>
    <w:p>
      <w:pPr>
        <w:adjustRightInd w:val="0"/>
        <w:snapToGrid w:val="0"/>
        <w:spacing w:line="560" w:lineRule="exact"/>
        <w:ind w:firstLine="640" w:firstLineChars="200"/>
        <w:rPr>
          <w:rFonts w:eastAsia="方正仿宋_GBK"/>
          <w:color w:val="000000"/>
          <w:sz w:val="32"/>
          <w:szCs w:val="32"/>
        </w:rPr>
      </w:pPr>
      <w:r>
        <w:rPr>
          <w:rFonts w:eastAsia="方正仿宋_GBK"/>
          <w:color w:val="000000"/>
          <w:sz w:val="32"/>
          <w:szCs w:val="32"/>
        </w:rPr>
        <w:t>除严格执行Ⅳ级地质灾害灾（险）情应急处置措施外，还应加强以下工作：</w:t>
      </w:r>
    </w:p>
    <w:p>
      <w:pPr>
        <w:numPr>
          <w:ilvl w:val="0"/>
          <w:numId w:val="2"/>
        </w:numPr>
        <w:adjustRightInd w:val="0"/>
        <w:snapToGrid w:val="0"/>
        <w:spacing w:line="560" w:lineRule="exact"/>
        <w:ind w:firstLine="640" w:firstLineChars="200"/>
        <w:rPr>
          <w:rFonts w:eastAsia="方正仿宋_GBK"/>
          <w:color w:val="000000"/>
          <w:sz w:val="32"/>
          <w:szCs w:val="32"/>
        </w:rPr>
      </w:pPr>
      <w:r>
        <w:rPr>
          <w:rFonts w:eastAsia="方正仿宋_GBK"/>
          <w:color w:val="000000"/>
          <w:sz w:val="32"/>
          <w:szCs w:val="32"/>
        </w:rPr>
        <w:t>区地指作出Ⅲ级响应启动指示；</w:t>
      </w:r>
    </w:p>
    <w:p>
      <w:pPr>
        <w:numPr>
          <w:ilvl w:val="0"/>
          <w:numId w:val="2"/>
        </w:numPr>
        <w:adjustRightInd w:val="0"/>
        <w:snapToGrid w:val="0"/>
        <w:spacing w:line="560" w:lineRule="exact"/>
        <w:ind w:firstLine="640" w:firstLineChars="200"/>
        <w:rPr>
          <w:rFonts w:eastAsia="方正仿宋_GBK"/>
          <w:color w:val="000000"/>
          <w:kern w:val="0"/>
          <w:sz w:val="32"/>
          <w:szCs w:val="32"/>
        </w:rPr>
      </w:pPr>
      <w:r>
        <w:rPr>
          <w:rFonts w:eastAsia="方正仿宋_GBK"/>
          <w:color w:val="000000"/>
          <w:sz w:val="32"/>
          <w:szCs w:val="32"/>
        </w:rPr>
        <w:t>区级地灾抢险救援队伍赶赴现场，区消防救援支队等相关救援队伍备勤；</w:t>
      </w:r>
    </w:p>
    <w:p>
      <w:pPr>
        <w:numPr>
          <w:ilvl w:val="0"/>
          <w:numId w:val="2"/>
        </w:numPr>
        <w:adjustRightInd w:val="0"/>
        <w:snapToGrid w:val="0"/>
        <w:spacing w:line="560" w:lineRule="exact"/>
        <w:ind w:firstLine="640" w:firstLineChars="200"/>
        <w:rPr>
          <w:rFonts w:eastAsia="方正仿宋_GBK"/>
          <w:color w:val="000000"/>
          <w:kern w:val="0"/>
          <w:sz w:val="32"/>
          <w:szCs w:val="32"/>
        </w:rPr>
      </w:pPr>
      <w:r>
        <w:rPr>
          <w:rFonts w:eastAsia="方正仿宋_GBK"/>
          <w:color w:val="000000"/>
          <w:sz w:val="32"/>
          <w:szCs w:val="32"/>
        </w:rPr>
        <w:t>区地指副指挥长（应急）任现场指挥长（必要时区地指指挥长赶赴现场）；</w:t>
      </w:r>
    </w:p>
    <w:p>
      <w:pPr>
        <w:numPr>
          <w:ilvl w:val="0"/>
          <w:numId w:val="2"/>
        </w:numPr>
        <w:adjustRightInd w:val="0"/>
        <w:snapToGrid w:val="0"/>
        <w:spacing w:line="560" w:lineRule="exact"/>
        <w:ind w:firstLine="640" w:firstLineChars="200"/>
        <w:rPr>
          <w:rFonts w:eastAsia="方正仿宋_GBK"/>
          <w:color w:val="000000"/>
          <w:kern w:val="0"/>
          <w:sz w:val="32"/>
          <w:szCs w:val="32"/>
        </w:rPr>
      </w:pPr>
      <w:r>
        <w:rPr>
          <w:rFonts w:eastAsia="方正仿宋_GBK"/>
          <w:color w:val="000000"/>
          <w:sz w:val="32"/>
          <w:szCs w:val="32"/>
        </w:rPr>
        <w:t>区规划自然资源局组织驻守专家赶赴现场提供技术支持，监测数据及分析结论随时报送现场指挥部；</w:t>
      </w:r>
    </w:p>
    <w:p>
      <w:pPr>
        <w:numPr>
          <w:ilvl w:val="0"/>
          <w:numId w:val="2"/>
        </w:numPr>
        <w:adjustRightInd w:val="0"/>
        <w:snapToGrid w:val="0"/>
        <w:spacing w:line="560" w:lineRule="exact"/>
        <w:ind w:firstLine="640" w:firstLineChars="200"/>
        <w:rPr>
          <w:rFonts w:eastAsia="方正仿宋_GBK"/>
          <w:color w:val="000000"/>
          <w:kern w:val="0"/>
          <w:sz w:val="32"/>
          <w:szCs w:val="32"/>
        </w:rPr>
      </w:pPr>
      <w:r>
        <w:rPr>
          <w:rFonts w:eastAsia="方正仿宋_GBK"/>
          <w:color w:val="000000"/>
          <w:sz w:val="32"/>
          <w:szCs w:val="32"/>
        </w:rPr>
        <w:t>情况危急时可采取强制拆除危险建筑物等必要措施；</w:t>
      </w:r>
    </w:p>
    <w:p>
      <w:pPr>
        <w:numPr>
          <w:ilvl w:val="0"/>
          <w:numId w:val="2"/>
        </w:numPr>
        <w:adjustRightInd w:val="0"/>
        <w:snapToGrid w:val="0"/>
        <w:spacing w:line="560" w:lineRule="exact"/>
        <w:ind w:firstLine="640" w:firstLineChars="200"/>
        <w:rPr>
          <w:rFonts w:eastAsia="方正仿宋_GBK"/>
          <w:color w:val="000000"/>
          <w:kern w:val="0"/>
          <w:sz w:val="32"/>
          <w:szCs w:val="32"/>
        </w:rPr>
      </w:pPr>
      <w:r>
        <w:rPr>
          <w:rFonts w:eastAsia="方正仿宋_GBK"/>
          <w:color w:val="000000"/>
          <w:sz w:val="32"/>
          <w:szCs w:val="32"/>
        </w:rPr>
        <w:t>及时向区政府、市地指汇报抢险救援情况，并请求市地指支援。</w:t>
      </w:r>
    </w:p>
    <w:p>
      <w:pPr>
        <w:adjustRightInd w:val="0"/>
        <w:snapToGrid w:val="0"/>
        <w:spacing w:line="560" w:lineRule="exact"/>
        <w:ind w:firstLine="640" w:firstLineChars="200"/>
        <w:outlineLvl w:val="2"/>
        <w:rPr>
          <w:rFonts w:eastAsia="方正仿宋_GBK"/>
          <w:color w:val="000000"/>
          <w:sz w:val="32"/>
          <w:szCs w:val="32"/>
        </w:rPr>
      </w:pPr>
      <w:r>
        <w:rPr>
          <w:rFonts w:eastAsia="方正仿宋_GBK"/>
          <w:color w:val="000000"/>
          <w:sz w:val="32"/>
          <w:szCs w:val="32"/>
        </w:rPr>
        <w:t>5.3.3Ⅱ级响应主要措施</w:t>
      </w:r>
    </w:p>
    <w:p>
      <w:pPr>
        <w:adjustRightInd w:val="0"/>
        <w:snapToGrid w:val="0"/>
        <w:spacing w:line="560" w:lineRule="exact"/>
        <w:ind w:firstLine="640" w:firstLineChars="200"/>
        <w:rPr>
          <w:rFonts w:eastAsia="方正仿宋_GBK"/>
          <w:color w:val="000000"/>
          <w:sz w:val="32"/>
          <w:szCs w:val="32"/>
        </w:rPr>
      </w:pPr>
      <w:r>
        <w:rPr>
          <w:rFonts w:eastAsia="方正仿宋_GBK"/>
          <w:color w:val="000000"/>
          <w:kern w:val="0"/>
          <w:sz w:val="32"/>
          <w:szCs w:val="32"/>
        </w:rPr>
        <w:t>区地指报请市政府、市地指批准同意，启动Ⅱ级响应，除严格执行</w:t>
      </w:r>
      <w:r>
        <w:rPr>
          <w:rFonts w:eastAsia="方正仿宋_GBK"/>
          <w:color w:val="000000"/>
          <w:sz w:val="32"/>
          <w:szCs w:val="32"/>
        </w:rPr>
        <w:t>Ⅲ级应急处置措施外，还应当开展以下工作：</w:t>
      </w:r>
    </w:p>
    <w:p>
      <w:pPr>
        <w:numPr>
          <w:ilvl w:val="0"/>
          <w:numId w:val="3"/>
        </w:numPr>
        <w:adjustRightInd w:val="0"/>
        <w:snapToGrid w:val="0"/>
        <w:spacing w:line="560" w:lineRule="exact"/>
        <w:ind w:firstLine="640" w:firstLineChars="200"/>
        <w:rPr>
          <w:rFonts w:eastAsia="方正仿宋_GBK"/>
          <w:color w:val="000000"/>
          <w:kern w:val="0"/>
          <w:sz w:val="32"/>
          <w:szCs w:val="32"/>
        </w:rPr>
      </w:pPr>
      <w:r>
        <w:rPr>
          <w:rFonts w:eastAsia="方正仿宋_GBK"/>
          <w:color w:val="000000"/>
          <w:kern w:val="0"/>
          <w:sz w:val="32"/>
          <w:szCs w:val="32"/>
        </w:rPr>
        <w:t>区级抢险救援队伍和区消防救援支队等赶赴现场，驻万部队备勤；</w:t>
      </w:r>
    </w:p>
    <w:p>
      <w:pPr>
        <w:pStyle w:val="2"/>
        <w:ind w:firstLine="640" w:firstLineChars="200"/>
        <w:rPr>
          <w:rFonts w:hint="default" w:ascii="Times New Roman" w:eastAsia="方正仿宋_GBK"/>
        </w:rPr>
      </w:pPr>
      <w:r>
        <w:rPr>
          <w:rFonts w:hint="default" w:ascii="Times New Roman" w:eastAsia="方正仿宋_GBK"/>
          <w:sz w:val="32"/>
          <w:szCs w:val="32"/>
        </w:rPr>
        <w:t>（2）区级现场（临时）指挥部由区地指指挥长任现场指挥长，必要时区长赶赴现场，在市地指的指导下组织抢险救灾；市级指挥人员到场后，移交指挥权，积极配合开展各项工作；</w:t>
      </w:r>
    </w:p>
    <w:p>
      <w:pPr>
        <w:adjustRightInd w:val="0"/>
        <w:snapToGrid w:val="0"/>
        <w:spacing w:line="560" w:lineRule="exact"/>
        <w:ind w:firstLine="640" w:firstLineChars="200"/>
        <w:rPr>
          <w:rFonts w:eastAsia="方正仿宋_GBK"/>
          <w:color w:val="000000"/>
          <w:sz w:val="32"/>
          <w:szCs w:val="32"/>
        </w:rPr>
      </w:pPr>
      <w:r>
        <w:rPr>
          <w:rFonts w:eastAsia="方正仿宋_GBK"/>
          <w:color w:val="000000"/>
          <w:sz w:val="32"/>
          <w:szCs w:val="32"/>
        </w:rPr>
        <w:t>（3）增加专业监测，监测数据及分析结论应随时报送市地指；</w:t>
      </w:r>
    </w:p>
    <w:p>
      <w:pPr>
        <w:adjustRightInd w:val="0"/>
        <w:snapToGrid w:val="0"/>
        <w:spacing w:line="560" w:lineRule="exact"/>
        <w:ind w:firstLine="640" w:firstLineChars="200"/>
        <w:rPr>
          <w:rFonts w:eastAsia="方正仿宋_GBK"/>
          <w:color w:val="000000"/>
          <w:kern w:val="0"/>
          <w:sz w:val="32"/>
          <w:szCs w:val="32"/>
        </w:rPr>
      </w:pPr>
      <w:r>
        <w:rPr>
          <w:rFonts w:eastAsia="方正仿宋_GBK"/>
          <w:color w:val="000000"/>
          <w:kern w:val="0"/>
          <w:sz w:val="32"/>
          <w:szCs w:val="32"/>
        </w:rPr>
        <w:t>（4）抢险救援方案应经专家会商，充分论证；</w:t>
      </w:r>
    </w:p>
    <w:p>
      <w:pPr>
        <w:adjustRightInd w:val="0"/>
        <w:snapToGrid w:val="0"/>
        <w:spacing w:line="560" w:lineRule="exact"/>
        <w:ind w:firstLine="640" w:firstLineChars="200"/>
        <w:rPr>
          <w:rFonts w:eastAsia="方正仿宋_GBK"/>
          <w:color w:val="000000"/>
          <w:kern w:val="0"/>
          <w:sz w:val="32"/>
          <w:szCs w:val="32"/>
        </w:rPr>
      </w:pPr>
      <w:r>
        <w:rPr>
          <w:rFonts w:eastAsia="方正仿宋_GBK"/>
          <w:color w:val="000000"/>
          <w:kern w:val="0"/>
          <w:sz w:val="32"/>
          <w:szCs w:val="32"/>
        </w:rPr>
        <w:t>（5）根据灾情、险情的发展和救灾需要，不断增派地质灾害防治救援专家和抢险救援队</w:t>
      </w:r>
      <w:r>
        <w:rPr>
          <w:rFonts w:eastAsia="方正仿宋_GBK"/>
          <w:color w:val="000000"/>
          <w:sz w:val="32"/>
          <w:szCs w:val="32"/>
        </w:rPr>
        <w:t>伍赶赴现场</w:t>
      </w:r>
      <w:r>
        <w:rPr>
          <w:rFonts w:eastAsia="方正仿宋_GBK"/>
          <w:color w:val="000000"/>
          <w:kern w:val="0"/>
          <w:sz w:val="32"/>
          <w:szCs w:val="32"/>
        </w:rPr>
        <w:t>，必要时调集相邻地区应急抢险救援队伍支援；</w:t>
      </w:r>
    </w:p>
    <w:p>
      <w:pPr>
        <w:adjustRightInd w:val="0"/>
        <w:snapToGrid w:val="0"/>
        <w:spacing w:line="560" w:lineRule="exact"/>
        <w:ind w:firstLine="640" w:firstLineChars="200"/>
        <w:rPr>
          <w:rFonts w:eastAsia="方正仿宋_GBK"/>
          <w:color w:val="000000"/>
          <w:kern w:val="0"/>
          <w:sz w:val="32"/>
          <w:szCs w:val="32"/>
        </w:rPr>
      </w:pPr>
      <w:r>
        <w:rPr>
          <w:rFonts w:eastAsia="方正仿宋_GBK"/>
          <w:color w:val="000000"/>
          <w:sz w:val="32"/>
          <w:szCs w:val="32"/>
        </w:rPr>
        <w:t>（6）及时向上级汇报救援情况。</w:t>
      </w:r>
    </w:p>
    <w:p>
      <w:pPr>
        <w:adjustRightInd w:val="0"/>
        <w:snapToGrid w:val="0"/>
        <w:spacing w:line="560" w:lineRule="exact"/>
        <w:ind w:firstLine="640" w:firstLineChars="200"/>
        <w:outlineLvl w:val="2"/>
        <w:rPr>
          <w:rFonts w:eastAsia="方正仿宋_GBK"/>
          <w:color w:val="000000"/>
          <w:sz w:val="32"/>
          <w:szCs w:val="32"/>
        </w:rPr>
      </w:pPr>
      <w:r>
        <w:rPr>
          <w:rFonts w:eastAsia="方正仿宋_GBK"/>
          <w:color w:val="000000"/>
          <w:sz w:val="32"/>
          <w:szCs w:val="32"/>
        </w:rPr>
        <w:t>5.3.4Ⅰ级响应措施</w:t>
      </w:r>
    </w:p>
    <w:p>
      <w:pPr>
        <w:pStyle w:val="2"/>
        <w:snapToGrid w:val="0"/>
        <w:spacing w:line="560" w:lineRule="exact"/>
        <w:ind w:firstLine="640" w:firstLineChars="200"/>
        <w:rPr>
          <w:rFonts w:hint="default" w:ascii="Times New Roman" w:eastAsia="方正仿宋_GBK"/>
        </w:rPr>
      </w:pPr>
      <w:bookmarkStart w:id="60" w:name="_Hlk62145234"/>
      <w:r>
        <w:rPr>
          <w:rFonts w:hint="default" w:ascii="Times New Roman" w:eastAsia="方正仿宋_GBK"/>
          <w:sz w:val="32"/>
          <w:szCs w:val="32"/>
        </w:rPr>
        <w:t>区地指报请市政府、市地指批准同意，启动Ⅰ级响应，相关措施同Ⅱ级</w:t>
      </w:r>
      <w:bookmarkEnd w:id="60"/>
      <w:r>
        <w:rPr>
          <w:rFonts w:hint="default" w:ascii="Times New Roman" w:eastAsia="方正仿宋_GBK"/>
          <w:sz w:val="32"/>
          <w:szCs w:val="32"/>
        </w:rPr>
        <w:t>。</w:t>
      </w:r>
    </w:p>
    <w:p>
      <w:pPr>
        <w:pStyle w:val="3"/>
        <w:adjustRightInd w:val="0"/>
        <w:spacing w:line="560" w:lineRule="exact"/>
        <w:ind w:firstLine="640" w:firstLineChars="200"/>
        <w:rPr>
          <w:rFonts w:ascii="Times New Roman" w:hAnsi="Times New Roman" w:eastAsia="方正黑体_GBK"/>
          <w:b w:val="0"/>
          <w:sz w:val="32"/>
          <w:lang w:val="zh-CN"/>
        </w:rPr>
      </w:pPr>
      <w:bookmarkStart w:id="61" w:name="_Toc28440"/>
      <w:bookmarkStart w:id="62" w:name="_Toc20759"/>
      <w:bookmarkStart w:id="63" w:name="_Toc692"/>
      <w:bookmarkStart w:id="64" w:name="_Toc686"/>
      <w:bookmarkStart w:id="65" w:name="_Toc38011420"/>
      <w:bookmarkStart w:id="66" w:name="_Toc13926"/>
      <w:r>
        <w:rPr>
          <w:rFonts w:ascii="Times New Roman" w:hAnsi="Times New Roman" w:eastAsia="方正黑体_GBK"/>
          <w:b w:val="0"/>
          <w:sz w:val="32"/>
        </w:rPr>
        <w:t xml:space="preserve">6 </w:t>
      </w:r>
      <w:r>
        <w:rPr>
          <w:rFonts w:ascii="Times New Roman" w:hAnsi="Times New Roman" w:eastAsia="方正黑体_GBK"/>
          <w:b w:val="0"/>
          <w:sz w:val="32"/>
          <w:lang w:val="zh-CN"/>
        </w:rPr>
        <w:t>应急结束</w:t>
      </w:r>
      <w:bookmarkEnd w:id="61"/>
      <w:bookmarkEnd w:id="62"/>
    </w:p>
    <w:p>
      <w:pPr>
        <w:adjustRightInd w:val="0"/>
        <w:snapToGrid w:val="0"/>
        <w:spacing w:line="560" w:lineRule="exact"/>
        <w:ind w:firstLine="640" w:firstLineChars="200"/>
        <w:rPr>
          <w:rFonts w:eastAsia="方正仿宋_GBK"/>
          <w:color w:val="000000"/>
          <w:kern w:val="0"/>
          <w:sz w:val="32"/>
          <w:szCs w:val="32"/>
        </w:rPr>
      </w:pPr>
      <w:r>
        <w:rPr>
          <w:rFonts w:eastAsia="方正仿宋_GBK"/>
          <w:color w:val="000000"/>
          <w:kern w:val="0"/>
          <w:sz w:val="32"/>
          <w:szCs w:val="32"/>
        </w:rPr>
        <w:t>经专家组鉴定地质灾害灾情（险情）已消除或得到有效控制后，由启动应急响应的机构终止应急响应。</w:t>
      </w:r>
    </w:p>
    <w:p>
      <w:pPr>
        <w:pStyle w:val="3"/>
        <w:keepNext w:val="0"/>
        <w:keepLines w:val="0"/>
        <w:adjustRightInd w:val="0"/>
        <w:spacing w:line="560" w:lineRule="exact"/>
        <w:ind w:firstLine="640" w:firstLineChars="200"/>
        <w:rPr>
          <w:rFonts w:ascii="Times New Roman" w:hAnsi="Times New Roman" w:eastAsia="方正楷体_GBK"/>
          <w:b w:val="0"/>
          <w:sz w:val="32"/>
          <w:lang w:val="zh-CN"/>
        </w:rPr>
      </w:pPr>
      <w:bookmarkStart w:id="67" w:name="_Toc27159"/>
      <w:bookmarkStart w:id="68" w:name="_Toc22704"/>
      <w:r>
        <w:rPr>
          <w:rFonts w:ascii="Times New Roman" w:hAnsi="Times New Roman" w:eastAsia="方正楷体_GBK"/>
          <w:b w:val="0"/>
          <w:sz w:val="32"/>
        </w:rPr>
        <w:t>7</w:t>
      </w:r>
      <w:r>
        <w:rPr>
          <w:rFonts w:ascii="Times New Roman" w:hAnsi="Times New Roman" w:eastAsia="方正黑体_GBK"/>
          <w:b w:val="0"/>
          <w:sz w:val="32"/>
          <w:lang w:val="zh-CN"/>
        </w:rPr>
        <w:t>后期处置和新闻通报</w:t>
      </w:r>
      <w:bookmarkEnd w:id="63"/>
      <w:bookmarkEnd w:id="64"/>
      <w:bookmarkEnd w:id="65"/>
      <w:bookmarkEnd w:id="66"/>
      <w:bookmarkEnd w:id="67"/>
      <w:bookmarkEnd w:id="68"/>
    </w:p>
    <w:p>
      <w:pPr>
        <w:pStyle w:val="5"/>
        <w:keepNext w:val="0"/>
        <w:keepLines w:val="0"/>
        <w:adjustRightInd w:val="0"/>
        <w:snapToGrid w:val="0"/>
        <w:spacing w:before="0" w:after="0" w:line="560" w:lineRule="exact"/>
        <w:ind w:firstLine="640" w:firstLineChars="200"/>
        <w:rPr>
          <w:rFonts w:ascii="Times New Roman" w:hAnsi="Times New Roman" w:eastAsia="方正楷体_GBK"/>
          <w:b w:val="0"/>
          <w:bCs w:val="0"/>
        </w:rPr>
      </w:pPr>
      <w:bookmarkStart w:id="69" w:name="_Toc14820"/>
      <w:bookmarkStart w:id="70" w:name="_Toc16948"/>
      <w:bookmarkStart w:id="71" w:name="_Toc2506"/>
      <w:bookmarkStart w:id="72" w:name="_Toc24939"/>
      <w:bookmarkStart w:id="73" w:name="_Toc38011421"/>
      <w:bookmarkStart w:id="74" w:name="_Toc26920"/>
      <w:r>
        <w:rPr>
          <w:rFonts w:ascii="Times New Roman" w:hAnsi="Times New Roman" w:eastAsia="方正楷体_GBK"/>
          <w:b w:val="0"/>
          <w:bCs w:val="0"/>
        </w:rPr>
        <w:t>7.1善后处置</w:t>
      </w:r>
      <w:bookmarkEnd w:id="69"/>
      <w:bookmarkEnd w:id="70"/>
      <w:bookmarkEnd w:id="71"/>
      <w:bookmarkEnd w:id="72"/>
      <w:bookmarkEnd w:id="73"/>
      <w:bookmarkEnd w:id="74"/>
    </w:p>
    <w:p>
      <w:pPr>
        <w:adjustRightInd w:val="0"/>
        <w:snapToGrid w:val="0"/>
        <w:spacing w:line="560" w:lineRule="exact"/>
        <w:ind w:firstLine="640" w:firstLineChars="200"/>
        <w:rPr>
          <w:rFonts w:eastAsia="方正仿宋_GBK"/>
          <w:sz w:val="32"/>
          <w:szCs w:val="32"/>
        </w:rPr>
      </w:pPr>
      <w:r>
        <w:rPr>
          <w:rFonts w:eastAsia="方正仿宋_GBK"/>
          <w:sz w:val="32"/>
          <w:szCs w:val="32"/>
        </w:rPr>
        <w:t>地质灾害应急响应结束后，</w:t>
      </w:r>
      <w:r>
        <w:rPr>
          <w:rFonts w:eastAsia="方正仿宋_GBK"/>
          <w:color w:val="000000"/>
          <w:sz w:val="32"/>
          <w:szCs w:val="32"/>
        </w:rPr>
        <w:t>由当地镇乡</w:t>
      </w:r>
      <w:r>
        <w:rPr>
          <w:rFonts w:eastAsia="方正仿宋_GBK"/>
          <w:spacing w:val="-4"/>
          <w:kern w:val="0"/>
          <w:sz w:val="32"/>
          <w:szCs w:val="32"/>
        </w:rPr>
        <w:t>（街道）</w:t>
      </w:r>
      <w:r>
        <w:rPr>
          <w:rFonts w:eastAsia="方正仿宋_GBK"/>
          <w:color w:val="000000"/>
          <w:sz w:val="32"/>
          <w:szCs w:val="32"/>
        </w:rPr>
        <w:t>牵头，按有关法规和政策，对</w:t>
      </w:r>
      <w:r>
        <w:rPr>
          <w:rFonts w:eastAsia="方正仿宋_GBK"/>
          <w:sz w:val="32"/>
          <w:szCs w:val="32"/>
        </w:rPr>
        <w:t>地质灾害受灾人员给予救助和救济，做好灾民安抚、转移安置、灾后后续监测及必要的防范等善后工作。迅速对地质灾害现场进行清理，排除障碍，恢复交通，保障城市功能、统筹安排灾区的生产生活和恢复重建工作。</w:t>
      </w:r>
    </w:p>
    <w:p>
      <w:pPr>
        <w:pStyle w:val="5"/>
        <w:adjustRightInd w:val="0"/>
        <w:snapToGrid w:val="0"/>
        <w:spacing w:before="0" w:after="0" w:line="560" w:lineRule="exact"/>
        <w:ind w:firstLine="640" w:firstLineChars="200"/>
        <w:rPr>
          <w:rFonts w:ascii="Times New Roman" w:hAnsi="Times New Roman" w:eastAsia="方正楷体_GBK"/>
          <w:b w:val="0"/>
          <w:bCs w:val="0"/>
        </w:rPr>
      </w:pPr>
      <w:bookmarkStart w:id="75" w:name="_Toc10863"/>
      <w:bookmarkStart w:id="76" w:name="_Toc19451"/>
      <w:bookmarkStart w:id="77" w:name="_Toc14807"/>
      <w:bookmarkStart w:id="78" w:name="_Toc28764"/>
      <w:bookmarkStart w:id="79" w:name="_Toc9678"/>
      <w:bookmarkStart w:id="80" w:name="_Toc38011422"/>
      <w:r>
        <w:rPr>
          <w:rFonts w:ascii="Times New Roman" w:hAnsi="Times New Roman" w:eastAsia="方正楷体_GBK"/>
          <w:b w:val="0"/>
          <w:bCs w:val="0"/>
        </w:rPr>
        <w:t>7.2社会救助</w:t>
      </w:r>
      <w:bookmarkEnd w:id="75"/>
      <w:bookmarkEnd w:id="76"/>
      <w:bookmarkEnd w:id="77"/>
      <w:bookmarkEnd w:id="78"/>
      <w:bookmarkEnd w:id="79"/>
      <w:bookmarkEnd w:id="80"/>
    </w:p>
    <w:p>
      <w:pPr>
        <w:adjustRightInd w:val="0"/>
        <w:snapToGrid w:val="0"/>
        <w:spacing w:line="560" w:lineRule="exact"/>
        <w:ind w:firstLine="640" w:firstLineChars="200"/>
        <w:rPr>
          <w:rFonts w:eastAsia="方正仿宋_GBK"/>
          <w:sz w:val="32"/>
          <w:szCs w:val="32"/>
        </w:rPr>
      </w:pPr>
      <w:r>
        <w:rPr>
          <w:rFonts w:eastAsia="方正仿宋_GBK"/>
          <w:sz w:val="32"/>
          <w:szCs w:val="32"/>
        </w:rPr>
        <w:t>突发地质灾害发生后，社会、个人向受灾人员捐赠资金和物资等工作，由区应急局、区红十字会以及救灾募捐公益基金会等单位接受，并按规定加强管理和监督。</w:t>
      </w:r>
    </w:p>
    <w:p>
      <w:pPr>
        <w:pStyle w:val="5"/>
        <w:adjustRightInd w:val="0"/>
        <w:snapToGrid w:val="0"/>
        <w:spacing w:before="0" w:after="0" w:line="560" w:lineRule="exact"/>
        <w:ind w:firstLine="640" w:firstLineChars="200"/>
        <w:rPr>
          <w:rFonts w:ascii="Times New Roman" w:hAnsi="Times New Roman" w:eastAsia="方正楷体_GBK"/>
          <w:b w:val="0"/>
          <w:bCs w:val="0"/>
        </w:rPr>
      </w:pPr>
      <w:bookmarkStart w:id="81" w:name="_Toc3192"/>
      <w:bookmarkStart w:id="82" w:name="_Toc38011423"/>
      <w:bookmarkStart w:id="83" w:name="_Toc20378"/>
      <w:bookmarkStart w:id="84" w:name="_Toc3839"/>
      <w:bookmarkStart w:id="85" w:name="_Toc13026"/>
      <w:bookmarkStart w:id="86" w:name="_Toc21082"/>
      <w:r>
        <w:rPr>
          <w:rFonts w:ascii="Times New Roman" w:hAnsi="Times New Roman" w:eastAsia="方正楷体_GBK"/>
          <w:b w:val="0"/>
          <w:bCs w:val="0"/>
        </w:rPr>
        <w:t>7.3保险理</w:t>
      </w:r>
      <w:bookmarkEnd w:id="81"/>
      <w:bookmarkEnd w:id="82"/>
      <w:bookmarkEnd w:id="83"/>
      <w:bookmarkEnd w:id="84"/>
      <w:r>
        <w:rPr>
          <w:rFonts w:ascii="Times New Roman" w:hAnsi="Times New Roman" w:eastAsia="方正楷体_GBK"/>
          <w:b w:val="0"/>
          <w:bCs w:val="0"/>
        </w:rPr>
        <w:t>赔</w:t>
      </w:r>
      <w:bookmarkEnd w:id="85"/>
      <w:bookmarkEnd w:id="86"/>
    </w:p>
    <w:p>
      <w:pPr>
        <w:adjustRightInd w:val="0"/>
        <w:snapToGrid w:val="0"/>
        <w:spacing w:line="560" w:lineRule="exact"/>
        <w:ind w:firstLine="640" w:firstLineChars="200"/>
        <w:rPr>
          <w:rFonts w:eastAsia="方正仿宋_GBK"/>
          <w:sz w:val="32"/>
          <w:szCs w:val="32"/>
        </w:rPr>
      </w:pPr>
      <w:r>
        <w:rPr>
          <w:rFonts w:eastAsia="方正仿宋_GBK"/>
          <w:sz w:val="32"/>
          <w:szCs w:val="32"/>
        </w:rPr>
        <w:t>突发地质灾害发生后，</w:t>
      </w:r>
      <w:r>
        <w:rPr>
          <w:rFonts w:eastAsia="方正仿宋_GBK"/>
          <w:color w:val="000000"/>
          <w:sz w:val="32"/>
          <w:szCs w:val="32"/>
        </w:rPr>
        <w:t>现场指挥部及时协调有关保险公司提前介入，按有关规定作好保险理赔工作。</w:t>
      </w:r>
    </w:p>
    <w:p>
      <w:pPr>
        <w:pStyle w:val="5"/>
        <w:adjustRightInd w:val="0"/>
        <w:snapToGrid w:val="0"/>
        <w:spacing w:before="0" w:after="0" w:line="560" w:lineRule="exact"/>
        <w:ind w:firstLine="640" w:firstLineChars="200"/>
        <w:rPr>
          <w:rFonts w:ascii="Times New Roman" w:hAnsi="Times New Roman" w:eastAsia="方正楷体_GBK"/>
          <w:b w:val="0"/>
          <w:bCs w:val="0"/>
        </w:rPr>
      </w:pPr>
      <w:bookmarkStart w:id="87" w:name="_Toc38011424"/>
      <w:bookmarkStart w:id="88" w:name="_Toc23629"/>
      <w:bookmarkStart w:id="89" w:name="_Toc442"/>
      <w:bookmarkStart w:id="90" w:name="_Toc5160"/>
      <w:bookmarkStart w:id="91" w:name="_Toc3062"/>
      <w:bookmarkStart w:id="92" w:name="_Toc9503"/>
      <w:r>
        <w:rPr>
          <w:rFonts w:ascii="Times New Roman" w:hAnsi="Times New Roman" w:eastAsia="方正楷体_GBK"/>
          <w:b w:val="0"/>
          <w:bCs w:val="0"/>
        </w:rPr>
        <w:t>7.4调查评估</w:t>
      </w:r>
      <w:bookmarkEnd w:id="87"/>
      <w:bookmarkEnd w:id="88"/>
      <w:bookmarkEnd w:id="89"/>
      <w:bookmarkEnd w:id="90"/>
      <w:bookmarkEnd w:id="91"/>
      <w:bookmarkEnd w:id="92"/>
    </w:p>
    <w:p>
      <w:pPr>
        <w:pStyle w:val="7"/>
        <w:adjustRightInd w:val="0"/>
        <w:snapToGrid w:val="0"/>
        <w:spacing w:after="0" w:line="560" w:lineRule="exact"/>
        <w:ind w:left="0" w:leftChars="0" w:firstLine="640" w:firstLineChars="200"/>
        <w:rPr>
          <w:rFonts w:eastAsia="方正仿宋_GBK"/>
          <w:sz w:val="32"/>
          <w:szCs w:val="32"/>
        </w:rPr>
      </w:pPr>
      <w:bookmarkStart w:id="93" w:name="_Toc4048"/>
      <w:bookmarkStart w:id="94" w:name="_Toc6463"/>
      <w:bookmarkStart w:id="95" w:name="_Toc14970"/>
      <w:bookmarkStart w:id="96" w:name="_Toc38011425"/>
      <w:r>
        <w:rPr>
          <w:rFonts w:eastAsia="方正仿宋_GBK"/>
          <w:sz w:val="32"/>
          <w:szCs w:val="32"/>
        </w:rPr>
        <w:t>地质灾害事件抢险救援工作结束后，调查评估组应立即对该地质灾害事件的灾情、影响、灾前预防与应急准备、应急救援过程等起因、影响、经验、教训等问题开展调查分析，对事发地应急体系建设情况、监测预警与风险防范、应急准备、应急处置和抢险救援等工作进行调查评估，总结经验教训，制定改进措施。地质灾害灾情（险情）为人为活动引发的，依照有关法律、法规追究有关责任人的责任。</w:t>
      </w:r>
    </w:p>
    <w:p>
      <w:pPr>
        <w:pStyle w:val="7"/>
        <w:adjustRightInd w:val="0"/>
        <w:snapToGrid w:val="0"/>
        <w:spacing w:after="0" w:line="560" w:lineRule="exact"/>
        <w:ind w:left="0" w:leftChars="0" w:firstLine="640" w:firstLineChars="200"/>
        <w:rPr>
          <w:rFonts w:eastAsia="方正仿宋_GBK"/>
          <w:sz w:val="32"/>
          <w:szCs w:val="32"/>
        </w:rPr>
      </w:pPr>
      <w:r>
        <w:rPr>
          <w:rFonts w:eastAsia="方正仿宋_GBK"/>
          <w:color w:val="000000"/>
          <w:sz w:val="32"/>
          <w:szCs w:val="32"/>
        </w:rPr>
        <w:t>根据《重庆市地质灾害防治条例》规定，由区应急局组织实施地质灾害调查评估，将工作方案和调查结果报市应急局备案，</w:t>
      </w:r>
      <w:r>
        <w:rPr>
          <w:rFonts w:eastAsia="方正仿宋_GBK"/>
          <w:sz w:val="32"/>
          <w:szCs w:val="32"/>
        </w:rPr>
        <w:t>并及时向区政府和区纪委监委等部门通报调查结果。有关部门对责任事故开展进一步调查，追究有关责任人的责任。</w:t>
      </w:r>
    </w:p>
    <w:p>
      <w:pPr>
        <w:pStyle w:val="5"/>
        <w:adjustRightInd w:val="0"/>
        <w:snapToGrid w:val="0"/>
        <w:spacing w:before="0" w:after="0" w:line="560" w:lineRule="exact"/>
        <w:ind w:firstLine="640" w:firstLineChars="200"/>
        <w:rPr>
          <w:rFonts w:ascii="Times New Roman" w:hAnsi="Times New Roman" w:eastAsia="方正楷体_GBK"/>
          <w:b w:val="0"/>
          <w:bCs w:val="0"/>
        </w:rPr>
      </w:pPr>
      <w:bookmarkStart w:id="97" w:name="_Toc4470"/>
      <w:bookmarkStart w:id="98" w:name="_Toc13687"/>
      <w:r>
        <w:rPr>
          <w:rFonts w:ascii="Times New Roman" w:hAnsi="Times New Roman" w:eastAsia="方正楷体_GBK"/>
          <w:b w:val="0"/>
          <w:bCs w:val="0"/>
        </w:rPr>
        <w:t>7.5新闻通报</w:t>
      </w:r>
      <w:bookmarkEnd w:id="93"/>
      <w:bookmarkEnd w:id="94"/>
      <w:bookmarkEnd w:id="95"/>
      <w:bookmarkEnd w:id="96"/>
      <w:bookmarkEnd w:id="97"/>
      <w:bookmarkEnd w:id="98"/>
    </w:p>
    <w:p>
      <w:pPr>
        <w:pStyle w:val="7"/>
        <w:adjustRightInd w:val="0"/>
        <w:snapToGrid w:val="0"/>
        <w:spacing w:after="0" w:line="560" w:lineRule="exact"/>
        <w:ind w:left="0" w:leftChars="0" w:firstLine="640" w:firstLineChars="200"/>
        <w:rPr>
          <w:rFonts w:eastAsia="方正仿宋_GBK"/>
          <w:sz w:val="32"/>
          <w:szCs w:val="32"/>
        </w:rPr>
      </w:pPr>
      <w:r>
        <w:rPr>
          <w:rFonts w:eastAsia="方正仿宋_GBK"/>
          <w:color w:val="000000"/>
          <w:sz w:val="32"/>
          <w:szCs w:val="32"/>
        </w:rPr>
        <w:t>区委宣传部</w:t>
      </w:r>
      <w:r>
        <w:rPr>
          <w:rFonts w:eastAsia="方正仿宋_GBK"/>
          <w:sz w:val="32"/>
          <w:szCs w:val="32"/>
        </w:rPr>
        <w:t>按照《重庆市突发事件新闻发布应急预案》有关规定，做好相关信息发布工作。大型及以上突发地质灾害灾情（险情）的新闻报道工作，由市委宣传部、市委网信办牵头成立新闻发布机构，按照有关规定统一向媒体发布灾害监测预警情况、损失情况、救援情况等信息。中型、小型突发地质灾害灾情（险情）的新闻报道工作，由区委宣传部牵头，按有关规定统一向媒体发布灾害监测预警情况、损失情况、救援情况等信息。</w:t>
      </w:r>
    </w:p>
    <w:p>
      <w:pPr>
        <w:pStyle w:val="3"/>
        <w:adjustRightInd w:val="0"/>
        <w:spacing w:line="560" w:lineRule="exact"/>
        <w:ind w:firstLine="640" w:firstLineChars="200"/>
        <w:rPr>
          <w:rFonts w:ascii="Times New Roman" w:hAnsi="Times New Roman" w:eastAsia="方正黑体_GBK"/>
          <w:b w:val="0"/>
          <w:sz w:val="32"/>
        </w:rPr>
      </w:pPr>
      <w:bookmarkStart w:id="99" w:name="_Toc18201"/>
      <w:bookmarkStart w:id="100" w:name="_Toc30878"/>
      <w:bookmarkStart w:id="101" w:name="_Toc19327"/>
      <w:bookmarkStart w:id="102" w:name="_Toc22188"/>
      <w:bookmarkStart w:id="103" w:name="_Toc13191"/>
      <w:bookmarkStart w:id="104" w:name="_Toc38011426"/>
      <w:r>
        <w:rPr>
          <w:rFonts w:ascii="Times New Roman" w:hAnsi="Times New Roman" w:eastAsia="方正黑体_GBK"/>
          <w:b w:val="0"/>
          <w:sz w:val="32"/>
        </w:rPr>
        <w:t>8保障措施</w:t>
      </w:r>
      <w:bookmarkEnd w:id="99"/>
      <w:bookmarkEnd w:id="100"/>
      <w:bookmarkEnd w:id="101"/>
      <w:bookmarkEnd w:id="102"/>
      <w:bookmarkEnd w:id="103"/>
      <w:bookmarkEnd w:id="104"/>
    </w:p>
    <w:p>
      <w:pPr>
        <w:pStyle w:val="23"/>
        <w:adjustRightInd w:val="0"/>
        <w:snapToGrid w:val="0"/>
        <w:spacing w:before="0" w:after="0" w:line="560" w:lineRule="exact"/>
        <w:ind w:firstLine="640" w:firstLineChars="200"/>
        <w:jc w:val="left"/>
        <w:outlineLvl w:val="2"/>
        <w:rPr>
          <w:rFonts w:ascii="Times New Roman" w:hAnsi="Times New Roman" w:eastAsia="方正楷体_GBK"/>
        </w:rPr>
      </w:pPr>
      <w:bookmarkStart w:id="105" w:name="_Toc5759"/>
      <w:bookmarkStart w:id="106" w:name="_Toc32730"/>
      <w:bookmarkStart w:id="107" w:name="_Toc54883781"/>
      <w:bookmarkStart w:id="108" w:name="_Toc26839"/>
      <w:bookmarkStart w:id="109" w:name="_Toc11681"/>
      <w:bookmarkStart w:id="110" w:name="_Toc38011433"/>
      <w:bookmarkStart w:id="111" w:name="_Toc11536"/>
      <w:r>
        <w:rPr>
          <w:rFonts w:ascii="Times New Roman" w:hAnsi="Times New Roman" w:eastAsia="方正楷体_GBK"/>
        </w:rPr>
        <w:t>8.1</w:t>
      </w:r>
      <w:r>
        <w:rPr>
          <w:rFonts w:ascii="Times New Roman" w:hAnsi="Times New Roman" w:eastAsia="方正楷体_GBK"/>
          <w:lang w:val="zh-CN"/>
        </w:rPr>
        <w:t>信息与通信保障</w:t>
      </w:r>
      <w:bookmarkEnd w:id="105"/>
      <w:bookmarkEnd w:id="106"/>
      <w:bookmarkEnd w:id="107"/>
    </w:p>
    <w:p>
      <w:pPr>
        <w:pStyle w:val="7"/>
        <w:adjustRightInd w:val="0"/>
        <w:snapToGrid w:val="0"/>
        <w:spacing w:after="0" w:line="560" w:lineRule="exact"/>
        <w:ind w:left="0" w:leftChars="0" w:firstLine="640" w:firstLineChars="200"/>
        <w:rPr>
          <w:rFonts w:eastAsia="方正仿宋_GBK"/>
          <w:color w:val="000000"/>
          <w:sz w:val="32"/>
          <w:szCs w:val="32"/>
        </w:rPr>
      </w:pPr>
      <w:r>
        <w:rPr>
          <w:rFonts w:eastAsia="方正仿宋_GBK"/>
          <w:sz w:val="32"/>
          <w:szCs w:val="32"/>
        </w:rPr>
        <w:t>建立突发性地质灾害信息采集、处理制度，确保应急处置期间的信息畅通。</w:t>
      </w:r>
      <w:r>
        <w:rPr>
          <w:rFonts w:eastAsia="方正仿宋_GBK"/>
          <w:color w:val="000000"/>
          <w:sz w:val="32"/>
          <w:szCs w:val="32"/>
        </w:rPr>
        <w:t>充分利用现代通讯手段，构建由有线、无线和卫星等组成的完善的通信系统，并配备对讲机、手机终端、移动单兵等通讯设备，保证日常应急管理联络安全、畅通。区地指成员单位及各应急救援队伍，确定1名负责人和联系人，保持24小时的通讯畅通。</w:t>
      </w:r>
    </w:p>
    <w:p>
      <w:pPr>
        <w:pStyle w:val="7"/>
        <w:adjustRightInd w:val="0"/>
        <w:snapToGrid w:val="0"/>
        <w:spacing w:after="0" w:line="560" w:lineRule="exact"/>
        <w:ind w:left="0" w:leftChars="0" w:firstLine="640" w:firstLineChars="200"/>
        <w:rPr>
          <w:rFonts w:eastAsia="方正仿宋_GBK"/>
          <w:color w:val="000000"/>
          <w:sz w:val="32"/>
          <w:szCs w:val="32"/>
        </w:rPr>
      </w:pPr>
      <w:r>
        <w:rPr>
          <w:rFonts w:eastAsia="方正仿宋_GBK"/>
          <w:color w:val="000000"/>
          <w:sz w:val="32"/>
          <w:szCs w:val="32"/>
        </w:rPr>
        <w:t>利用互联网技术，加强地质灾害监测、预警、预报、远程会商信息系统建设，建立覆盖全区的地质灾害防治和应急信息网络，利用微信公众号、微信群、QQ群等方式实现各部门间的信息共享，切实提高全区地质灾害应急能力。</w:t>
      </w:r>
    </w:p>
    <w:p>
      <w:pPr>
        <w:pStyle w:val="23"/>
        <w:adjustRightInd w:val="0"/>
        <w:snapToGrid w:val="0"/>
        <w:spacing w:before="0" w:after="0" w:line="560" w:lineRule="exact"/>
        <w:ind w:firstLine="640" w:firstLineChars="200"/>
        <w:jc w:val="left"/>
        <w:outlineLvl w:val="2"/>
        <w:rPr>
          <w:rFonts w:ascii="Times New Roman" w:hAnsi="Times New Roman" w:eastAsia="方正楷体_GBK"/>
          <w:lang w:val="zh-CN"/>
        </w:rPr>
      </w:pPr>
      <w:bookmarkStart w:id="112" w:name="_Toc54883782"/>
      <w:bookmarkStart w:id="113" w:name="_Toc27666"/>
      <w:bookmarkStart w:id="114" w:name="_Toc16265"/>
      <w:r>
        <w:rPr>
          <w:rFonts w:ascii="Times New Roman" w:hAnsi="Times New Roman" w:eastAsia="方正楷体_GBK"/>
        </w:rPr>
        <w:t>8</w:t>
      </w:r>
      <w:r>
        <w:rPr>
          <w:rFonts w:ascii="Times New Roman" w:hAnsi="Times New Roman" w:eastAsia="方正楷体_GBK"/>
          <w:lang w:val="zh-CN"/>
        </w:rPr>
        <w:t>.2</w:t>
      </w:r>
      <w:r>
        <w:rPr>
          <w:rFonts w:ascii="Times New Roman" w:hAnsi="Times New Roman" w:eastAsia="方正楷体_GBK"/>
        </w:rPr>
        <w:t>应急救援队伍保障</w:t>
      </w:r>
      <w:bookmarkEnd w:id="112"/>
      <w:bookmarkEnd w:id="113"/>
      <w:bookmarkEnd w:id="114"/>
    </w:p>
    <w:p>
      <w:pPr>
        <w:adjustRightInd w:val="0"/>
        <w:snapToGrid w:val="0"/>
        <w:spacing w:line="560" w:lineRule="exact"/>
        <w:ind w:firstLine="640" w:firstLineChars="200"/>
        <w:rPr>
          <w:rFonts w:eastAsia="方正仿宋_GBK"/>
          <w:sz w:val="32"/>
          <w:szCs w:val="32"/>
        </w:rPr>
      </w:pPr>
      <w:r>
        <w:rPr>
          <w:rFonts w:eastAsia="方正仿宋_GBK"/>
          <w:sz w:val="32"/>
          <w:szCs w:val="32"/>
        </w:rPr>
        <w:t>（1）镇乡（街道）队伍保障</w:t>
      </w:r>
    </w:p>
    <w:p>
      <w:pPr>
        <w:pStyle w:val="7"/>
        <w:adjustRightInd w:val="0"/>
        <w:snapToGrid w:val="0"/>
        <w:spacing w:after="0" w:line="560" w:lineRule="exact"/>
        <w:ind w:left="0" w:leftChars="0" w:firstLine="640" w:firstLineChars="200"/>
        <w:rPr>
          <w:rFonts w:eastAsia="方正仿宋_GBK"/>
          <w:sz w:val="32"/>
          <w:szCs w:val="32"/>
        </w:rPr>
      </w:pPr>
      <w:r>
        <w:rPr>
          <w:rFonts w:eastAsia="方正仿宋_GBK"/>
          <w:sz w:val="32"/>
          <w:szCs w:val="32"/>
        </w:rPr>
        <w:t>各镇乡</w:t>
      </w:r>
      <w:r>
        <w:rPr>
          <w:rFonts w:eastAsia="方正仿宋_GBK"/>
          <w:spacing w:val="-4"/>
          <w:kern w:val="0"/>
          <w:sz w:val="32"/>
          <w:szCs w:val="32"/>
        </w:rPr>
        <w:t>（街道）</w:t>
      </w:r>
      <w:r>
        <w:rPr>
          <w:rFonts w:eastAsia="方正仿宋_GBK"/>
          <w:sz w:val="32"/>
          <w:szCs w:val="32"/>
        </w:rPr>
        <w:t>应组建30人以上的综合应急抢险救援队伍，保证自然灾害应急抢险救援的需要。</w:t>
      </w:r>
    </w:p>
    <w:p>
      <w:pPr>
        <w:adjustRightInd w:val="0"/>
        <w:snapToGrid w:val="0"/>
        <w:spacing w:line="560" w:lineRule="exact"/>
        <w:ind w:firstLine="640" w:firstLineChars="200"/>
        <w:rPr>
          <w:rFonts w:eastAsia="方正仿宋_GBK"/>
          <w:sz w:val="32"/>
          <w:szCs w:val="32"/>
        </w:rPr>
      </w:pPr>
      <w:r>
        <w:rPr>
          <w:rFonts w:eastAsia="方正仿宋_GBK"/>
          <w:sz w:val="32"/>
          <w:szCs w:val="32"/>
        </w:rPr>
        <w:t>（2）区地指成员单位队伍保障</w:t>
      </w:r>
    </w:p>
    <w:p>
      <w:pPr>
        <w:pStyle w:val="7"/>
        <w:adjustRightInd w:val="0"/>
        <w:snapToGrid w:val="0"/>
        <w:spacing w:after="0" w:line="560" w:lineRule="exact"/>
        <w:ind w:left="0" w:leftChars="0" w:firstLine="640" w:firstLineChars="200"/>
        <w:rPr>
          <w:rFonts w:eastAsia="方正仿宋_GBK"/>
          <w:sz w:val="32"/>
          <w:szCs w:val="32"/>
        </w:rPr>
      </w:pPr>
      <w:r>
        <w:rPr>
          <w:rFonts w:eastAsia="方正仿宋_GBK"/>
          <w:sz w:val="32"/>
          <w:szCs w:val="32"/>
        </w:rPr>
        <w:t>各成员单位按职责组建相应的专业队伍，供水、供电、供气等生命线工程设施产权单位、管理或者生产经营单位应加强专业工程抢险救援队伍建设。</w:t>
      </w:r>
    </w:p>
    <w:p>
      <w:pPr>
        <w:adjustRightInd w:val="0"/>
        <w:snapToGrid w:val="0"/>
        <w:spacing w:line="560" w:lineRule="exact"/>
        <w:ind w:firstLine="640" w:firstLineChars="200"/>
        <w:rPr>
          <w:rFonts w:eastAsia="方正仿宋_GBK"/>
          <w:sz w:val="32"/>
          <w:szCs w:val="32"/>
        </w:rPr>
      </w:pPr>
      <w:r>
        <w:rPr>
          <w:rFonts w:eastAsia="方正仿宋_GBK"/>
          <w:sz w:val="32"/>
          <w:szCs w:val="32"/>
        </w:rPr>
        <w:t>（3）区地指队伍保障</w:t>
      </w:r>
    </w:p>
    <w:p>
      <w:pPr>
        <w:pStyle w:val="7"/>
        <w:adjustRightInd w:val="0"/>
        <w:snapToGrid w:val="0"/>
        <w:spacing w:after="0" w:line="560" w:lineRule="exact"/>
        <w:ind w:left="0" w:leftChars="0" w:firstLine="640" w:firstLineChars="200"/>
        <w:rPr>
          <w:rFonts w:eastAsia="方正仿宋_GBK"/>
          <w:sz w:val="32"/>
          <w:szCs w:val="32"/>
        </w:rPr>
      </w:pPr>
      <w:r>
        <w:rPr>
          <w:rFonts w:eastAsia="方正仿宋_GBK"/>
          <w:sz w:val="32"/>
          <w:szCs w:val="32"/>
        </w:rPr>
        <w:t>区地指负责组织武警、公安、消防、医疗、预备役民兵及社会有关抢险救援力量进行现场抢险救援。</w:t>
      </w:r>
    </w:p>
    <w:p>
      <w:pPr>
        <w:pStyle w:val="7"/>
        <w:adjustRightInd w:val="0"/>
        <w:snapToGrid w:val="0"/>
        <w:spacing w:after="0" w:line="560" w:lineRule="exact"/>
        <w:ind w:left="0" w:leftChars="0" w:firstLine="640" w:firstLineChars="200"/>
        <w:rPr>
          <w:rFonts w:eastAsia="方正仿宋_GBK"/>
          <w:sz w:val="32"/>
          <w:szCs w:val="32"/>
        </w:rPr>
      </w:pPr>
      <w:r>
        <w:rPr>
          <w:rFonts w:eastAsia="方正仿宋_GBK"/>
          <w:sz w:val="32"/>
          <w:szCs w:val="32"/>
        </w:rPr>
        <w:t>区地指应加强地质灾害应急专家队伍建设，组建地质灾害防治技术支撑体系，为应急指挥辅助决策、地质监测和趋势判断、地质灾害应急救援、灾害损失评估等提供技术保障。</w:t>
      </w:r>
    </w:p>
    <w:p>
      <w:pPr>
        <w:pStyle w:val="7"/>
        <w:adjustRightInd w:val="0"/>
        <w:snapToGrid w:val="0"/>
        <w:spacing w:after="0" w:line="560" w:lineRule="exact"/>
        <w:ind w:left="0" w:leftChars="0" w:firstLine="640" w:firstLineChars="200"/>
        <w:jc w:val="left"/>
        <w:rPr>
          <w:rFonts w:eastAsia="方正仿宋_GBK"/>
          <w:color w:val="000000"/>
          <w:sz w:val="32"/>
          <w:szCs w:val="32"/>
        </w:rPr>
      </w:pPr>
      <w:r>
        <w:rPr>
          <w:rFonts w:eastAsia="方正仿宋_GBK"/>
          <w:color w:val="000000"/>
          <w:sz w:val="32"/>
          <w:szCs w:val="32"/>
        </w:rPr>
        <w:t>应急队伍资源及应急职责：</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2035"/>
        <w:gridCol w:w="2144"/>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p>
        </w:tc>
        <w:tc>
          <w:tcPr>
            <w:tcW w:w="203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先期处置队伍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第一支援梯队</w:t>
            </w:r>
          </w:p>
        </w:tc>
        <w:tc>
          <w:tcPr>
            <w:tcW w:w="292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第二支援梯队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人员抢救队伍</w:t>
            </w:r>
          </w:p>
        </w:tc>
        <w:tc>
          <w:tcPr>
            <w:tcW w:w="203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镇乡（街道）综合应急抢险队伍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区地质灾害应急救援队、驻万部队</w:t>
            </w:r>
          </w:p>
        </w:tc>
        <w:tc>
          <w:tcPr>
            <w:tcW w:w="292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市地质灾害应急救援队、国家救援队、驻渝部队、区外救援队伍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工程抢险队伍</w:t>
            </w:r>
          </w:p>
        </w:tc>
        <w:tc>
          <w:tcPr>
            <w:tcW w:w="203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镇乡（街道）综合应急救抢险队伍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区专业抢险队伍</w:t>
            </w:r>
          </w:p>
        </w:tc>
        <w:tc>
          <w:tcPr>
            <w:tcW w:w="292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市级、区外专业抢险队伍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次生灾害</w:t>
            </w:r>
          </w:p>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特种救援队伍</w:t>
            </w:r>
          </w:p>
        </w:tc>
        <w:tc>
          <w:tcPr>
            <w:tcW w:w="203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区公安分局、消防救援支队</w:t>
            </w:r>
          </w:p>
        </w:tc>
        <w:tc>
          <w:tcPr>
            <w:tcW w:w="2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区行业特种救援队伍</w:t>
            </w:r>
          </w:p>
        </w:tc>
        <w:tc>
          <w:tcPr>
            <w:tcW w:w="292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市级、区外特种救援队伍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紧急医疗救援队伍</w:t>
            </w:r>
          </w:p>
        </w:tc>
        <w:tc>
          <w:tcPr>
            <w:tcW w:w="203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当地医疗卫生队伍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区级医院应急救援医疗队伍</w:t>
            </w:r>
          </w:p>
        </w:tc>
        <w:tc>
          <w:tcPr>
            <w:tcW w:w="292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区外应急救援医疗队伍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建筑物</w:t>
            </w:r>
          </w:p>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安全鉴定队伍</w:t>
            </w:r>
          </w:p>
        </w:tc>
        <w:tc>
          <w:tcPr>
            <w:tcW w:w="203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区规划自然资源局和区住房城乡建委建筑物安全鉴定队伍</w:t>
            </w:r>
          </w:p>
        </w:tc>
        <w:tc>
          <w:tcPr>
            <w:tcW w:w="214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市规划自然资源局和市住房城乡建委建筑物安全鉴定队伍</w:t>
            </w:r>
          </w:p>
        </w:tc>
        <w:tc>
          <w:tcPr>
            <w:tcW w:w="292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szCs w:val="22"/>
              </w:rPr>
            </w:pPr>
            <w:r>
              <w:rPr>
                <w:rFonts w:eastAsia="方正仿宋_GBK"/>
                <w:kern w:val="0"/>
                <w:sz w:val="24"/>
                <w:szCs w:val="22"/>
              </w:rPr>
              <w:t>区外地质灾害和建筑物安全鉴定队伍</w:t>
            </w:r>
          </w:p>
        </w:tc>
      </w:tr>
    </w:tbl>
    <w:p>
      <w:pPr>
        <w:pStyle w:val="23"/>
        <w:adjustRightInd w:val="0"/>
        <w:snapToGrid w:val="0"/>
        <w:spacing w:before="0" w:after="0" w:line="560" w:lineRule="exact"/>
        <w:ind w:firstLine="640" w:firstLineChars="200"/>
        <w:jc w:val="left"/>
        <w:outlineLvl w:val="2"/>
        <w:rPr>
          <w:rFonts w:ascii="Times New Roman" w:hAnsi="Times New Roman" w:eastAsia="方正楷体_GBK"/>
        </w:rPr>
      </w:pPr>
      <w:bookmarkStart w:id="115" w:name="_Toc21077"/>
      <w:bookmarkStart w:id="116" w:name="_Toc54883783"/>
      <w:bookmarkStart w:id="117" w:name="_Toc14735"/>
      <w:r>
        <w:rPr>
          <w:rFonts w:ascii="Times New Roman" w:hAnsi="Times New Roman" w:eastAsia="方正楷体_GBK"/>
        </w:rPr>
        <w:t>8</w:t>
      </w:r>
      <w:r>
        <w:rPr>
          <w:rFonts w:ascii="Times New Roman" w:hAnsi="Times New Roman" w:eastAsia="方正楷体_GBK"/>
          <w:lang w:val="zh-CN"/>
        </w:rPr>
        <w:t>.3</w:t>
      </w:r>
      <w:r>
        <w:rPr>
          <w:rFonts w:ascii="Times New Roman" w:hAnsi="Times New Roman" w:eastAsia="方正楷体_GBK"/>
        </w:rPr>
        <w:t>应急救援装备</w:t>
      </w:r>
      <w:bookmarkEnd w:id="115"/>
      <w:bookmarkEnd w:id="116"/>
      <w:r>
        <w:rPr>
          <w:rFonts w:ascii="Times New Roman" w:hAnsi="Times New Roman" w:eastAsia="方正楷体_GBK"/>
        </w:rPr>
        <w:t>和物资</w:t>
      </w:r>
      <w:bookmarkEnd w:id="117"/>
    </w:p>
    <w:p>
      <w:pPr>
        <w:pStyle w:val="7"/>
        <w:adjustRightInd w:val="0"/>
        <w:snapToGrid w:val="0"/>
        <w:spacing w:after="0" w:line="560" w:lineRule="exact"/>
        <w:ind w:left="0" w:leftChars="0" w:firstLine="640" w:firstLineChars="200"/>
        <w:rPr>
          <w:rFonts w:eastAsia="方正仿宋_GBK"/>
          <w:sz w:val="32"/>
          <w:szCs w:val="32"/>
        </w:rPr>
      </w:pPr>
      <w:bookmarkStart w:id="118" w:name="_Toc54883784"/>
      <w:r>
        <w:rPr>
          <w:rFonts w:eastAsia="方正仿宋_GBK"/>
          <w:sz w:val="32"/>
          <w:szCs w:val="32"/>
        </w:rPr>
        <w:t>各镇乡</w:t>
      </w:r>
      <w:r>
        <w:rPr>
          <w:rFonts w:eastAsia="方正仿宋_GBK"/>
          <w:spacing w:val="-4"/>
          <w:kern w:val="0"/>
          <w:sz w:val="32"/>
          <w:szCs w:val="32"/>
        </w:rPr>
        <w:t>（街道）</w:t>
      </w:r>
      <w:r>
        <w:rPr>
          <w:rFonts w:eastAsia="方正仿宋_GBK"/>
          <w:sz w:val="32"/>
          <w:szCs w:val="32"/>
        </w:rPr>
        <w:t>应该作好应急抢险救援的设施、设备和救灾物资储备。可随时调用的挖机、吊车、常备警示标志、救援的锄头、锹、钢钎等工具和帐篷、棉被、衣物、粮油等物资，在处置可能的化学危险品泄</w:t>
      </w:r>
      <w:r>
        <w:rPr>
          <w:rFonts w:hint="eastAsia" w:eastAsia="方正仿宋_GBK"/>
          <w:sz w:val="32"/>
          <w:szCs w:val="32"/>
          <w:lang w:eastAsia="zh-CN"/>
        </w:rPr>
        <w:t>漏</w:t>
      </w:r>
      <w:bookmarkStart w:id="188" w:name="_GoBack"/>
      <w:bookmarkEnd w:id="188"/>
      <w:r>
        <w:rPr>
          <w:rFonts w:eastAsia="方正仿宋_GBK"/>
          <w:sz w:val="32"/>
          <w:szCs w:val="32"/>
        </w:rPr>
        <w:t>事故中应准备必要的防护服，保证应急抢险救援工作的需要。</w:t>
      </w:r>
    </w:p>
    <w:p>
      <w:pPr>
        <w:pStyle w:val="7"/>
        <w:adjustRightInd w:val="0"/>
        <w:snapToGrid w:val="0"/>
        <w:spacing w:after="0" w:line="560" w:lineRule="exact"/>
        <w:ind w:left="0" w:leftChars="0" w:firstLine="640" w:firstLineChars="200"/>
        <w:rPr>
          <w:rFonts w:eastAsia="方正仿宋_GBK"/>
          <w:sz w:val="32"/>
          <w:szCs w:val="32"/>
        </w:rPr>
      </w:pPr>
      <w:r>
        <w:rPr>
          <w:rFonts w:eastAsia="方正仿宋_GBK"/>
          <w:sz w:val="32"/>
          <w:szCs w:val="32"/>
        </w:rPr>
        <w:t>区应急局、区规划自然资源局等有关单位，配备相应的应急调查、监测、救援、通讯、交通等装备设备和个人防护用品，并加强装备的日常管理和维护保养，及时更新。区应急局储备足够的救灾物资。</w:t>
      </w:r>
    </w:p>
    <w:p>
      <w:pPr>
        <w:pStyle w:val="7"/>
        <w:adjustRightInd w:val="0"/>
        <w:snapToGrid w:val="0"/>
        <w:spacing w:after="0" w:line="560" w:lineRule="exact"/>
        <w:ind w:left="0" w:leftChars="0" w:firstLine="640" w:firstLineChars="200"/>
        <w:rPr>
          <w:rFonts w:eastAsia="方正仿宋_GBK"/>
          <w:sz w:val="32"/>
          <w:szCs w:val="32"/>
        </w:rPr>
      </w:pPr>
      <w:r>
        <w:rPr>
          <w:rFonts w:eastAsia="方正仿宋_GBK"/>
          <w:sz w:val="32"/>
          <w:szCs w:val="32"/>
        </w:rPr>
        <w:t>各应急救援队伍应按需要更新配备现代化救援装备、设备。</w:t>
      </w:r>
    </w:p>
    <w:p>
      <w:pPr>
        <w:pStyle w:val="23"/>
        <w:adjustRightInd w:val="0"/>
        <w:snapToGrid w:val="0"/>
        <w:spacing w:before="0" w:after="0" w:line="560" w:lineRule="exact"/>
        <w:ind w:firstLine="640" w:firstLineChars="200"/>
        <w:jc w:val="left"/>
        <w:outlineLvl w:val="2"/>
        <w:rPr>
          <w:rFonts w:ascii="Times New Roman" w:hAnsi="Times New Roman" w:eastAsia="方正楷体_GBK"/>
          <w:lang w:val="zh-CN"/>
        </w:rPr>
      </w:pPr>
      <w:bookmarkStart w:id="119" w:name="_Toc28260"/>
      <w:bookmarkStart w:id="120" w:name="_Toc32345"/>
      <w:r>
        <w:rPr>
          <w:rFonts w:ascii="Times New Roman" w:hAnsi="Times New Roman" w:eastAsia="方正楷体_GBK"/>
        </w:rPr>
        <w:t>8</w:t>
      </w:r>
      <w:r>
        <w:rPr>
          <w:rFonts w:ascii="Times New Roman" w:hAnsi="Times New Roman" w:eastAsia="方正楷体_GBK"/>
          <w:lang w:val="zh-CN"/>
        </w:rPr>
        <w:t>.4</w:t>
      </w:r>
      <w:r>
        <w:rPr>
          <w:rFonts w:ascii="Times New Roman" w:hAnsi="Times New Roman" w:eastAsia="方正楷体_GBK"/>
        </w:rPr>
        <w:t>资金保障</w:t>
      </w:r>
      <w:bookmarkEnd w:id="118"/>
      <w:bookmarkEnd w:id="119"/>
      <w:bookmarkEnd w:id="120"/>
    </w:p>
    <w:p>
      <w:pPr>
        <w:pStyle w:val="7"/>
        <w:adjustRightInd w:val="0"/>
        <w:snapToGrid w:val="0"/>
        <w:spacing w:after="0" w:line="560" w:lineRule="exact"/>
        <w:ind w:left="0" w:leftChars="0" w:firstLine="640" w:firstLineChars="200"/>
        <w:rPr>
          <w:rFonts w:eastAsia="方正仿宋_GBK"/>
          <w:sz w:val="32"/>
          <w:szCs w:val="32"/>
        </w:rPr>
      </w:pPr>
      <w:r>
        <w:rPr>
          <w:rFonts w:eastAsia="方正仿宋_GBK"/>
          <w:sz w:val="32"/>
          <w:szCs w:val="32"/>
        </w:rPr>
        <w:t>区政府建立地质灾害应急救援专项资金，各镇乡</w:t>
      </w:r>
      <w:r>
        <w:rPr>
          <w:rFonts w:eastAsia="方正仿宋_GBK"/>
          <w:spacing w:val="-4"/>
          <w:kern w:val="0"/>
          <w:sz w:val="32"/>
          <w:szCs w:val="32"/>
        </w:rPr>
        <w:t>（街道）</w:t>
      </w:r>
      <w:r>
        <w:rPr>
          <w:rFonts w:eastAsia="方正仿宋_GBK"/>
          <w:sz w:val="32"/>
          <w:szCs w:val="32"/>
        </w:rPr>
        <w:t>应该建立相应的地质灾害防治专项资金，保证地质灾害防治和抢险救援工作的顺利进行。</w:t>
      </w:r>
    </w:p>
    <w:p>
      <w:pPr>
        <w:pStyle w:val="23"/>
        <w:adjustRightInd w:val="0"/>
        <w:snapToGrid w:val="0"/>
        <w:spacing w:before="0" w:after="0" w:line="560" w:lineRule="exact"/>
        <w:ind w:firstLine="640" w:firstLineChars="200"/>
        <w:jc w:val="left"/>
        <w:outlineLvl w:val="2"/>
        <w:rPr>
          <w:rFonts w:ascii="Times New Roman" w:hAnsi="Times New Roman" w:eastAsia="方正楷体_GBK"/>
          <w:lang w:val="zh-CN"/>
        </w:rPr>
      </w:pPr>
      <w:bookmarkStart w:id="121" w:name="_Toc54883785"/>
      <w:bookmarkStart w:id="122" w:name="_Toc25168"/>
      <w:bookmarkStart w:id="123" w:name="_Toc15659"/>
      <w:r>
        <w:rPr>
          <w:rFonts w:ascii="Times New Roman" w:hAnsi="Times New Roman" w:eastAsia="方正楷体_GBK"/>
        </w:rPr>
        <w:t>8</w:t>
      </w:r>
      <w:r>
        <w:rPr>
          <w:rFonts w:ascii="Times New Roman" w:hAnsi="Times New Roman" w:eastAsia="方正楷体_GBK"/>
          <w:lang w:val="zh-CN"/>
        </w:rPr>
        <w:t>.5</w:t>
      </w:r>
      <w:r>
        <w:rPr>
          <w:rFonts w:ascii="Times New Roman" w:hAnsi="Times New Roman" w:eastAsia="方正楷体_GBK"/>
        </w:rPr>
        <w:t>制度保障</w:t>
      </w:r>
      <w:bookmarkEnd w:id="121"/>
      <w:bookmarkEnd w:id="122"/>
      <w:bookmarkEnd w:id="123"/>
    </w:p>
    <w:p>
      <w:pPr>
        <w:pStyle w:val="7"/>
        <w:adjustRightInd w:val="0"/>
        <w:snapToGrid w:val="0"/>
        <w:spacing w:after="0" w:line="560" w:lineRule="exact"/>
        <w:ind w:left="0" w:leftChars="0" w:firstLine="640" w:firstLineChars="200"/>
        <w:jc w:val="left"/>
        <w:rPr>
          <w:rFonts w:eastAsia="方正仿宋_GBK"/>
          <w:sz w:val="32"/>
          <w:szCs w:val="32"/>
        </w:rPr>
      </w:pPr>
      <w:r>
        <w:rPr>
          <w:rFonts w:eastAsia="方正仿宋_GBK"/>
          <w:sz w:val="32"/>
          <w:szCs w:val="32"/>
        </w:rPr>
        <w:t>各镇乡</w:t>
      </w:r>
      <w:r>
        <w:rPr>
          <w:rFonts w:eastAsia="方正仿宋_GBK"/>
          <w:spacing w:val="-4"/>
          <w:kern w:val="0"/>
          <w:sz w:val="32"/>
          <w:szCs w:val="32"/>
        </w:rPr>
        <w:t>（街道）</w:t>
      </w:r>
      <w:r>
        <w:rPr>
          <w:rFonts w:eastAsia="方正仿宋_GBK"/>
          <w:sz w:val="32"/>
          <w:szCs w:val="32"/>
        </w:rPr>
        <w:t>和区级相关部门要完善汛前排查、汛中巡查、汛后检查、24小时值班制度、灾情速报等应急管理制度。开展地质灾害防治工作标准化建设，加快制订和完善地质灾害防治组织体系、应急救援组织指挥调度体系，为保障预案有效实施提供制度保障。</w:t>
      </w:r>
    </w:p>
    <w:p>
      <w:pPr>
        <w:pStyle w:val="23"/>
        <w:adjustRightInd w:val="0"/>
        <w:snapToGrid w:val="0"/>
        <w:spacing w:before="0" w:after="0" w:line="560" w:lineRule="exact"/>
        <w:ind w:firstLine="640" w:firstLineChars="200"/>
        <w:jc w:val="left"/>
        <w:outlineLvl w:val="2"/>
        <w:rPr>
          <w:rFonts w:ascii="Times New Roman" w:hAnsi="Times New Roman" w:eastAsia="方正楷体_GBK"/>
          <w:lang w:val="zh-CN"/>
        </w:rPr>
      </w:pPr>
      <w:bookmarkStart w:id="124" w:name="_Toc23129"/>
      <w:bookmarkStart w:id="125" w:name="_Toc54883786"/>
      <w:bookmarkStart w:id="126" w:name="_Toc7669"/>
      <w:r>
        <w:rPr>
          <w:rFonts w:ascii="Times New Roman" w:hAnsi="Times New Roman" w:eastAsia="方正楷体_GBK"/>
        </w:rPr>
        <w:t>8</w:t>
      </w:r>
      <w:r>
        <w:rPr>
          <w:rFonts w:ascii="Times New Roman" w:hAnsi="Times New Roman" w:eastAsia="方正楷体_GBK"/>
          <w:lang w:val="zh-CN"/>
        </w:rPr>
        <w:t>.6</w:t>
      </w:r>
      <w:r>
        <w:rPr>
          <w:rFonts w:ascii="Times New Roman" w:hAnsi="Times New Roman" w:eastAsia="方正楷体_GBK"/>
        </w:rPr>
        <w:t>责任追究</w:t>
      </w:r>
      <w:bookmarkEnd w:id="124"/>
      <w:bookmarkEnd w:id="125"/>
      <w:bookmarkEnd w:id="126"/>
    </w:p>
    <w:p>
      <w:pPr>
        <w:pStyle w:val="7"/>
        <w:adjustRightInd w:val="0"/>
        <w:snapToGrid w:val="0"/>
        <w:spacing w:after="0" w:line="560" w:lineRule="exact"/>
        <w:ind w:left="0" w:leftChars="0" w:firstLine="640" w:firstLineChars="200"/>
        <w:rPr>
          <w:rFonts w:eastAsia="方正仿宋_GBK"/>
          <w:sz w:val="32"/>
          <w:szCs w:val="32"/>
        </w:rPr>
      </w:pPr>
      <w:r>
        <w:rPr>
          <w:rFonts w:eastAsia="方正仿宋_GBK"/>
          <w:sz w:val="32"/>
          <w:szCs w:val="32"/>
        </w:rPr>
        <w:t>按照《地质灾害防治条例》《国务院关于特大安全事故行政责任追究的规定》《治安管理处罚法》《生产安全事故报告和调查处理条例》和《重庆市地质灾害防治条例》等相关规定严格追究责任。</w:t>
      </w:r>
    </w:p>
    <w:p>
      <w:pPr>
        <w:pStyle w:val="3"/>
        <w:keepNext w:val="0"/>
        <w:keepLines w:val="0"/>
        <w:adjustRightInd w:val="0"/>
        <w:spacing w:line="560" w:lineRule="exact"/>
        <w:ind w:firstLine="640" w:firstLineChars="200"/>
        <w:rPr>
          <w:rFonts w:ascii="Times New Roman" w:hAnsi="Times New Roman" w:eastAsia="方正黑体_GBK"/>
          <w:b w:val="0"/>
          <w:sz w:val="32"/>
        </w:rPr>
      </w:pPr>
      <w:bookmarkStart w:id="127" w:name="_Toc12881"/>
      <w:bookmarkStart w:id="128" w:name="_Toc5566"/>
      <w:r>
        <w:rPr>
          <w:rFonts w:ascii="Times New Roman" w:hAnsi="Times New Roman" w:eastAsia="方正黑体_GBK"/>
          <w:b w:val="0"/>
          <w:sz w:val="32"/>
        </w:rPr>
        <w:t>9宣传培训和演练</w:t>
      </w:r>
      <w:bookmarkEnd w:id="108"/>
      <w:bookmarkEnd w:id="109"/>
      <w:bookmarkEnd w:id="110"/>
      <w:bookmarkEnd w:id="111"/>
      <w:bookmarkEnd w:id="127"/>
      <w:bookmarkEnd w:id="128"/>
    </w:p>
    <w:p>
      <w:pPr>
        <w:pStyle w:val="5"/>
        <w:keepNext w:val="0"/>
        <w:keepLines w:val="0"/>
        <w:adjustRightInd w:val="0"/>
        <w:snapToGrid w:val="0"/>
        <w:spacing w:before="0" w:after="0" w:line="560" w:lineRule="exact"/>
        <w:ind w:firstLine="640" w:firstLineChars="200"/>
        <w:rPr>
          <w:rFonts w:ascii="Times New Roman" w:hAnsi="Times New Roman" w:eastAsia="方正楷体_GBK"/>
          <w:b w:val="0"/>
          <w:bCs w:val="0"/>
        </w:rPr>
      </w:pPr>
      <w:bookmarkStart w:id="129" w:name="_Toc30074"/>
      <w:bookmarkStart w:id="130" w:name="_Toc38011434"/>
      <w:bookmarkStart w:id="131" w:name="_Toc696"/>
      <w:bookmarkStart w:id="132" w:name="_Toc9872"/>
      <w:bookmarkStart w:id="133" w:name="_Toc18870"/>
      <w:bookmarkStart w:id="134" w:name="_Toc7014"/>
      <w:r>
        <w:rPr>
          <w:rFonts w:ascii="Times New Roman" w:hAnsi="Times New Roman" w:eastAsia="方正楷体_GBK"/>
          <w:b w:val="0"/>
          <w:bCs w:val="0"/>
        </w:rPr>
        <w:t>9.1宣传</w:t>
      </w:r>
      <w:bookmarkEnd w:id="129"/>
      <w:bookmarkEnd w:id="130"/>
      <w:bookmarkEnd w:id="131"/>
      <w:bookmarkEnd w:id="132"/>
      <w:bookmarkEnd w:id="133"/>
      <w:bookmarkEnd w:id="134"/>
    </w:p>
    <w:p>
      <w:pPr>
        <w:adjustRightInd w:val="0"/>
        <w:snapToGrid w:val="0"/>
        <w:spacing w:line="560" w:lineRule="exact"/>
        <w:ind w:firstLine="640" w:firstLineChars="200"/>
        <w:rPr>
          <w:rFonts w:eastAsia="方正仿宋_GBK"/>
          <w:sz w:val="32"/>
          <w:szCs w:val="32"/>
        </w:rPr>
      </w:pPr>
      <w:r>
        <w:rPr>
          <w:rFonts w:eastAsia="方正仿宋_GBK"/>
          <w:sz w:val="32"/>
          <w:szCs w:val="32"/>
        </w:rPr>
        <w:t>各镇乡</w:t>
      </w:r>
      <w:r>
        <w:rPr>
          <w:rFonts w:eastAsia="方正仿宋_GBK"/>
          <w:spacing w:val="-4"/>
          <w:kern w:val="0"/>
          <w:sz w:val="32"/>
          <w:szCs w:val="32"/>
        </w:rPr>
        <w:t>（街道）</w:t>
      </w:r>
      <w:r>
        <w:rPr>
          <w:rFonts w:eastAsia="方正仿宋_GBK"/>
          <w:sz w:val="32"/>
          <w:szCs w:val="32"/>
        </w:rPr>
        <w:t>、区级有关部门应利用多种途径、多层次、多方位宣传地质灾害防灾减灾救灾等知识，提高公众的防灾减灾意识和自救互救能力。</w:t>
      </w:r>
    </w:p>
    <w:p>
      <w:pPr>
        <w:pStyle w:val="5"/>
        <w:adjustRightInd w:val="0"/>
        <w:snapToGrid w:val="0"/>
        <w:spacing w:before="0" w:after="0" w:line="560" w:lineRule="exact"/>
        <w:ind w:firstLine="640" w:firstLineChars="200"/>
        <w:rPr>
          <w:rFonts w:ascii="Times New Roman" w:hAnsi="Times New Roman" w:eastAsia="方正楷体_GBK"/>
          <w:b w:val="0"/>
          <w:bCs w:val="0"/>
        </w:rPr>
      </w:pPr>
      <w:bookmarkStart w:id="135" w:name="_Toc16671"/>
      <w:bookmarkStart w:id="136" w:name="_Toc30029"/>
      <w:bookmarkStart w:id="137" w:name="_Toc16758"/>
      <w:bookmarkStart w:id="138" w:name="_Toc15317"/>
      <w:bookmarkStart w:id="139" w:name="_Toc38011435"/>
      <w:bookmarkStart w:id="140" w:name="_Toc3410"/>
      <w:r>
        <w:rPr>
          <w:rFonts w:ascii="Times New Roman" w:hAnsi="Times New Roman" w:eastAsia="方正楷体_GBK"/>
          <w:b w:val="0"/>
          <w:bCs w:val="0"/>
        </w:rPr>
        <w:t>9.2预案培训</w:t>
      </w:r>
      <w:bookmarkEnd w:id="135"/>
      <w:bookmarkEnd w:id="136"/>
      <w:bookmarkEnd w:id="137"/>
      <w:bookmarkEnd w:id="138"/>
      <w:bookmarkEnd w:id="139"/>
      <w:bookmarkEnd w:id="140"/>
    </w:p>
    <w:p>
      <w:pPr>
        <w:adjustRightInd w:val="0"/>
        <w:snapToGrid w:val="0"/>
        <w:spacing w:line="560" w:lineRule="exact"/>
        <w:ind w:firstLine="640" w:firstLineChars="200"/>
        <w:rPr>
          <w:rFonts w:eastAsia="方正仿宋_GBK"/>
          <w:sz w:val="32"/>
          <w:szCs w:val="32"/>
        </w:rPr>
      </w:pPr>
      <w:r>
        <w:rPr>
          <w:rFonts w:eastAsia="方正仿宋_GBK"/>
          <w:sz w:val="32"/>
          <w:szCs w:val="32"/>
        </w:rPr>
        <w:t>本预案发布后，区地指各成员单位、各镇乡</w:t>
      </w:r>
      <w:r>
        <w:rPr>
          <w:rFonts w:eastAsia="方正仿宋_GBK"/>
          <w:spacing w:val="-4"/>
          <w:kern w:val="0"/>
          <w:sz w:val="32"/>
          <w:szCs w:val="32"/>
        </w:rPr>
        <w:t>（街道）</w:t>
      </w:r>
      <w:r>
        <w:rPr>
          <w:rFonts w:eastAsia="方正仿宋_GBK"/>
          <w:sz w:val="32"/>
          <w:szCs w:val="32"/>
        </w:rPr>
        <w:t>应组织开展本行政区域、本部门、本系统内有关人员的学习培训，熟悉本级预案的工作内容和要求，做好实施预案的各项准备工作。</w:t>
      </w:r>
    </w:p>
    <w:p>
      <w:pPr>
        <w:pStyle w:val="5"/>
        <w:adjustRightInd w:val="0"/>
        <w:snapToGrid w:val="0"/>
        <w:spacing w:before="0" w:after="0" w:line="560" w:lineRule="exact"/>
        <w:ind w:firstLine="640" w:firstLineChars="200"/>
        <w:rPr>
          <w:rFonts w:ascii="Times New Roman" w:hAnsi="Times New Roman" w:eastAsia="方正楷体_GBK"/>
          <w:b w:val="0"/>
          <w:bCs w:val="0"/>
        </w:rPr>
      </w:pPr>
      <w:bookmarkStart w:id="141" w:name="_Toc21780"/>
      <w:bookmarkStart w:id="142" w:name="_Toc26327"/>
      <w:bookmarkStart w:id="143" w:name="_Toc7428"/>
      <w:bookmarkStart w:id="144" w:name="_Toc30643"/>
      <w:bookmarkStart w:id="145" w:name="_Toc38011436"/>
      <w:bookmarkStart w:id="146" w:name="_Toc17489"/>
      <w:r>
        <w:rPr>
          <w:rFonts w:ascii="Times New Roman" w:hAnsi="Times New Roman" w:eastAsia="方正楷体_GBK"/>
          <w:b w:val="0"/>
          <w:bCs w:val="0"/>
        </w:rPr>
        <w:t>9.3预案演练</w:t>
      </w:r>
      <w:bookmarkEnd w:id="141"/>
      <w:bookmarkEnd w:id="142"/>
      <w:bookmarkEnd w:id="143"/>
      <w:bookmarkEnd w:id="144"/>
      <w:bookmarkEnd w:id="145"/>
      <w:bookmarkEnd w:id="146"/>
    </w:p>
    <w:p>
      <w:pPr>
        <w:pStyle w:val="7"/>
        <w:adjustRightInd w:val="0"/>
        <w:snapToGrid w:val="0"/>
        <w:spacing w:after="0" w:line="560" w:lineRule="exact"/>
        <w:ind w:left="0" w:leftChars="0" w:firstLine="640" w:firstLineChars="200"/>
        <w:rPr>
          <w:rFonts w:eastAsia="方正仿宋_GBK"/>
          <w:sz w:val="32"/>
          <w:szCs w:val="32"/>
        </w:rPr>
      </w:pPr>
      <w:bookmarkStart w:id="147" w:name="_Toc38011437"/>
      <w:bookmarkStart w:id="148" w:name="_Toc4576"/>
      <w:bookmarkStart w:id="149" w:name="_Toc11997"/>
      <w:bookmarkStart w:id="150" w:name="_Toc30603"/>
      <w:r>
        <w:rPr>
          <w:rFonts w:eastAsia="方正仿宋_GBK"/>
          <w:sz w:val="32"/>
          <w:szCs w:val="32"/>
        </w:rPr>
        <w:t>区政府或区地指应每年组织开展至少一次突发地质灾害应急处置演练；各镇乡</w:t>
      </w:r>
      <w:r>
        <w:rPr>
          <w:rFonts w:eastAsia="方正仿宋_GBK"/>
          <w:spacing w:val="-4"/>
          <w:kern w:val="0"/>
          <w:sz w:val="32"/>
          <w:szCs w:val="32"/>
        </w:rPr>
        <w:t>（街道）</w:t>
      </w:r>
      <w:r>
        <w:rPr>
          <w:rFonts w:eastAsia="方正仿宋_GBK"/>
          <w:sz w:val="32"/>
          <w:szCs w:val="32"/>
        </w:rPr>
        <w:t>组织开展地质灾害隐患点简易应急避险演练，做到全覆盖，区规划自然资源局要加强技术指导；各镇乡</w:t>
      </w:r>
      <w:r>
        <w:rPr>
          <w:rFonts w:eastAsia="方正仿宋_GBK"/>
          <w:spacing w:val="-4"/>
          <w:kern w:val="0"/>
          <w:sz w:val="32"/>
          <w:szCs w:val="32"/>
        </w:rPr>
        <w:t>（街道）</w:t>
      </w:r>
      <w:r>
        <w:rPr>
          <w:rFonts w:eastAsia="方正仿宋_GBK"/>
          <w:sz w:val="32"/>
          <w:szCs w:val="32"/>
        </w:rPr>
        <w:t>演练评估报告要及时报区应急局和区规划自然资源局。</w:t>
      </w:r>
    </w:p>
    <w:p>
      <w:pPr>
        <w:pStyle w:val="5"/>
        <w:adjustRightInd w:val="0"/>
        <w:snapToGrid w:val="0"/>
        <w:spacing w:before="0" w:after="0" w:line="560" w:lineRule="exact"/>
        <w:ind w:firstLine="640" w:firstLineChars="200"/>
        <w:rPr>
          <w:rFonts w:ascii="Times New Roman" w:hAnsi="Times New Roman" w:eastAsia="方正楷体_GBK"/>
          <w:b w:val="0"/>
          <w:bCs w:val="0"/>
        </w:rPr>
      </w:pPr>
      <w:bookmarkStart w:id="151" w:name="_Toc6245"/>
      <w:bookmarkStart w:id="152" w:name="_Toc28140"/>
      <w:r>
        <w:rPr>
          <w:rFonts w:ascii="Times New Roman" w:hAnsi="Times New Roman" w:eastAsia="方正楷体_GBK"/>
          <w:b w:val="0"/>
          <w:bCs w:val="0"/>
        </w:rPr>
        <w:t>9.4监督检查</w:t>
      </w:r>
      <w:bookmarkEnd w:id="147"/>
      <w:bookmarkEnd w:id="148"/>
      <w:bookmarkEnd w:id="149"/>
      <w:bookmarkEnd w:id="150"/>
      <w:bookmarkEnd w:id="151"/>
      <w:bookmarkEnd w:id="152"/>
    </w:p>
    <w:p>
      <w:pPr>
        <w:pStyle w:val="7"/>
        <w:adjustRightInd w:val="0"/>
        <w:snapToGrid w:val="0"/>
        <w:spacing w:after="0" w:line="560" w:lineRule="exact"/>
        <w:ind w:left="0" w:leftChars="0" w:firstLine="640" w:firstLineChars="200"/>
        <w:rPr>
          <w:rFonts w:eastAsia="方正仿宋_GBK"/>
          <w:sz w:val="32"/>
          <w:szCs w:val="32"/>
        </w:rPr>
      </w:pPr>
      <w:r>
        <w:rPr>
          <w:rFonts w:eastAsia="方正仿宋_GBK"/>
          <w:sz w:val="32"/>
          <w:szCs w:val="32"/>
        </w:rPr>
        <w:t>区应急局会同区级有关部门对上述各项地质灾害应急防治保障工作进行督导和检查，及时总结地质灾害应急防治、应急实践的经验和教训。</w:t>
      </w:r>
    </w:p>
    <w:p>
      <w:pPr>
        <w:pStyle w:val="3"/>
        <w:adjustRightInd w:val="0"/>
        <w:spacing w:line="560" w:lineRule="exact"/>
        <w:ind w:firstLine="640" w:firstLineChars="200"/>
        <w:rPr>
          <w:rFonts w:ascii="Times New Roman" w:hAnsi="Times New Roman" w:eastAsia="方正黑体_GBK"/>
          <w:b w:val="0"/>
          <w:sz w:val="32"/>
        </w:rPr>
      </w:pPr>
      <w:bookmarkStart w:id="153" w:name="_Toc21223"/>
      <w:bookmarkStart w:id="154" w:name="_Toc10757"/>
      <w:r>
        <w:rPr>
          <w:rFonts w:ascii="Times New Roman" w:hAnsi="Times New Roman" w:eastAsia="方正黑体_GBK"/>
          <w:b w:val="0"/>
          <w:sz w:val="32"/>
        </w:rPr>
        <w:t>10 附则</w:t>
      </w:r>
      <w:bookmarkEnd w:id="153"/>
      <w:bookmarkEnd w:id="154"/>
    </w:p>
    <w:p>
      <w:pPr>
        <w:pStyle w:val="23"/>
        <w:adjustRightInd w:val="0"/>
        <w:snapToGrid w:val="0"/>
        <w:spacing w:before="0" w:after="0" w:line="560" w:lineRule="exact"/>
        <w:ind w:firstLine="640" w:firstLineChars="200"/>
        <w:jc w:val="both"/>
        <w:rPr>
          <w:rFonts w:ascii="Times New Roman" w:hAnsi="Times New Roman" w:eastAsia="方正楷体_GBK"/>
        </w:rPr>
      </w:pPr>
      <w:bookmarkStart w:id="155" w:name="_Toc20691"/>
      <w:bookmarkStart w:id="156" w:name="_Toc1211"/>
      <w:r>
        <w:rPr>
          <w:rFonts w:ascii="Times New Roman" w:hAnsi="Times New Roman" w:eastAsia="方正楷体_GBK"/>
        </w:rPr>
        <w:t>10.1预案解释</w:t>
      </w:r>
      <w:bookmarkEnd w:id="155"/>
      <w:bookmarkEnd w:id="156"/>
    </w:p>
    <w:p>
      <w:pPr>
        <w:tabs>
          <w:tab w:val="left" w:pos="4140"/>
        </w:tabs>
        <w:adjustRightInd w:val="0"/>
        <w:snapToGrid w:val="0"/>
        <w:spacing w:line="560" w:lineRule="exact"/>
        <w:ind w:firstLine="640" w:firstLineChars="200"/>
        <w:rPr>
          <w:rFonts w:eastAsia="方正仿宋_GBK"/>
          <w:sz w:val="32"/>
          <w:szCs w:val="32"/>
        </w:rPr>
      </w:pPr>
      <w:r>
        <w:rPr>
          <w:rFonts w:eastAsia="方正仿宋_GBK"/>
          <w:sz w:val="32"/>
          <w:szCs w:val="32"/>
        </w:rPr>
        <w:t>本预案由区应急局编制并负责解释。</w:t>
      </w:r>
    </w:p>
    <w:p>
      <w:pPr>
        <w:pStyle w:val="23"/>
        <w:keepNext w:val="0"/>
        <w:keepLines w:val="0"/>
        <w:adjustRightInd w:val="0"/>
        <w:snapToGrid w:val="0"/>
        <w:spacing w:before="0" w:after="0" w:line="560" w:lineRule="exact"/>
        <w:ind w:firstLine="640" w:firstLineChars="200"/>
        <w:jc w:val="both"/>
        <w:rPr>
          <w:rFonts w:ascii="Times New Roman" w:hAnsi="Times New Roman" w:eastAsia="方正楷体_GBK"/>
        </w:rPr>
      </w:pPr>
      <w:bookmarkStart w:id="157" w:name="_Toc13642"/>
      <w:bookmarkStart w:id="158" w:name="_Toc15847"/>
      <w:r>
        <w:rPr>
          <w:rFonts w:ascii="Times New Roman" w:hAnsi="Times New Roman" w:eastAsia="方正楷体_GBK"/>
        </w:rPr>
        <w:t>10.2预案颁布实施</w:t>
      </w:r>
      <w:bookmarkEnd w:id="157"/>
      <w:bookmarkEnd w:id="158"/>
    </w:p>
    <w:p>
      <w:pPr>
        <w:tabs>
          <w:tab w:val="left" w:pos="4140"/>
        </w:tabs>
        <w:adjustRightInd w:val="0"/>
        <w:snapToGrid w:val="0"/>
        <w:spacing w:line="560" w:lineRule="exact"/>
        <w:ind w:firstLine="640" w:firstLineChars="200"/>
        <w:rPr>
          <w:rFonts w:eastAsia="方正仿宋_GBK"/>
          <w:sz w:val="32"/>
          <w:szCs w:val="32"/>
        </w:rPr>
      </w:pPr>
      <w:bookmarkStart w:id="159" w:name="_Toc22651"/>
      <w:r>
        <w:rPr>
          <w:rFonts w:eastAsia="方正仿宋_GBK"/>
          <w:sz w:val="32"/>
          <w:szCs w:val="32"/>
        </w:rPr>
        <w:t>本预案自公布之日起实施，原《重庆市万州区突发性地质灾害应急专项预案》同时废止。</w:t>
      </w:r>
    </w:p>
    <w:p>
      <w:pPr>
        <w:pStyle w:val="23"/>
        <w:keepNext w:val="0"/>
        <w:keepLines w:val="0"/>
        <w:adjustRightInd w:val="0"/>
        <w:snapToGrid w:val="0"/>
        <w:spacing w:before="0" w:after="0" w:line="560" w:lineRule="exact"/>
        <w:ind w:firstLine="640" w:firstLineChars="200"/>
        <w:jc w:val="both"/>
        <w:rPr>
          <w:rFonts w:ascii="Times New Roman" w:hAnsi="Times New Roman" w:eastAsia="方正楷体_GBK"/>
        </w:rPr>
      </w:pPr>
      <w:bookmarkStart w:id="160" w:name="_Toc13455"/>
      <w:r>
        <w:rPr>
          <w:rFonts w:ascii="Times New Roman" w:hAnsi="Times New Roman" w:eastAsia="方正楷体_GBK"/>
        </w:rPr>
        <w:t>10.3预案管理</w:t>
      </w:r>
      <w:bookmarkEnd w:id="159"/>
      <w:bookmarkEnd w:id="160"/>
    </w:p>
    <w:p>
      <w:pPr>
        <w:tabs>
          <w:tab w:val="left" w:pos="4140"/>
        </w:tabs>
        <w:adjustRightInd w:val="0"/>
        <w:snapToGrid w:val="0"/>
        <w:spacing w:line="560" w:lineRule="exact"/>
        <w:ind w:firstLine="640" w:firstLineChars="200"/>
        <w:rPr>
          <w:rFonts w:eastAsia="方正仿宋_GBK"/>
          <w:sz w:val="32"/>
          <w:szCs w:val="32"/>
        </w:rPr>
      </w:pPr>
      <w:r>
        <w:rPr>
          <w:rFonts w:eastAsia="方正仿宋_GBK"/>
          <w:sz w:val="32"/>
          <w:szCs w:val="32"/>
        </w:rPr>
        <w:t>本预案经区政府批准后印发实施，并报市应急局备案。各镇乡</w:t>
      </w:r>
      <w:r>
        <w:rPr>
          <w:rFonts w:eastAsia="方正仿宋_GBK"/>
          <w:spacing w:val="-4"/>
          <w:kern w:val="0"/>
          <w:sz w:val="32"/>
          <w:szCs w:val="32"/>
        </w:rPr>
        <w:t>（街道）</w:t>
      </w:r>
      <w:r>
        <w:rPr>
          <w:rFonts w:eastAsia="方正仿宋_GBK"/>
          <w:sz w:val="32"/>
          <w:szCs w:val="32"/>
        </w:rPr>
        <w:t>应结合实际，制定或修编本行政区域突发地质灾害应急预案，报区应急局备案。</w:t>
      </w:r>
    </w:p>
    <w:p>
      <w:pPr>
        <w:pStyle w:val="23"/>
        <w:adjustRightInd w:val="0"/>
        <w:snapToGrid w:val="0"/>
        <w:spacing w:before="0" w:after="0" w:line="560" w:lineRule="exact"/>
        <w:ind w:firstLine="640" w:firstLineChars="200"/>
        <w:jc w:val="both"/>
        <w:rPr>
          <w:rFonts w:ascii="Times New Roman" w:hAnsi="Times New Roman" w:eastAsia="方正楷体_GBK"/>
        </w:rPr>
      </w:pPr>
      <w:bookmarkStart w:id="161" w:name="_Toc11136"/>
      <w:bookmarkStart w:id="162" w:name="_Toc32671"/>
      <w:r>
        <w:rPr>
          <w:rFonts w:ascii="Times New Roman" w:hAnsi="Times New Roman" w:eastAsia="方正楷体_GBK"/>
        </w:rPr>
        <w:t>10.4预案修订</w:t>
      </w:r>
      <w:bookmarkEnd w:id="161"/>
      <w:bookmarkEnd w:id="162"/>
    </w:p>
    <w:p>
      <w:pPr>
        <w:tabs>
          <w:tab w:val="left" w:pos="4140"/>
        </w:tabs>
        <w:adjustRightInd w:val="0"/>
        <w:snapToGrid w:val="0"/>
        <w:spacing w:line="560" w:lineRule="exact"/>
        <w:ind w:firstLine="640" w:firstLineChars="200"/>
        <w:rPr>
          <w:rFonts w:eastAsia="方正仿宋_GBK"/>
          <w:sz w:val="32"/>
          <w:szCs w:val="32"/>
        </w:rPr>
      </w:pPr>
      <w:r>
        <w:rPr>
          <w:rFonts w:eastAsia="方正仿宋_GBK"/>
          <w:sz w:val="32"/>
          <w:szCs w:val="32"/>
        </w:rPr>
        <w:t>根据地质灾害应急救援工作需要，适时对本预案进行修订，修订期限最长5年。</w:t>
      </w:r>
    </w:p>
    <w:p>
      <w:pPr>
        <w:pStyle w:val="23"/>
        <w:adjustRightInd w:val="0"/>
        <w:snapToGrid w:val="0"/>
        <w:spacing w:before="0" w:after="0" w:line="560" w:lineRule="exact"/>
        <w:ind w:firstLine="640" w:firstLineChars="200"/>
        <w:jc w:val="both"/>
        <w:rPr>
          <w:rFonts w:ascii="Times New Roman" w:hAnsi="Times New Roman" w:eastAsia="方正楷体_GBK"/>
        </w:rPr>
      </w:pPr>
      <w:bookmarkStart w:id="163" w:name="_Toc11030"/>
      <w:bookmarkStart w:id="164" w:name="_Toc5957"/>
      <w:r>
        <w:rPr>
          <w:rFonts w:ascii="Times New Roman" w:hAnsi="Times New Roman" w:eastAsia="方正楷体_GBK"/>
        </w:rPr>
        <w:t>10.5奖励</w:t>
      </w:r>
      <w:bookmarkEnd w:id="163"/>
      <w:bookmarkEnd w:id="164"/>
    </w:p>
    <w:p>
      <w:pPr>
        <w:adjustRightInd w:val="0"/>
        <w:snapToGrid w:val="0"/>
        <w:spacing w:line="560" w:lineRule="exact"/>
        <w:ind w:firstLine="640" w:firstLineChars="200"/>
        <w:rPr>
          <w:rFonts w:eastAsia="方正仿宋_GBK"/>
          <w:sz w:val="32"/>
          <w:szCs w:val="32"/>
        </w:rPr>
      </w:pPr>
      <w:r>
        <w:rPr>
          <w:rFonts w:eastAsia="方正仿宋_GBK"/>
          <w:sz w:val="32"/>
          <w:szCs w:val="32"/>
        </w:rPr>
        <w:t>对在地质灾害应急工作中贡献突出需表彰奖励的单位和个人，按照有关规定执行。</w:t>
      </w:r>
    </w:p>
    <w:p>
      <w:pPr>
        <w:pStyle w:val="3"/>
        <w:adjustRightInd w:val="0"/>
        <w:spacing w:line="560" w:lineRule="exact"/>
        <w:ind w:firstLine="640" w:firstLineChars="200"/>
        <w:rPr>
          <w:rFonts w:ascii="Times New Roman" w:hAnsi="Times New Roman" w:eastAsia="方正黑体_GBK"/>
          <w:b w:val="0"/>
          <w:sz w:val="32"/>
        </w:rPr>
      </w:pPr>
      <w:bookmarkStart w:id="165" w:name="_Toc30484"/>
      <w:bookmarkStart w:id="166" w:name="_Toc5121"/>
      <w:r>
        <w:rPr>
          <w:rFonts w:ascii="Times New Roman" w:hAnsi="Times New Roman" w:eastAsia="方正黑体_GBK"/>
          <w:b w:val="0"/>
          <w:sz w:val="32"/>
        </w:rPr>
        <w:t>11附录</w:t>
      </w:r>
      <w:bookmarkEnd w:id="165"/>
      <w:bookmarkEnd w:id="166"/>
    </w:p>
    <w:p>
      <w:pPr>
        <w:pStyle w:val="23"/>
        <w:adjustRightInd w:val="0"/>
        <w:snapToGrid w:val="0"/>
        <w:spacing w:before="0" w:after="0" w:line="360" w:lineRule="auto"/>
        <w:jc w:val="both"/>
        <w:outlineLvl w:val="9"/>
        <w:rPr>
          <w:rFonts w:ascii="Times New Roman" w:hAnsi="Times New Roman" w:eastAsia="方正楷体_GBK"/>
        </w:rPr>
        <w:sectPr>
          <w:footerReference r:id="rId9" w:type="default"/>
          <w:footerReference r:id="rId10" w:type="even"/>
          <w:pgSz w:w="11906" w:h="16838"/>
          <w:pgMar w:top="1418" w:right="1418" w:bottom="1418" w:left="1418" w:header="851" w:footer="992" w:gutter="0"/>
          <w:pgNumType w:start="1"/>
          <w:cols w:space="720" w:num="1"/>
          <w:docGrid w:type="lines" w:linePitch="312" w:charSpace="0"/>
        </w:sectPr>
      </w:pPr>
    </w:p>
    <w:p>
      <w:pPr>
        <w:pStyle w:val="23"/>
        <w:adjustRightInd w:val="0"/>
        <w:snapToGrid w:val="0"/>
        <w:spacing w:before="0" w:after="0" w:line="360" w:lineRule="auto"/>
        <w:jc w:val="both"/>
        <w:outlineLvl w:val="0"/>
        <w:rPr>
          <w:rFonts w:ascii="Times New Roman" w:hAnsi="Times New Roman" w:eastAsia="方正楷体_GBK"/>
        </w:rPr>
      </w:pPr>
      <w:bookmarkStart w:id="167" w:name="_Toc21706"/>
      <w:bookmarkStart w:id="168" w:name="_Toc2099"/>
      <w:r>
        <w:rPr>
          <w:rFonts w:ascii="Times New Roman" w:hAnsi="Times New Roman" w:eastAsia="方正楷体_GBK"/>
        </w:rPr>
        <w:t>附录1 区地指成员单位主要职责及值班电话</w:t>
      </w:r>
      <w:bookmarkEnd w:id="167"/>
      <w:bookmarkEnd w:id="168"/>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778"/>
        <w:gridCol w:w="1393"/>
        <w:gridCol w:w="9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序号</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部  门</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值班电话</w:t>
            </w:r>
          </w:p>
        </w:tc>
        <w:tc>
          <w:tcPr>
            <w:tcW w:w="9672" w:type="dxa"/>
            <w:noWrap/>
            <w:vAlign w:val="center"/>
          </w:tcPr>
          <w:p>
            <w:pPr>
              <w:adjustRightInd w:val="0"/>
              <w:snapToGrid w:val="0"/>
              <w:jc w:val="center"/>
              <w:rPr>
                <w:rFonts w:eastAsia="方正仿宋_GBK"/>
                <w:color w:val="000000"/>
                <w:sz w:val="24"/>
              </w:rPr>
            </w:pPr>
            <w:r>
              <w:rPr>
                <w:rFonts w:eastAsia="方正仿宋_GBK"/>
                <w:color w:val="000000"/>
                <w:sz w:val="24"/>
              </w:rPr>
              <w:t>应急职责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1</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区人武部</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87662100</w:t>
            </w:r>
          </w:p>
        </w:tc>
        <w:tc>
          <w:tcPr>
            <w:tcW w:w="9672" w:type="dxa"/>
            <w:noWrap/>
            <w:vAlign w:val="center"/>
          </w:tcPr>
          <w:p>
            <w:pPr>
              <w:adjustRightInd w:val="0"/>
              <w:snapToGrid w:val="0"/>
              <w:ind w:firstLine="120" w:firstLineChars="50"/>
              <w:jc w:val="left"/>
              <w:rPr>
                <w:rFonts w:eastAsia="方正仿宋_GBK"/>
                <w:color w:val="000000"/>
                <w:sz w:val="24"/>
              </w:rPr>
            </w:pPr>
            <w:r>
              <w:rPr>
                <w:rFonts w:eastAsia="方正仿宋_GBK"/>
                <w:color w:val="000000"/>
                <w:sz w:val="24"/>
              </w:rPr>
              <w:t>负责协调驻万部队参加地质灾害抢险救灾行动，实施统一指挥；牵头组织指导相关部队抓好地质灾害抢险任务准备；指导镇乡（街道）组织民兵开展地质灾害抢险救援技能训练和参与救援工作。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2</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区委宣传部</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58815959</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组织地质灾害宣传报道和舆情管控工作。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3</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区发展改革委</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58258133</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负责将地质灾害防治、应急工作与国民经济和社会发展规划、政府投资三年滚动计划、年度投资计划的衔接平衡。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4</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区教委</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58224903</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负责校园周边地质灾害防治工作，做好师生地质灾害防灾减灾救灾知识宣传教育。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5</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区科技局</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58224768</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加强地质灾害应急救援科技研发力度。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6</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区经济信息委</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58226147</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管理职责范围内工业企业生产活动地质灾害防治工作和突发灾害应急抢险处置工作；将地质灾害巡查排查和监测预警纳入日常工业企业生产活动管理范畴，核实企业受灾情况；协调保障地质灾害抢险救灾的电力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7</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区公安局</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58293462</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负责地质灾害现场警戒、道路交通管制和治安工作，协助组织人员疏散撤离，控制易燃、易爆、有毒物质泄漏。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8</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区民政局</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58226138</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负责支持引导灾害社工等社会力量参与地质灾害抢险救灾、救灾捐赠等工作，督促指导各地及时将符合条件的受灾人员纳入临时救助或最低生活保障范围。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9</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区财政局</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58224860</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负责筹集调度地质灾害防治和救灾资金，及时拨付专项资金；负责救灾资金使用的监管工作。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10</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区人力社保局</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58242158</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负责地灾专业人才引进、人才队伍建设；提供灾后创业就业指导，助推灾后恢复重建。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11</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区规划自然</w:t>
            </w:r>
          </w:p>
          <w:p>
            <w:pPr>
              <w:adjustRightInd w:val="0"/>
              <w:snapToGrid w:val="0"/>
              <w:jc w:val="center"/>
              <w:rPr>
                <w:rFonts w:eastAsia="方正仿宋_GBK"/>
                <w:color w:val="000000"/>
                <w:sz w:val="24"/>
              </w:rPr>
            </w:pPr>
            <w:r>
              <w:rPr>
                <w:rFonts w:eastAsia="方正仿宋_GBK"/>
                <w:color w:val="000000"/>
                <w:sz w:val="24"/>
              </w:rPr>
              <w:t>资源局</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58114080</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地质灾害预防和治理，监督管理地下水过量开采及引发的地面沉降等地质问题；负责落实综合防灾减灾规划相关要求，组织编制全区地质灾害防治规划并实施；组织指导协调和监督地质灾害调查评价及隐患的普查、详查、排查和防治工作；指导开展全区群测群防、专业监测和预报预警等工作；指导开展地质灾害工程治理工作；承担全区地质灾害应急救援的技术支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12</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区生态环境局</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58812369</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负责对地质灾害诱发的环境污染次生灾害开展排查、监测和处置。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13</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区住房城乡建委</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58377319</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负责组织开展工程建设诱发地质灾害隐患的排查、监测；负责组织工程建设诱发地质灾害的抢险救灾，制定应急抢险方案并组织实施。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14</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区城市管理局</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58241226</w:t>
            </w:r>
          </w:p>
        </w:tc>
        <w:tc>
          <w:tcPr>
            <w:tcW w:w="9672" w:type="dxa"/>
            <w:noWrap/>
            <w:vAlign w:val="center"/>
          </w:tcPr>
          <w:p>
            <w:pPr>
              <w:adjustRightInd w:val="0"/>
              <w:snapToGrid w:val="0"/>
              <w:ind w:firstLine="120" w:firstLineChars="50"/>
              <w:jc w:val="left"/>
              <w:rPr>
                <w:rFonts w:eastAsia="方正仿宋_GBK"/>
                <w:color w:val="000000"/>
                <w:sz w:val="24"/>
              </w:rPr>
            </w:pPr>
            <w:r>
              <w:rPr>
                <w:rFonts w:eastAsia="方正仿宋_GBK"/>
                <w:color w:val="000000"/>
                <w:sz w:val="24"/>
              </w:rPr>
              <w:t>负责城市道路及桥隧地灾隐患防治和突发灾害应急抢险处置工作。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15</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区交通局</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58240651</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负责国、省、县、部分镇乡道路突发灾害应急抢险处置工作，负责指导镇乡（街道）乡道及农村公路突发灾害应急抢险处置工作；城市交通及枢纽区周边突发灾害应急抢险处置工作；负责交通运输保障工作。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16</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区水利局</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58122495</w:t>
            </w:r>
          </w:p>
        </w:tc>
        <w:tc>
          <w:tcPr>
            <w:tcW w:w="9672" w:type="dxa"/>
            <w:noWrap/>
            <w:vAlign w:val="center"/>
          </w:tcPr>
          <w:p>
            <w:pPr>
              <w:pStyle w:val="2"/>
              <w:snapToGrid w:val="0"/>
              <w:ind w:firstLine="120" w:firstLineChars="50"/>
              <w:rPr>
                <w:rFonts w:hint="default" w:ascii="Times New Roman" w:eastAsia="方正仿宋_GBK"/>
                <w:color w:val="FF0000"/>
                <w:szCs w:val="24"/>
              </w:rPr>
            </w:pPr>
            <w:r>
              <w:rPr>
                <w:rFonts w:hint="default" w:ascii="Times New Roman" w:eastAsia="方正仿宋_GBK"/>
                <w:szCs w:val="24"/>
              </w:rPr>
              <w:t>负责水利工程（在建）、设施及周边地质灾害防治以及突发灾害应急抢险处置工作，加强水利工程、水利设施的后期维护、监管，做好洪水引发地质灾害的预防工作和三峡库区高切坡项目的监测治理工作，做好三峡库区建设的移民迁建区、移民迁建设施地质灾害防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17</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区农业农村委</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58569700</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负责因地质灾害造成的农业生产受灾情况调查，核实农业受灾情况，指导灾后恢复生产。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18</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区商务委</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58224928</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负责对外贸易地质灾害防范应对工作。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19</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区文化旅游委</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58815889</w:t>
            </w:r>
          </w:p>
        </w:tc>
        <w:tc>
          <w:tcPr>
            <w:tcW w:w="9672" w:type="dxa"/>
            <w:noWrap/>
            <w:vAlign w:val="center"/>
          </w:tcPr>
          <w:p>
            <w:pPr>
              <w:adjustRightInd w:val="0"/>
              <w:snapToGrid w:val="0"/>
              <w:ind w:firstLine="120" w:firstLineChars="50"/>
              <w:jc w:val="left"/>
              <w:rPr>
                <w:rFonts w:eastAsia="方正仿宋_GBK"/>
                <w:color w:val="000000"/>
                <w:sz w:val="24"/>
              </w:rPr>
            </w:pPr>
            <w:r>
              <w:rPr>
                <w:rFonts w:eastAsia="方正仿宋_GBK"/>
                <w:color w:val="000000"/>
                <w:sz w:val="24"/>
              </w:rPr>
              <w:t>负责旅游景区及进出景区的交通要道沿线地质灾害防治和突发灾害应急抢险处置工作。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20</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区卫生健康委</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58815205</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负责组织有关医疗单位对伤病人员实施救治和处置；负责采取措施，做好加强灾区的传染病疫情和突发公共卫生事件监测评估与防控工作。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21</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区应急局</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58255666</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区地指办日常工作；统筹指导全区地质灾害防治和救灾工作；组织开展应急预案体系建设和应急指挥体系建设；向指挥部提出应急处置工作建议和意见，启动突发地质灾害应急响应，制定抢险救灾方案，组织、指挥、协调镇乡（街道）、相关部门和抢险救援力量开展应急抢险救援工作，开展灾后调查评估；协调有关部门落实救灾专项资金，统筹安排救灾资金；负责监视灾情发展，采集灾情，汇总灾情和气象信息，判断及预测地质灾害后续趋势，为地质灾害抢险救灾提供决策依据；开展灾害损失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22</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区国资委</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58520086</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负责指导、督促、协调所属企业做好地质灾害防治工作，协助开展地质灾害抢险救灾工作。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23</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区统计局</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58520201</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负责做好地质灾害灾情统计业务指导工作。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24</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区林业局</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58560676</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负责因地质灾害造成的林业受灾情况调查核实，指导灾后森林恢复。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25</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区大数据发展局</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58108516</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牵头做好地质灾害数据资源的建设和管理，推动地质灾害数据资源互联互通、资源共享；运用大数据、人工智能等协助抢险救灾；负责协调组织地质灾害抢险救援应急通信及其他重要通信保障；保障灾区公众信息网的网络运行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26</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区物流办</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58108317</w:t>
            </w:r>
          </w:p>
        </w:tc>
        <w:tc>
          <w:tcPr>
            <w:tcW w:w="9672" w:type="dxa"/>
            <w:noWrap/>
            <w:vAlign w:val="center"/>
          </w:tcPr>
          <w:p>
            <w:pPr>
              <w:adjustRightInd w:val="0"/>
              <w:snapToGrid w:val="0"/>
              <w:ind w:firstLine="120" w:firstLineChars="50"/>
              <w:jc w:val="left"/>
              <w:rPr>
                <w:rFonts w:eastAsia="方正仿宋_GBK"/>
                <w:color w:val="000000"/>
                <w:sz w:val="24"/>
              </w:rPr>
            </w:pPr>
            <w:r>
              <w:rPr>
                <w:rFonts w:eastAsia="方正仿宋_GBK"/>
                <w:color w:val="000000"/>
                <w:sz w:val="24"/>
              </w:rPr>
              <w:t>负责协调组织物流公司做好地质灾害抢险救灾物资运输保障工作。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27</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团区委</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58124034</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负责会同相关单位建立民间抢险救援队伍，开展演练。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28</w:t>
            </w:r>
          </w:p>
        </w:tc>
        <w:tc>
          <w:tcPr>
            <w:tcW w:w="1778" w:type="dxa"/>
            <w:noWrap/>
            <w:vAlign w:val="center"/>
          </w:tcPr>
          <w:p>
            <w:pPr>
              <w:adjustRightInd w:val="0"/>
              <w:snapToGrid w:val="0"/>
              <w:jc w:val="center"/>
              <w:rPr>
                <w:rFonts w:eastAsia="方正仿宋_GBK"/>
                <w:color w:val="000000"/>
                <w:sz w:val="24"/>
              </w:rPr>
            </w:pPr>
            <w:r>
              <w:rPr>
                <w:rFonts w:eastAsia="方正仿宋_GBK"/>
                <w:sz w:val="24"/>
              </w:rPr>
              <w:t>重庆预师四团</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87662008</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负责协助地方做好地质灾害抢险救灾工作。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29</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武警重庆总队三支队</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58126341转值班室</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负责参与应急处置和抢险救灾行动，配合公安机关维护当地社会秩序。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30</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武警重庆总队船艇支队三大队</w:t>
            </w:r>
          </w:p>
        </w:tc>
        <w:tc>
          <w:tcPr>
            <w:tcW w:w="1393" w:type="dxa"/>
            <w:noWrap/>
            <w:vAlign w:val="center"/>
          </w:tcPr>
          <w:p>
            <w:pPr>
              <w:adjustRightInd w:val="0"/>
              <w:snapToGrid w:val="0"/>
              <w:jc w:val="center"/>
              <w:rPr>
                <w:rFonts w:eastAsia="方正仿宋_GBK"/>
                <w:color w:val="FF0000"/>
                <w:sz w:val="24"/>
              </w:rPr>
            </w:pPr>
            <w:r>
              <w:rPr>
                <w:rFonts w:eastAsia="方正仿宋_GBK"/>
                <w:color w:val="000000"/>
                <w:sz w:val="24"/>
              </w:rPr>
              <w:t>58560117</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负责参与应急处置和抢险救灾行动。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31</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万州银保监分局</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58258216</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负责协同建立灾害救助保险制度。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32</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万州海事处</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58296666</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负责长江万州段沿岸因地质灾害危及船舶航行安全时的应急处置和协调工作；当发生威胁通航安全的地质灾害时，实施水上交通管制，做好船舶交通组织和疏导工作。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33</w:t>
            </w:r>
          </w:p>
        </w:tc>
        <w:tc>
          <w:tcPr>
            <w:tcW w:w="1778" w:type="dxa"/>
            <w:noWrap/>
            <w:vAlign w:val="center"/>
          </w:tcPr>
          <w:p>
            <w:pPr>
              <w:adjustRightInd w:val="0"/>
              <w:snapToGrid w:val="0"/>
              <w:jc w:val="center"/>
              <w:rPr>
                <w:rFonts w:eastAsia="方正仿宋_GBK"/>
                <w:color w:val="000000"/>
                <w:sz w:val="24"/>
              </w:rPr>
            </w:pPr>
            <w:r>
              <w:rPr>
                <w:color w:val="000000"/>
                <w:sz w:val="24"/>
              </w:rPr>
              <w:t>万州</w:t>
            </w:r>
            <w:r>
              <w:rPr>
                <w:rFonts w:eastAsia="方正仿宋_GBK"/>
                <w:color w:val="000000"/>
                <w:sz w:val="24"/>
              </w:rPr>
              <w:t>区气象局</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58123132</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负责提供地质灾害处置期间的气象信息，按照工作需要及时发布灾害性天气趋势分析和预报。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34</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万州航道处</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58295517</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负责在地质灾害抢险救灾过程中做好长江干线航道航标调整、设置工作。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35</w:t>
            </w:r>
          </w:p>
        </w:tc>
        <w:tc>
          <w:tcPr>
            <w:tcW w:w="1778" w:type="dxa"/>
            <w:noWrap/>
            <w:vAlign w:val="center"/>
          </w:tcPr>
          <w:p>
            <w:pPr>
              <w:adjustRightInd w:val="0"/>
              <w:snapToGrid w:val="0"/>
              <w:rPr>
                <w:rFonts w:eastAsia="方正仿宋_GBK"/>
                <w:color w:val="000000"/>
                <w:sz w:val="24"/>
              </w:rPr>
            </w:pPr>
            <w:r>
              <w:rPr>
                <w:rFonts w:eastAsia="方正仿宋_GBK"/>
                <w:color w:val="000000"/>
                <w:sz w:val="24"/>
              </w:rPr>
              <w:t>区消防救援支队</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58660615</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负责组织消防救援人员参与地质灾害应急处置和抢险救灾行动。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36</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国网万州</w:t>
            </w:r>
          </w:p>
          <w:p>
            <w:pPr>
              <w:adjustRightInd w:val="0"/>
              <w:snapToGrid w:val="0"/>
              <w:jc w:val="center"/>
              <w:rPr>
                <w:rFonts w:eastAsia="方正仿宋_GBK"/>
                <w:color w:val="000000"/>
                <w:sz w:val="24"/>
              </w:rPr>
            </w:pPr>
            <w:r>
              <w:rPr>
                <w:color w:val="000000"/>
                <w:sz w:val="24"/>
              </w:rPr>
              <w:t>供电</w:t>
            </w:r>
            <w:r>
              <w:rPr>
                <w:rFonts w:eastAsia="方正仿宋_GBK"/>
                <w:color w:val="000000"/>
                <w:sz w:val="24"/>
              </w:rPr>
              <w:t>公司</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58297227</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负责地质灾害抢险救灾和灾后电力供应、电力安全工作，负责本系统灾害应急处置工作。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37</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三峡水利</w:t>
            </w:r>
            <w:r>
              <w:rPr>
                <w:color w:val="000000"/>
                <w:sz w:val="24"/>
              </w:rPr>
              <w:t>公司</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87509613</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负责地质灾害抢险救灾和灾后电力供应、电力安全工作，负责本系统灾害应急处置工作。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38</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中国移动</w:t>
            </w:r>
          </w:p>
          <w:p>
            <w:pPr>
              <w:adjustRightInd w:val="0"/>
              <w:snapToGrid w:val="0"/>
              <w:jc w:val="center"/>
              <w:rPr>
                <w:rFonts w:eastAsia="方正仿宋_GBK"/>
                <w:color w:val="000000"/>
                <w:sz w:val="24"/>
              </w:rPr>
            </w:pPr>
            <w:r>
              <w:rPr>
                <w:rFonts w:eastAsia="方正仿宋_GBK"/>
                <w:color w:val="000000"/>
                <w:sz w:val="24"/>
              </w:rPr>
              <w:t>万州分公司</w:t>
            </w:r>
          </w:p>
        </w:tc>
        <w:tc>
          <w:tcPr>
            <w:tcW w:w="1393" w:type="dxa"/>
            <w:noWrap/>
            <w:vAlign w:val="center"/>
          </w:tcPr>
          <w:p>
            <w:pPr>
              <w:adjustRightInd w:val="0"/>
              <w:snapToGrid w:val="0"/>
              <w:jc w:val="center"/>
              <w:rPr>
                <w:rFonts w:eastAsia="方正仿宋_GBK"/>
                <w:color w:val="FF0000"/>
                <w:sz w:val="24"/>
              </w:rPr>
            </w:pPr>
            <w:r>
              <w:rPr>
                <w:rFonts w:eastAsia="方正仿宋_GBK"/>
                <w:sz w:val="24"/>
              </w:rPr>
              <w:t>18716752531</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负责抢险救援应急通信保障；负责灾区通讯设施的排险、抢修及灾后通讯设施恢复重建。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39</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中国电信</w:t>
            </w:r>
          </w:p>
          <w:p>
            <w:pPr>
              <w:adjustRightInd w:val="0"/>
              <w:snapToGrid w:val="0"/>
              <w:jc w:val="center"/>
              <w:rPr>
                <w:rFonts w:eastAsia="方正仿宋_GBK"/>
                <w:color w:val="000000"/>
                <w:sz w:val="24"/>
              </w:rPr>
            </w:pPr>
            <w:r>
              <w:rPr>
                <w:rFonts w:eastAsia="方正仿宋_GBK"/>
                <w:color w:val="000000"/>
                <w:sz w:val="24"/>
              </w:rPr>
              <w:t>万州分公司</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58960060</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负责抢险救援应急通信保障；负责灾区通讯设施的排险、抢修及灾后通讯设施恢复重建。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5" w:type="dxa"/>
            <w:noWrap/>
            <w:vAlign w:val="center"/>
          </w:tcPr>
          <w:p>
            <w:pPr>
              <w:adjustRightInd w:val="0"/>
              <w:snapToGrid w:val="0"/>
              <w:jc w:val="center"/>
              <w:rPr>
                <w:rFonts w:eastAsia="方正仿宋_GBK"/>
                <w:color w:val="000000"/>
                <w:sz w:val="24"/>
              </w:rPr>
            </w:pPr>
            <w:r>
              <w:rPr>
                <w:rFonts w:eastAsia="方正仿宋_GBK"/>
                <w:color w:val="000000"/>
                <w:sz w:val="24"/>
              </w:rPr>
              <w:t>40</w:t>
            </w:r>
          </w:p>
        </w:tc>
        <w:tc>
          <w:tcPr>
            <w:tcW w:w="1778" w:type="dxa"/>
            <w:noWrap/>
            <w:vAlign w:val="center"/>
          </w:tcPr>
          <w:p>
            <w:pPr>
              <w:adjustRightInd w:val="0"/>
              <w:snapToGrid w:val="0"/>
              <w:jc w:val="center"/>
              <w:rPr>
                <w:rFonts w:eastAsia="方正仿宋_GBK"/>
                <w:color w:val="000000"/>
                <w:sz w:val="24"/>
              </w:rPr>
            </w:pPr>
            <w:r>
              <w:rPr>
                <w:rFonts w:eastAsia="方正仿宋_GBK"/>
                <w:color w:val="000000"/>
                <w:sz w:val="24"/>
              </w:rPr>
              <w:t>中国联通</w:t>
            </w:r>
          </w:p>
          <w:p>
            <w:pPr>
              <w:adjustRightInd w:val="0"/>
              <w:snapToGrid w:val="0"/>
              <w:jc w:val="center"/>
              <w:rPr>
                <w:rFonts w:eastAsia="方正仿宋_GBK"/>
                <w:color w:val="000000"/>
                <w:sz w:val="24"/>
              </w:rPr>
            </w:pPr>
            <w:r>
              <w:rPr>
                <w:rFonts w:eastAsia="方正仿宋_GBK"/>
                <w:color w:val="000000"/>
                <w:sz w:val="24"/>
              </w:rPr>
              <w:t>万州分公司</w:t>
            </w:r>
          </w:p>
        </w:tc>
        <w:tc>
          <w:tcPr>
            <w:tcW w:w="1393" w:type="dxa"/>
            <w:noWrap/>
            <w:vAlign w:val="center"/>
          </w:tcPr>
          <w:p>
            <w:pPr>
              <w:adjustRightInd w:val="0"/>
              <w:snapToGrid w:val="0"/>
              <w:jc w:val="center"/>
              <w:rPr>
                <w:rFonts w:eastAsia="方正仿宋_GBK"/>
                <w:color w:val="000000"/>
                <w:sz w:val="24"/>
              </w:rPr>
            </w:pPr>
            <w:r>
              <w:rPr>
                <w:rFonts w:eastAsia="方正仿宋_GBK"/>
                <w:color w:val="000000"/>
                <w:sz w:val="24"/>
              </w:rPr>
              <w:t>85777119</w:t>
            </w:r>
          </w:p>
        </w:tc>
        <w:tc>
          <w:tcPr>
            <w:tcW w:w="9672" w:type="dxa"/>
            <w:noWrap/>
            <w:vAlign w:val="center"/>
          </w:tcPr>
          <w:p>
            <w:pPr>
              <w:adjustRightInd w:val="0"/>
              <w:snapToGrid w:val="0"/>
              <w:ind w:firstLine="120" w:firstLineChars="50"/>
              <w:rPr>
                <w:rFonts w:eastAsia="方正仿宋_GBK"/>
                <w:color w:val="000000"/>
                <w:sz w:val="24"/>
              </w:rPr>
            </w:pPr>
            <w:r>
              <w:rPr>
                <w:rFonts w:eastAsia="方正仿宋_GBK"/>
                <w:color w:val="000000"/>
                <w:sz w:val="24"/>
              </w:rPr>
              <w:t>负责抢险救援应急通信保障；负责灾区通讯设施的排险、抢修及灾后通讯设施恢复重建。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608" w:type="dxa"/>
            <w:gridSpan w:val="4"/>
            <w:noWrap/>
            <w:vAlign w:val="center"/>
          </w:tcPr>
          <w:p>
            <w:pPr>
              <w:adjustRightInd w:val="0"/>
              <w:snapToGrid w:val="0"/>
              <w:rPr>
                <w:rFonts w:eastAsia="方正仿宋_GBK"/>
                <w:color w:val="000000"/>
                <w:sz w:val="24"/>
              </w:rPr>
            </w:pPr>
            <w:r>
              <w:rPr>
                <w:rFonts w:eastAsia="方正仿宋_GBK"/>
                <w:color w:val="000000"/>
                <w:sz w:val="24"/>
              </w:rPr>
              <w:t>各成员单位除承担上述职责外，还应根据区地指的要求，承担与其职责相关的其他工作。</w:t>
            </w:r>
          </w:p>
        </w:tc>
      </w:tr>
    </w:tbl>
    <w:p>
      <w:pPr>
        <w:adjustRightInd w:val="0"/>
        <w:snapToGrid w:val="0"/>
        <w:spacing w:line="600" w:lineRule="exact"/>
        <w:ind w:firstLine="640" w:firstLineChars="200"/>
        <w:rPr>
          <w:rFonts w:eastAsia="方正仿宋_GBK"/>
          <w:sz w:val="32"/>
          <w:szCs w:val="32"/>
        </w:rPr>
        <w:sectPr>
          <w:pgSz w:w="16838" w:h="11906" w:orient="landscape"/>
          <w:pgMar w:top="1701" w:right="1418" w:bottom="1701" w:left="1418" w:header="851" w:footer="992" w:gutter="0"/>
          <w:cols w:space="720" w:num="1"/>
          <w:docGrid w:type="lines" w:linePitch="312" w:charSpace="0"/>
        </w:sectPr>
      </w:pPr>
    </w:p>
    <w:p>
      <w:pPr>
        <w:pStyle w:val="23"/>
        <w:adjustRightInd w:val="0"/>
        <w:snapToGrid w:val="0"/>
        <w:spacing w:before="0" w:after="0" w:line="360" w:lineRule="auto"/>
        <w:jc w:val="both"/>
        <w:outlineLvl w:val="0"/>
        <w:rPr>
          <w:rFonts w:ascii="Times New Roman" w:hAnsi="Times New Roman" w:eastAsia="方正楷体_GBK"/>
        </w:rPr>
      </w:pPr>
      <w:bookmarkStart w:id="169" w:name="_Toc20678"/>
      <w:bookmarkStart w:id="170" w:name="_Toc3102"/>
      <w:r>
        <w:rPr>
          <w:rFonts w:ascii="Times New Roman" w:hAnsi="Times New Roman" w:eastAsia="方正楷体_GBK"/>
        </w:rPr>
        <w:t>附录2 现场指挥部工作组及职责</w:t>
      </w:r>
      <w:bookmarkEnd w:id="169"/>
      <w:bookmarkEnd w:id="170"/>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430"/>
        <w:gridCol w:w="1271"/>
        <w:gridCol w:w="4011"/>
        <w:gridCol w:w="5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ign w:val="center"/>
          </w:tcPr>
          <w:p>
            <w:pPr>
              <w:adjustRightInd w:val="0"/>
              <w:snapToGrid w:val="0"/>
              <w:jc w:val="center"/>
              <w:rPr>
                <w:rFonts w:eastAsia="方正仿宋_GBK"/>
                <w:kern w:val="0"/>
                <w:sz w:val="24"/>
              </w:rPr>
            </w:pPr>
            <w:r>
              <w:rPr>
                <w:rFonts w:eastAsia="方正仿宋_GBK"/>
                <w:kern w:val="0"/>
                <w:sz w:val="24"/>
              </w:rPr>
              <w:t>序号</w:t>
            </w:r>
          </w:p>
        </w:tc>
        <w:tc>
          <w:tcPr>
            <w:tcW w:w="1430" w:type="dxa"/>
            <w:noWrap/>
            <w:vAlign w:val="center"/>
          </w:tcPr>
          <w:p>
            <w:pPr>
              <w:adjustRightInd w:val="0"/>
              <w:snapToGrid w:val="0"/>
              <w:rPr>
                <w:rFonts w:eastAsia="方正仿宋_GBK"/>
                <w:kern w:val="0"/>
                <w:sz w:val="24"/>
              </w:rPr>
            </w:pPr>
            <w:r>
              <w:rPr>
                <w:rFonts w:eastAsia="方正仿宋_GBK"/>
                <w:kern w:val="0"/>
                <w:sz w:val="24"/>
              </w:rPr>
              <w:t>现场工作组</w:t>
            </w:r>
          </w:p>
        </w:tc>
        <w:tc>
          <w:tcPr>
            <w:tcW w:w="1271" w:type="dxa"/>
            <w:noWrap/>
            <w:vAlign w:val="center"/>
          </w:tcPr>
          <w:p>
            <w:pPr>
              <w:adjustRightInd w:val="0"/>
              <w:snapToGrid w:val="0"/>
              <w:jc w:val="center"/>
              <w:rPr>
                <w:rFonts w:eastAsia="方正仿宋_GBK"/>
                <w:kern w:val="0"/>
                <w:sz w:val="24"/>
              </w:rPr>
            </w:pPr>
            <w:r>
              <w:rPr>
                <w:rFonts w:eastAsia="方正仿宋_GBK"/>
                <w:kern w:val="0"/>
                <w:sz w:val="24"/>
              </w:rPr>
              <w:t>牵头单位</w:t>
            </w:r>
          </w:p>
        </w:tc>
        <w:tc>
          <w:tcPr>
            <w:tcW w:w="4011" w:type="dxa"/>
            <w:noWrap/>
            <w:vAlign w:val="center"/>
          </w:tcPr>
          <w:p>
            <w:pPr>
              <w:adjustRightInd w:val="0"/>
              <w:snapToGrid w:val="0"/>
              <w:jc w:val="center"/>
              <w:rPr>
                <w:rFonts w:eastAsia="方正仿宋_GBK"/>
                <w:kern w:val="0"/>
                <w:sz w:val="24"/>
              </w:rPr>
            </w:pPr>
            <w:r>
              <w:rPr>
                <w:rFonts w:eastAsia="方正仿宋_GBK"/>
                <w:kern w:val="0"/>
                <w:sz w:val="24"/>
              </w:rPr>
              <w:t>成员单位</w:t>
            </w:r>
          </w:p>
        </w:tc>
        <w:tc>
          <w:tcPr>
            <w:tcW w:w="5869" w:type="dxa"/>
            <w:noWrap/>
            <w:vAlign w:val="center"/>
          </w:tcPr>
          <w:p>
            <w:pPr>
              <w:adjustRightInd w:val="0"/>
              <w:snapToGrid w:val="0"/>
              <w:jc w:val="center"/>
              <w:rPr>
                <w:rFonts w:eastAsia="方正仿宋_GBK"/>
                <w:kern w:val="0"/>
                <w:sz w:val="24"/>
              </w:rPr>
            </w:pPr>
            <w:r>
              <w:rPr>
                <w:rFonts w:eastAsia="方正仿宋_GBK"/>
                <w:kern w:val="0"/>
                <w:sz w:val="24"/>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ign w:val="center"/>
          </w:tcPr>
          <w:p>
            <w:pPr>
              <w:adjustRightInd w:val="0"/>
              <w:snapToGrid w:val="0"/>
              <w:jc w:val="center"/>
              <w:rPr>
                <w:rFonts w:eastAsia="方正仿宋_GBK"/>
                <w:kern w:val="0"/>
                <w:sz w:val="24"/>
              </w:rPr>
            </w:pPr>
            <w:r>
              <w:rPr>
                <w:rFonts w:eastAsia="方正仿宋_GBK"/>
                <w:kern w:val="0"/>
                <w:sz w:val="24"/>
              </w:rPr>
              <w:t>1</w:t>
            </w:r>
          </w:p>
        </w:tc>
        <w:tc>
          <w:tcPr>
            <w:tcW w:w="1430" w:type="dxa"/>
            <w:noWrap/>
            <w:vAlign w:val="center"/>
          </w:tcPr>
          <w:p>
            <w:pPr>
              <w:adjustRightInd w:val="0"/>
              <w:snapToGrid w:val="0"/>
              <w:rPr>
                <w:rFonts w:eastAsia="方正仿宋_GBK"/>
                <w:kern w:val="0"/>
                <w:sz w:val="24"/>
              </w:rPr>
            </w:pPr>
            <w:r>
              <w:rPr>
                <w:rFonts w:eastAsia="方正仿宋_GBK"/>
                <w:sz w:val="24"/>
              </w:rPr>
              <w:t>综合协调组</w:t>
            </w:r>
          </w:p>
        </w:tc>
        <w:tc>
          <w:tcPr>
            <w:tcW w:w="1271" w:type="dxa"/>
            <w:noWrap/>
            <w:vAlign w:val="center"/>
          </w:tcPr>
          <w:p>
            <w:pPr>
              <w:adjustRightInd w:val="0"/>
              <w:snapToGrid w:val="0"/>
              <w:jc w:val="center"/>
              <w:rPr>
                <w:rFonts w:eastAsia="方正仿宋_GBK"/>
                <w:kern w:val="0"/>
                <w:sz w:val="24"/>
              </w:rPr>
            </w:pPr>
            <w:r>
              <w:rPr>
                <w:rFonts w:eastAsia="方正仿宋_GBK"/>
                <w:sz w:val="24"/>
              </w:rPr>
              <w:t>区政府办</w:t>
            </w:r>
          </w:p>
        </w:tc>
        <w:tc>
          <w:tcPr>
            <w:tcW w:w="4011" w:type="dxa"/>
            <w:noWrap/>
            <w:vAlign w:val="center"/>
          </w:tcPr>
          <w:p>
            <w:pPr>
              <w:adjustRightInd w:val="0"/>
              <w:snapToGrid w:val="0"/>
              <w:rPr>
                <w:rFonts w:eastAsia="方正仿宋_GBK"/>
                <w:kern w:val="0"/>
                <w:sz w:val="24"/>
              </w:rPr>
            </w:pPr>
            <w:r>
              <w:rPr>
                <w:rFonts w:eastAsia="方正仿宋_GBK"/>
                <w:sz w:val="24"/>
              </w:rPr>
              <w:t>由区应急局、区规划自然资源局、区公安分局等部门和事发地镇乡（街道）等单位组成</w:t>
            </w:r>
          </w:p>
        </w:tc>
        <w:tc>
          <w:tcPr>
            <w:tcW w:w="5869" w:type="dxa"/>
            <w:noWrap/>
            <w:vAlign w:val="center"/>
          </w:tcPr>
          <w:p>
            <w:pPr>
              <w:adjustRightInd w:val="0"/>
              <w:snapToGrid w:val="0"/>
              <w:ind w:firstLine="120" w:firstLineChars="50"/>
              <w:rPr>
                <w:rFonts w:eastAsia="方正仿宋_GBK"/>
                <w:kern w:val="0"/>
                <w:sz w:val="24"/>
              </w:rPr>
            </w:pPr>
            <w:r>
              <w:rPr>
                <w:rFonts w:eastAsia="方正仿宋_GBK"/>
                <w:sz w:val="24"/>
              </w:rPr>
              <w:t>传达现场指挥部指令，报告应急处置情况，协调抢险救援工作，完成领导交办的其他任务。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ign w:val="center"/>
          </w:tcPr>
          <w:p>
            <w:pPr>
              <w:adjustRightInd w:val="0"/>
              <w:snapToGrid w:val="0"/>
              <w:jc w:val="center"/>
              <w:rPr>
                <w:rFonts w:eastAsia="方正仿宋_GBK"/>
                <w:kern w:val="0"/>
                <w:sz w:val="24"/>
              </w:rPr>
            </w:pPr>
            <w:r>
              <w:rPr>
                <w:rFonts w:eastAsia="方正仿宋_GBK"/>
                <w:kern w:val="0"/>
                <w:sz w:val="24"/>
              </w:rPr>
              <w:t>2</w:t>
            </w:r>
          </w:p>
        </w:tc>
        <w:tc>
          <w:tcPr>
            <w:tcW w:w="1430" w:type="dxa"/>
            <w:noWrap/>
            <w:vAlign w:val="center"/>
          </w:tcPr>
          <w:p>
            <w:pPr>
              <w:adjustRightInd w:val="0"/>
              <w:snapToGrid w:val="0"/>
              <w:rPr>
                <w:rFonts w:eastAsia="方正仿宋_GBK"/>
                <w:kern w:val="0"/>
                <w:sz w:val="24"/>
              </w:rPr>
            </w:pPr>
            <w:r>
              <w:rPr>
                <w:rFonts w:eastAsia="方正仿宋_GBK"/>
                <w:sz w:val="24"/>
              </w:rPr>
              <w:t>技术工作组</w:t>
            </w:r>
          </w:p>
        </w:tc>
        <w:tc>
          <w:tcPr>
            <w:tcW w:w="1271" w:type="dxa"/>
            <w:noWrap/>
            <w:vAlign w:val="center"/>
          </w:tcPr>
          <w:p>
            <w:pPr>
              <w:adjustRightInd w:val="0"/>
              <w:snapToGrid w:val="0"/>
              <w:jc w:val="center"/>
              <w:rPr>
                <w:rFonts w:eastAsia="方正仿宋_GBK"/>
                <w:kern w:val="0"/>
                <w:sz w:val="24"/>
              </w:rPr>
            </w:pPr>
            <w:r>
              <w:rPr>
                <w:rFonts w:eastAsia="方正仿宋_GBK"/>
                <w:sz w:val="24"/>
              </w:rPr>
              <w:t>区规划自然资源局</w:t>
            </w:r>
          </w:p>
        </w:tc>
        <w:tc>
          <w:tcPr>
            <w:tcW w:w="4011" w:type="dxa"/>
            <w:noWrap/>
            <w:vAlign w:val="center"/>
          </w:tcPr>
          <w:p>
            <w:pPr>
              <w:adjustRightInd w:val="0"/>
              <w:snapToGrid w:val="0"/>
              <w:rPr>
                <w:rFonts w:eastAsia="方正仿宋_GBK"/>
                <w:kern w:val="0"/>
                <w:sz w:val="24"/>
              </w:rPr>
            </w:pPr>
            <w:r>
              <w:rPr>
                <w:rFonts w:eastAsia="方正仿宋_GBK"/>
                <w:sz w:val="24"/>
              </w:rPr>
              <w:t>由区应急局、区住房城乡建委、区交通局等部门和事发地镇乡（街道）等单位组成</w:t>
            </w:r>
          </w:p>
        </w:tc>
        <w:tc>
          <w:tcPr>
            <w:tcW w:w="5869" w:type="dxa"/>
            <w:noWrap/>
            <w:vAlign w:val="center"/>
          </w:tcPr>
          <w:p>
            <w:pPr>
              <w:adjustRightInd w:val="0"/>
              <w:snapToGrid w:val="0"/>
              <w:ind w:firstLine="120" w:firstLineChars="50"/>
              <w:rPr>
                <w:rFonts w:eastAsia="方正仿宋_GBK"/>
                <w:kern w:val="0"/>
                <w:sz w:val="24"/>
              </w:rPr>
            </w:pPr>
            <w:r>
              <w:rPr>
                <w:rFonts w:eastAsia="方正仿宋_GBK"/>
                <w:sz w:val="24"/>
              </w:rPr>
              <w:t>划定地质灾害危险区范围，对地质灾害险情、灾情开展应急调查和动态监测，实时观测救灾场地安全变化及监控次生灾害；向现场指挥部提供险情、灾情发展变化趋势，提出排危除险和抢险救援相关建议。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ign w:val="center"/>
          </w:tcPr>
          <w:p>
            <w:pPr>
              <w:adjustRightInd w:val="0"/>
              <w:snapToGrid w:val="0"/>
              <w:jc w:val="center"/>
              <w:rPr>
                <w:rFonts w:eastAsia="方正仿宋_GBK"/>
                <w:kern w:val="0"/>
                <w:sz w:val="24"/>
              </w:rPr>
            </w:pPr>
            <w:r>
              <w:rPr>
                <w:rFonts w:eastAsia="方正仿宋_GBK"/>
                <w:kern w:val="0"/>
                <w:sz w:val="24"/>
              </w:rPr>
              <w:t>3</w:t>
            </w:r>
          </w:p>
        </w:tc>
        <w:tc>
          <w:tcPr>
            <w:tcW w:w="1430" w:type="dxa"/>
            <w:noWrap/>
            <w:vAlign w:val="center"/>
          </w:tcPr>
          <w:p>
            <w:pPr>
              <w:adjustRightInd w:val="0"/>
              <w:snapToGrid w:val="0"/>
              <w:rPr>
                <w:rFonts w:eastAsia="方正仿宋_GBK"/>
                <w:kern w:val="0"/>
                <w:sz w:val="24"/>
              </w:rPr>
            </w:pPr>
            <w:r>
              <w:rPr>
                <w:rFonts w:eastAsia="方正仿宋_GBK"/>
                <w:sz w:val="24"/>
              </w:rPr>
              <w:t>抢险救援组</w:t>
            </w:r>
          </w:p>
        </w:tc>
        <w:tc>
          <w:tcPr>
            <w:tcW w:w="1271" w:type="dxa"/>
            <w:noWrap/>
            <w:vAlign w:val="center"/>
          </w:tcPr>
          <w:p>
            <w:pPr>
              <w:adjustRightInd w:val="0"/>
              <w:snapToGrid w:val="0"/>
              <w:jc w:val="center"/>
              <w:rPr>
                <w:rFonts w:eastAsia="方正仿宋_GBK"/>
                <w:kern w:val="0"/>
                <w:sz w:val="24"/>
              </w:rPr>
            </w:pPr>
            <w:r>
              <w:rPr>
                <w:rFonts w:eastAsia="方正仿宋_GBK"/>
                <w:sz w:val="24"/>
              </w:rPr>
              <w:t>区应急局</w:t>
            </w:r>
          </w:p>
        </w:tc>
        <w:tc>
          <w:tcPr>
            <w:tcW w:w="4011" w:type="dxa"/>
            <w:noWrap/>
            <w:vAlign w:val="center"/>
          </w:tcPr>
          <w:p>
            <w:pPr>
              <w:adjustRightInd w:val="0"/>
              <w:snapToGrid w:val="0"/>
              <w:rPr>
                <w:rFonts w:eastAsia="方正仿宋_GBK"/>
                <w:kern w:val="0"/>
                <w:sz w:val="24"/>
              </w:rPr>
            </w:pPr>
            <w:r>
              <w:rPr>
                <w:rFonts w:eastAsia="方正仿宋_GBK"/>
                <w:sz w:val="24"/>
              </w:rPr>
              <w:t>由区规划自然资源局、区人武部等单位组成</w:t>
            </w:r>
          </w:p>
        </w:tc>
        <w:tc>
          <w:tcPr>
            <w:tcW w:w="5869" w:type="dxa"/>
            <w:noWrap/>
            <w:vAlign w:val="center"/>
          </w:tcPr>
          <w:p>
            <w:pPr>
              <w:adjustRightInd w:val="0"/>
              <w:snapToGrid w:val="0"/>
              <w:ind w:firstLine="120" w:firstLineChars="50"/>
              <w:rPr>
                <w:rFonts w:eastAsia="方正仿宋_GBK"/>
                <w:kern w:val="0"/>
                <w:sz w:val="24"/>
              </w:rPr>
            </w:pPr>
            <w:r>
              <w:rPr>
                <w:rFonts w:eastAsia="方正仿宋_GBK"/>
                <w:sz w:val="24"/>
              </w:rPr>
              <w:t>制定并组织实施排危除险和抢险救援方案，调度抢险救援队伍、装备和设施，搜救被困群众，落实应急治理相关措施。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ign w:val="center"/>
          </w:tcPr>
          <w:p>
            <w:pPr>
              <w:adjustRightInd w:val="0"/>
              <w:snapToGrid w:val="0"/>
              <w:jc w:val="center"/>
              <w:rPr>
                <w:rFonts w:eastAsia="方正仿宋_GBK"/>
                <w:kern w:val="0"/>
                <w:sz w:val="24"/>
              </w:rPr>
            </w:pPr>
            <w:r>
              <w:rPr>
                <w:rFonts w:eastAsia="方正仿宋_GBK"/>
                <w:kern w:val="0"/>
                <w:sz w:val="24"/>
              </w:rPr>
              <w:t>4</w:t>
            </w:r>
          </w:p>
        </w:tc>
        <w:tc>
          <w:tcPr>
            <w:tcW w:w="1430" w:type="dxa"/>
            <w:noWrap/>
            <w:vAlign w:val="center"/>
          </w:tcPr>
          <w:p>
            <w:pPr>
              <w:adjustRightInd w:val="0"/>
              <w:snapToGrid w:val="0"/>
              <w:rPr>
                <w:rFonts w:eastAsia="方正仿宋_GBK"/>
                <w:kern w:val="0"/>
                <w:sz w:val="24"/>
              </w:rPr>
            </w:pPr>
            <w:r>
              <w:rPr>
                <w:rFonts w:eastAsia="方正仿宋_GBK"/>
                <w:sz w:val="24"/>
              </w:rPr>
              <w:t>治安防范组</w:t>
            </w:r>
          </w:p>
        </w:tc>
        <w:tc>
          <w:tcPr>
            <w:tcW w:w="1271" w:type="dxa"/>
            <w:noWrap/>
            <w:vAlign w:val="center"/>
          </w:tcPr>
          <w:p>
            <w:pPr>
              <w:adjustRightInd w:val="0"/>
              <w:snapToGrid w:val="0"/>
              <w:jc w:val="center"/>
              <w:rPr>
                <w:rFonts w:eastAsia="方正仿宋_GBK"/>
                <w:kern w:val="0"/>
                <w:sz w:val="24"/>
              </w:rPr>
            </w:pPr>
            <w:r>
              <w:rPr>
                <w:rFonts w:eastAsia="方正仿宋_GBK"/>
                <w:sz w:val="24"/>
              </w:rPr>
              <w:t>区公安局</w:t>
            </w:r>
          </w:p>
        </w:tc>
        <w:tc>
          <w:tcPr>
            <w:tcW w:w="4011" w:type="dxa"/>
            <w:noWrap/>
            <w:vAlign w:val="center"/>
          </w:tcPr>
          <w:p>
            <w:pPr>
              <w:adjustRightInd w:val="0"/>
              <w:snapToGrid w:val="0"/>
              <w:rPr>
                <w:rFonts w:eastAsia="方正仿宋_GBK"/>
                <w:kern w:val="0"/>
                <w:sz w:val="24"/>
              </w:rPr>
            </w:pPr>
            <w:r>
              <w:rPr>
                <w:rFonts w:eastAsia="方正仿宋_GBK"/>
                <w:sz w:val="24"/>
              </w:rPr>
              <w:t>事发地镇乡（街道）</w:t>
            </w:r>
          </w:p>
        </w:tc>
        <w:tc>
          <w:tcPr>
            <w:tcW w:w="5869" w:type="dxa"/>
            <w:noWrap/>
            <w:vAlign w:val="center"/>
          </w:tcPr>
          <w:p>
            <w:pPr>
              <w:adjustRightInd w:val="0"/>
              <w:snapToGrid w:val="0"/>
              <w:ind w:firstLine="120" w:firstLineChars="50"/>
              <w:rPr>
                <w:rFonts w:eastAsia="方正仿宋_GBK"/>
                <w:kern w:val="0"/>
                <w:sz w:val="24"/>
              </w:rPr>
            </w:pPr>
            <w:r>
              <w:rPr>
                <w:rFonts w:eastAsia="方正仿宋_GBK"/>
                <w:sz w:val="24"/>
              </w:rPr>
              <w:t>维护地质灾害现场警戒区治安，协助组织人员疏散撤离；防范和打击趁机盗窃、抢劫救灾物资和公私财产，传播谣言、制造恐慌等违法犯罪活动。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ign w:val="center"/>
          </w:tcPr>
          <w:p>
            <w:pPr>
              <w:adjustRightInd w:val="0"/>
              <w:snapToGrid w:val="0"/>
              <w:jc w:val="center"/>
              <w:rPr>
                <w:rFonts w:eastAsia="方正仿宋_GBK"/>
                <w:kern w:val="0"/>
                <w:sz w:val="24"/>
              </w:rPr>
            </w:pPr>
            <w:r>
              <w:rPr>
                <w:rFonts w:eastAsia="方正仿宋_GBK"/>
                <w:kern w:val="0"/>
                <w:sz w:val="24"/>
              </w:rPr>
              <w:t>5</w:t>
            </w:r>
          </w:p>
        </w:tc>
        <w:tc>
          <w:tcPr>
            <w:tcW w:w="1430" w:type="dxa"/>
            <w:noWrap/>
            <w:vAlign w:val="center"/>
          </w:tcPr>
          <w:p>
            <w:pPr>
              <w:adjustRightInd w:val="0"/>
              <w:snapToGrid w:val="0"/>
              <w:rPr>
                <w:rFonts w:eastAsia="方正仿宋_GBK"/>
                <w:kern w:val="0"/>
                <w:sz w:val="24"/>
              </w:rPr>
            </w:pPr>
            <w:r>
              <w:rPr>
                <w:rFonts w:eastAsia="方正仿宋_GBK"/>
                <w:sz w:val="24"/>
              </w:rPr>
              <w:t>医疗卫生组</w:t>
            </w:r>
          </w:p>
        </w:tc>
        <w:tc>
          <w:tcPr>
            <w:tcW w:w="1271" w:type="dxa"/>
            <w:noWrap/>
            <w:vAlign w:val="center"/>
          </w:tcPr>
          <w:p>
            <w:pPr>
              <w:adjustRightInd w:val="0"/>
              <w:snapToGrid w:val="0"/>
              <w:jc w:val="center"/>
              <w:rPr>
                <w:rFonts w:eastAsia="方正仿宋_GBK"/>
                <w:kern w:val="0"/>
                <w:sz w:val="24"/>
              </w:rPr>
            </w:pPr>
            <w:r>
              <w:rPr>
                <w:rFonts w:eastAsia="方正仿宋_GBK"/>
                <w:sz w:val="24"/>
              </w:rPr>
              <w:t>区卫生健康委</w:t>
            </w:r>
          </w:p>
        </w:tc>
        <w:tc>
          <w:tcPr>
            <w:tcW w:w="4011" w:type="dxa"/>
            <w:noWrap/>
            <w:vAlign w:val="center"/>
          </w:tcPr>
          <w:p>
            <w:pPr>
              <w:adjustRightInd w:val="0"/>
              <w:snapToGrid w:val="0"/>
              <w:rPr>
                <w:rFonts w:eastAsia="方正仿宋_GBK"/>
                <w:kern w:val="0"/>
                <w:sz w:val="24"/>
              </w:rPr>
            </w:pPr>
            <w:r>
              <w:rPr>
                <w:rFonts w:eastAsia="方正仿宋_GBK"/>
                <w:sz w:val="24"/>
              </w:rPr>
              <w:t>区卫生系统有关医疗单位</w:t>
            </w:r>
          </w:p>
        </w:tc>
        <w:tc>
          <w:tcPr>
            <w:tcW w:w="5869" w:type="dxa"/>
            <w:noWrap/>
            <w:vAlign w:val="center"/>
          </w:tcPr>
          <w:p>
            <w:pPr>
              <w:adjustRightInd w:val="0"/>
              <w:snapToGrid w:val="0"/>
              <w:ind w:firstLine="120" w:firstLineChars="50"/>
              <w:rPr>
                <w:rFonts w:eastAsia="方正仿宋_GBK"/>
                <w:kern w:val="0"/>
                <w:sz w:val="24"/>
              </w:rPr>
            </w:pPr>
            <w:r>
              <w:rPr>
                <w:rFonts w:eastAsia="方正仿宋_GBK"/>
                <w:sz w:val="24"/>
              </w:rPr>
              <w:t>对受伤人员进行现场急救和重伤人员转运救治；开展受伤人员、灾区群众和救援人员心理疏导；做好灾后卫生防疫工作，防范和控制传染病暴发。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ign w:val="center"/>
          </w:tcPr>
          <w:p>
            <w:pPr>
              <w:adjustRightInd w:val="0"/>
              <w:snapToGrid w:val="0"/>
              <w:jc w:val="center"/>
              <w:rPr>
                <w:rFonts w:eastAsia="方正仿宋_GBK"/>
                <w:kern w:val="0"/>
                <w:sz w:val="24"/>
              </w:rPr>
            </w:pPr>
            <w:r>
              <w:rPr>
                <w:rFonts w:eastAsia="方正仿宋_GBK"/>
                <w:kern w:val="0"/>
                <w:sz w:val="24"/>
              </w:rPr>
              <w:t>6</w:t>
            </w:r>
          </w:p>
        </w:tc>
        <w:tc>
          <w:tcPr>
            <w:tcW w:w="1430" w:type="dxa"/>
            <w:noWrap/>
            <w:vAlign w:val="center"/>
          </w:tcPr>
          <w:p>
            <w:pPr>
              <w:adjustRightInd w:val="0"/>
              <w:snapToGrid w:val="0"/>
              <w:rPr>
                <w:rFonts w:eastAsia="方正仿宋_GBK"/>
                <w:kern w:val="0"/>
                <w:sz w:val="24"/>
              </w:rPr>
            </w:pPr>
            <w:r>
              <w:rPr>
                <w:rFonts w:eastAsia="方正仿宋_GBK"/>
                <w:sz w:val="24"/>
              </w:rPr>
              <w:t>新闻发布组</w:t>
            </w:r>
          </w:p>
        </w:tc>
        <w:tc>
          <w:tcPr>
            <w:tcW w:w="1271" w:type="dxa"/>
            <w:noWrap/>
            <w:vAlign w:val="center"/>
          </w:tcPr>
          <w:p>
            <w:pPr>
              <w:adjustRightInd w:val="0"/>
              <w:snapToGrid w:val="0"/>
              <w:jc w:val="center"/>
              <w:rPr>
                <w:rFonts w:eastAsia="方正仿宋_GBK"/>
                <w:kern w:val="0"/>
                <w:sz w:val="24"/>
              </w:rPr>
            </w:pPr>
            <w:r>
              <w:rPr>
                <w:rFonts w:eastAsia="方正仿宋_GBK"/>
                <w:sz w:val="24"/>
              </w:rPr>
              <w:t>区委宣传部（区网信办）</w:t>
            </w:r>
          </w:p>
        </w:tc>
        <w:tc>
          <w:tcPr>
            <w:tcW w:w="4011" w:type="dxa"/>
            <w:noWrap/>
            <w:vAlign w:val="center"/>
          </w:tcPr>
          <w:p>
            <w:pPr>
              <w:adjustRightInd w:val="0"/>
              <w:snapToGrid w:val="0"/>
              <w:rPr>
                <w:rFonts w:eastAsia="方正仿宋_GBK"/>
                <w:kern w:val="0"/>
                <w:sz w:val="24"/>
              </w:rPr>
            </w:pPr>
            <w:r>
              <w:rPr>
                <w:rFonts w:eastAsia="方正仿宋_GBK"/>
                <w:sz w:val="24"/>
              </w:rPr>
              <w:t>由区应急局、区规划自然资源局及有关行业主管部门等单位组成</w:t>
            </w:r>
          </w:p>
        </w:tc>
        <w:tc>
          <w:tcPr>
            <w:tcW w:w="5869" w:type="dxa"/>
            <w:noWrap/>
            <w:vAlign w:val="center"/>
          </w:tcPr>
          <w:p>
            <w:pPr>
              <w:adjustRightInd w:val="0"/>
              <w:snapToGrid w:val="0"/>
              <w:ind w:firstLine="120" w:firstLineChars="50"/>
              <w:rPr>
                <w:rFonts w:eastAsia="方正仿宋_GBK"/>
                <w:kern w:val="0"/>
                <w:sz w:val="24"/>
              </w:rPr>
            </w:pPr>
            <w:r>
              <w:rPr>
                <w:rFonts w:eastAsia="方正仿宋_GBK"/>
                <w:sz w:val="24"/>
              </w:rPr>
              <w:t>负责新闻发布及与新闻媒体的联络协调工作与舆情管控工作。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ign w:val="center"/>
          </w:tcPr>
          <w:p>
            <w:pPr>
              <w:adjustRightInd w:val="0"/>
              <w:snapToGrid w:val="0"/>
              <w:jc w:val="center"/>
              <w:rPr>
                <w:rFonts w:eastAsia="方正仿宋_GBK"/>
                <w:kern w:val="0"/>
                <w:sz w:val="24"/>
              </w:rPr>
            </w:pPr>
            <w:r>
              <w:rPr>
                <w:rFonts w:eastAsia="方正仿宋_GBK"/>
                <w:kern w:val="0"/>
                <w:sz w:val="24"/>
              </w:rPr>
              <w:t>7</w:t>
            </w:r>
          </w:p>
        </w:tc>
        <w:tc>
          <w:tcPr>
            <w:tcW w:w="1430" w:type="dxa"/>
            <w:noWrap/>
            <w:vAlign w:val="center"/>
          </w:tcPr>
          <w:p>
            <w:pPr>
              <w:adjustRightInd w:val="0"/>
              <w:snapToGrid w:val="0"/>
              <w:rPr>
                <w:rFonts w:eastAsia="方正仿宋_GBK"/>
                <w:kern w:val="0"/>
                <w:sz w:val="24"/>
              </w:rPr>
            </w:pPr>
            <w:r>
              <w:rPr>
                <w:rFonts w:eastAsia="方正仿宋_GBK"/>
                <w:sz w:val="24"/>
              </w:rPr>
              <w:t>后勤保障组</w:t>
            </w:r>
          </w:p>
        </w:tc>
        <w:tc>
          <w:tcPr>
            <w:tcW w:w="1271" w:type="dxa"/>
            <w:noWrap/>
            <w:vAlign w:val="center"/>
          </w:tcPr>
          <w:p>
            <w:pPr>
              <w:adjustRightInd w:val="0"/>
              <w:snapToGrid w:val="0"/>
              <w:jc w:val="center"/>
              <w:rPr>
                <w:rFonts w:eastAsia="方正仿宋_GBK"/>
                <w:kern w:val="0"/>
                <w:sz w:val="24"/>
              </w:rPr>
            </w:pPr>
            <w:r>
              <w:rPr>
                <w:rFonts w:eastAsia="方正仿宋_GBK"/>
                <w:sz w:val="24"/>
              </w:rPr>
              <w:t>事发地镇乡（街道）</w:t>
            </w:r>
          </w:p>
        </w:tc>
        <w:tc>
          <w:tcPr>
            <w:tcW w:w="4011" w:type="dxa"/>
            <w:noWrap/>
            <w:vAlign w:val="center"/>
          </w:tcPr>
          <w:p>
            <w:pPr>
              <w:adjustRightInd w:val="0"/>
              <w:snapToGrid w:val="0"/>
              <w:rPr>
                <w:rFonts w:eastAsia="方正仿宋_GBK"/>
                <w:kern w:val="0"/>
                <w:sz w:val="24"/>
              </w:rPr>
            </w:pPr>
            <w:r>
              <w:rPr>
                <w:rFonts w:eastAsia="方正仿宋_GBK"/>
                <w:sz w:val="24"/>
              </w:rPr>
              <w:t>由区应急局、区民政局、区经济信息委、区交通局等相关单位组成</w:t>
            </w:r>
          </w:p>
        </w:tc>
        <w:tc>
          <w:tcPr>
            <w:tcW w:w="5869" w:type="dxa"/>
            <w:noWrap/>
            <w:vAlign w:val="center"/>
          </w:tcPr>
          <w:p>
            <w:pPr>
              <w:adjustRightInd w:val="0"/>
              <w:snapToGrid w:val="0"/>
              <w:ind w:firstLine="120" w:firstLineChars="50"/>
              <w:rPr>
                <w:rFonts w:eastAsia="方正仿宋_GBK"/>
                <w:kern w:val="0"/>
                <w:sz w:val="24"/>
              </w:rPr>
            </w:pPr>
            <w:r>
              <w:rPr>
                <w:rFonts w:eastAsia="方正仿宋_GBK"/>
                <w:sz w:val="24"/>
              </w:rPr>
              <w:t>负责抢险救援应急电力、供水和通讯保障；负责地质灾害现场的交通运输保障，交通管制和道路交通疏导；做好应急拨款准备，调配、发放应急救济资金和物资；落实应急避难场所，转移安置受灾群众；负责伤亡人员家属接待、抚恤和经济补偿等；为抢险救援人员提供后勤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ign w:val="center"/>
          </w:tcPr>
          <w:p>
            <w:pPr>
              <w:adjustRightInd w:val="0"/>
              <w:snapToGrid w:val="0"/>
              <w:jc w:val="center"/>
              <w:rPr>
                <w:rFonts w:eastAsia="方正仿宋_GBK"/>
                <w:kern w:val="0"/>
                <w:sz w:val="24"/>
              </w:rPr>
            </w:pPr>
            <w:r>
              <w:rPr>
                <w:rFonts w:eastAsia="方正仿宋_GBK"/>
                <w:kern w:val="0"/>
                <w:sz w:val="24"/>
              </w:rPr>
              <w:t>8</w:t>
            </w:r>
          </w:p>
        </w:tc>
        <w:tc>
          <w:tcPr>
            <w:tcW w:w="1430" w:type="dxa"/>
            <w:noWrap/>
            <w:vAlign w:val="center"/>
          </w:tcPr>
          <w:p>
            <w:pPr>
              <w:adjustRightInd w:val="0"/>
              <w:snapToGrid w:val="0"/>
              <w:rPr>
                <w:rFonts w:eastAsia="方正仿宋_GBK"/>
                <w:kern w:val="0"/>
                <w:sz w:val="24"/>
              </w:rPr>
            </w:pPr>
            <w:r>
              <w:rPr>
                <w:rFonts w:eastAsia="方正仿宋_GBK"/>
                <w:sz w:val="24"/>
              </w:rPr>
              <w:t>调查评估组</w:t>
            </w:r>
          </w:p>
        </w:tc>
        <w:tc>
          <w:tcPr>
            <w:tcW w:w="1271" w:type="dxa"/>
            <w:noWrap/>
            <w:vAlign w:val="center"/>
          </w:tcPr>
          <w:p>
            <w:pPr>
              <w:adjustRightInd w:val="0"/>
              <w:snapToGrid w:val="0"/>
              <w:jc w:val="center"/>
              <w:rPr>
                <w:rFonts w:eastAsia="方正仿宋_GBK"/>
                <w:kern w:val="0"/>
                <w:sz w:val="24"/>
              </w:rPr>
            </w:pPr>
            <w:r>
              <w:rPr>
                <w:rFonts w:eastAsia="方正仿宋_GBK"/>
                <w:kern w:val="0"/>
                <w:sz w:val="24"/>
              </w:rPr>
              <w:t>区应急局</w:t>
            </w:r>
          </w:p>
        </w:tc>
        <w:tc>
          <w:tcPr>
            <w:tcW w:w="4011" w:type="dxa"/>
            <w:noWrap/>
            <w:vAlign w:val="center"/>
          </w:tcPr>
          <w:p>
            <w:pPr>
              <w:adjustRightInd w:val="0"/>
              <w:snapToGrid w:val="0"/>
              <w:rPr>
                <w:rFonts w:eastAsia="方正仿宋_GBK"/>
                <w:kern w:val="0"/>
                <w:sz w:val="24"/>
              </w:rPr>
            </w:pPr>
            <w:r>
              <w:rPr>
                <w:rFonts w:eastAsia="方正仿宋_GBK"/>
                <w:sz w:val="24"/>
              </w:rPr>
              <w:t>由区规划自然资源局、区司法局和事发地镇乡（街道）等单位组成</w:t>
            </w:r>
          </w:p>
        </w:tc>
        <w:tc>
          <w:tcPr>
            <w:tcW w:w="5869" w:type="dxa"/>
            <w:noWrap/>
            <w:vAlign w:val="center"/>
          </w:tcPr>
          <w:p>
            <w:pPr>
              <w:adjustRightInd w:val="0"/>
              <w:snapToGrid w:val="0"/>
              <w:ind w:firstLine="120" w:firstLineChars="50"/>
              <w:rPr>
                <w:rFonts w:eastAsia="方正仿宋_GBK"/>
                <w:kern w:val="0"/>
                <w:sz w:val="24"/>
              </w:rPr>
            </w:pPr>
            <w:r>
              <w:rPr>
                <w:rFonts w:eastAsia="方正仿宋_GBK"/>
                <w:sz w:val="24"/>
              </w:rPr>
              <w:t>对突发地质灾害事件的灾情、影响、发生原因、灾前预防与应急准备、应急救援过程等起因、影响、经验、教训等问题开展调查分析，对事发地应急体系建设情况、监测预警与风险防范、处置与救援等工作进行调查评估，总结经验教训，制定改进措施。</w:t>
            </w:r>
          </w:p>
        </w:tc>
      </w:tr>
    </w:tbl>
    <w:p>
      <w:pPr>
        <w:jc w:val="center"/>
        <w:rPr>
          <w:sz w:val="28"/>
          <w:szCs w:val="28"/>
        </w:rPr>
      </w:pPr>
    </w:p>
    <w:p>
      <w:pPr>
        <w:jc w:val="center"/>
        <w:rPr>
          <w:sz w:val="28"/>
          <w:szCs w:val="28"/>
        </w:rPr>
      </w:pPr>
    </w:p>
    <w:p>
      <w:pPr>
        <w:widowControl/>
        <w:shd w:val="clear" w:color="auto" w:fill="FFFFFF"/>
        <w:adjustRightInd w:val="0"/>
        <w:snapToGrid w:val="0"/>
        <w:spacing w:line="300" w:lineRule="atLeast"/>
        <w:rPr>
          <w:kern w:val="0"/>
          <w:sz w:val="28"/>
          <w:szCs w:val="28"/>
        </w:rPr>
        <w:sectPr>
          <w:pgSz w:w="16838" w:h="11906" w:orient="landscape"/>
          <w:pgMar w:top="1701" w:right="1418" w:bottom="1701" w:left="1418" w:header="851" w:footer="992" w:gutter="0"/>
          <w:cols w:space="720" w:num="1"/>
          <w:docGrid w:type="lines" w:linePitch="312" w:charSpace="0"/>
        </w:sectPr>
      </w:pPr>
    </w:p>
    <w:p>
      <w:pPr>
        <w:pStyle w:val="23"/>
        <w:adjustRightInd w:val="0"/>
        <w:snapToGrid w:val="0"/>
        <w:spacing w:before="0" w:after="0" w:line="360" w:lineRule="auto"/>
        <w:jc w:val="both"/>
        <w:outlineLvl w:val="0"/>
        <w:rPr>
          <w:rFonts w:ascii="Times New Roman" w:hAnsi="Times New Roman" w:eastAsia="方正楷体_GBK"/>
        </w:rPr>
      </w:pPr>
      <w:bookmarkStart w:id="171" w:name="_Toc16324"/>
      <w:bookmarkStart w:id="172" w:name="_Toc58182925"/>
      <w:r>
        <w:rPr>
          <w:rFonts w:ascii="Times New Roman" w:hAnsi="Times New Roman" w:eastAsia="方正楷体_GBK"/>
        </w:rPr>
        <w:t>附录3 地质灾害气象风险预警（地质灾害气象预报）分级及响应</w:t>
      </w:r>
      <w:bookmarkEnd w:id="171"/>
      <w:bookmarkEnd w:id="172"/>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4869"/>
        <w:gridCol w:w="405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743" w:type="dxa"/>
            <w:tcBorders>
              <w:top w:val="single" w:color="auto" w:sz="4" w:space="0"/>
              <w:left w:val="single" w:color="auto" w:sz="4" w:space="0"/>
              <w:bottom w:val="single" w:color="auto" w:sz="4" w:space="0"/>
              <w:right w:val="single" w:color="auto" w:sz="4" w:space="0"/>
            </w:tcBorders>
            <w:noWrap/>
            <w:vAlign w:val="center"/>
          </w:tcPr>
          <w:p>
            <w:pPr>
              <w:jc w:val="center"/>
              <w:rPr>
                <w:rFonts w:eastAsia="方正仿宋_GBK"/>
                <w:kern w:val="0"/>
                <w:sz w:val="24"/>
              </w:rPr>
            </w:pPr>
            <w:r>
              <w:rPr>
                <w:rFonts w:eastAsia="方正仿宋_GBK"/>
                <w:kern w:val="0"/>
                <w:sz w:val="24"/>
              </w:rPr>
              <w:t>地质灾害气</w:t>
            </w:r>
          </w:p>
          <w:p>
            <w:pPr>
              <w:jc w:val="center"/>
              <w:rPr>
                <w:rFonts w:eastAsia="方正仿宋_GBK"/>
                <w:kern w:val="0"/>
                <w:sz w:val="24"/>
              </w:rPr>
            </w:pPr>
            <w:r>
              <w:rPr>
                <w:rFonts w:eastAsia="方正仿宋_GBK"/>
                <w:kern w:val="0"/>
                <w:sz w:val="24"/>
              </w:rPr>
              <w:t>象风险预警</w:t>
            </w:r>
          </w:p>
        </w:tc>
        <w:tc>
          <w:tcPr>
            <w:tcW w:w="4869" w:type="dxa"/>
            <w:tcBorders>
              <w:top w:val="single" w:color="auto" w:sz="4" w:space="0"/>
              <w:left w:val="single" w:color="auto" w:sz="4" w:space="0"/>
              <w:bottom w:val="single" w:color="auto" w:sz="4" w:space="0"/>
              <w:right w:val="single" w:color="auto" w:sz="4" w:space="0"/>
            </w:tcBorders>
            <w:noWrap/>
            <w:vAlign w:val="center"/>
          </w:tcPr>
          <w:p>
            <w:pPr>
              <w:jc w:val="center"/>
              <w:rPr>
                <w:rFonts w:eastAsia="方正仿宋_GBK"/>
                <w:kern w:val="0"/>
                <w:sz w:val="24"/>
              </w:rPr>
            </w:pPr>
            <w:r>
              <w:rPr>
                <w:rFonts w:eastAsia="方正仿宋_GBK"/>
                <w:kern w:val="0"/>
                <w:sz w:val="24"/>
              </w:rPr>
              <w:t>风  险  描  述</w:t>
            </w:r>
          </w:p>
        </w:tc>
        <w:tc>
          <w:tcPr>
            <w:tcW w:w="4050" w:type="dxa"/>
            <w:tcBorders>
              <w:top w:val="single" w:color="auto" w:sz="4" w:space="0"/>
              <w:left w:val="single" w:color="auto" w:sz="4" w:space="0"/>
              <w:bottom w:val="single" w:color="auto" w:sz="4" w:space="0"/>
              <w:right w:val="single" w:color="auto" w:sz="4" w:space="0"/>
            </w:tcBorders>
            <w:noWrap/>
            <w:vAlign w:val="center"/>
          </w:tcPr>
          <w:p>
            <w:pPr>
              <w:jc w:val="center"/>
              <w:rPr>
                <w:rFonts w:eastAsia="方正仿宋_GBK"/>
                <w:kern w:val="0"/>
                <w:sz w:val="24"/>
              </w:rPr>
            </w:pPr>
            <w:r>
              <w:rPr>
                <w:rFonts w:eastAsia="方正仿宋_GBK"/>
                <w:kern w:val="0"/>
                <w:sz w:val="24"/>
              </w:rPr>
              <w:t>对应地质灾害预警等级</w:t>
            </w:r>
          </w:p>
        </w:tc>
        <w:tc>
          <w:tcPr>
            <w:tcW w:w="3553" w:type="dxa"/>
            <w:tcBorders>
              <w:top w:val="single" w:color="auto" w:sz="4" w:space="0"/>
              <w:left w:val="single" w:color="auto" w:sz="4" w:space="0"/>
              <w:bottom w:val="single" w:color="auto" w:sz="4" w:space="0"/>
              <w:right w:val="single" w:color="auto" w:sz="4" w:space="0"/>
            </w:tcBorders>
            <w:noWrap/>
            <w:vAlign w:val="center"/>
          </w:tcPr>
          <w:p>
            <w:pPr>
              <w:jc w:val="center"/>
              <w:rPr>
                <w:rFonts w:eastAsia="方正仿宋_GBK"/>
                <w:kern w:val="0"/>
                <w:sz w:val="24"/>
              </w:rPr>
            </w:pPr>
            <w:r>
              <w:rPr>
                <w:rFonts w:eastAsia="方正仿宋_GBK"/>
                <w:kern w:val="0"/>
                <w:sz w:val="24"/>
              </w:rPr>
              <w:t>预警响应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7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rPr>
            </w:pPr>
            <w:r>
              <w:rPr>
                <w:rFonts w:eastAsia="方正仿宋_GBK"/>
                <w:kern w:val="0"/>
                <w:sz w:val="24"/>
              </w:rPr>
              <w:t>Ⅰ级</w:t>
            </w:r>
          </w:p>
        </w:tc>
        <w:tc>
          <w:tcPr>
            <w:tcW w:w="486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rPr>
            </w:pPr>
            <w:r>
              <w:rPr>
                <w:rFonts w:eastAsia="方正仿宋_GBK"/>
                <w:kern w:val="0"/>
                <w:sz w:val="24"/>
              </w:rPr>
              <w:t>气象因素致地质灾害发生风险很高</w:t>
            </w:r>
          </w:p>
        </w:tc>
        <w:tc>
          <w:tcPr>
            <w:tcW w:w="405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rPr>
            </w:pPr>
            <w:r>
              <w:rPr>
                <w:rFonts w:eastAsia="方正仿宋_GBK"/>
                <w:kern w:val="0"/>
                <w:sz w:val="24"/>
              </w:rPr>
              <w:t>地质灾害Ⅰ级预警（红色）</w:t>
            </w:r>
          </w:p>
        </w:tc>
        <w:tc>
          <w:tcPr>
            <w:tcW w:w="355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rPr>
            </w:pPr>
            <w:r>
              <w:rPr>
                <w:rFonts w:eastAsia="方正仿宋_GBK"/>
                <w:kern w:val="0"/>
                <w:sz w:val="24"/>
              </w:rPr>
              <w:t>全域巡查、值守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rPr>
            </w:pPr>
            <w:r>
              <w:rPr>
                <w:rFonts w:eastAsia="方正仿宋_GBK"/>
                <w:kern w:val="0"/>
                <w:sz w:val="24"/>
              </w:rPr>
              <w:t>Ⅱ级</w:t>
            </w:r>
          </w:p>
        </w:tc>
        <w:tc>
          <w:tcPr>
            <w:tcW w:w="486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rPr>
            </w:pPr>
            <w:r>
              <w:rPr>
                <w:rFonts w:eastAsia="方正仿宋_GBK"/>
                <w:kern w:val="0"/>
                <w:sz w:val="24"/>
              </w:rPr>
              <w:t>气象因素致地质灾害发生风险较高</w:t>
            </w:r>
          </w:p>
        </w:tc>
        <w:tc>
          <w:tcPr>
            <w:tcW w:w="405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rPr>
            </w:pPr>
            <w:r>
              <w:rPr>
                <w:rFonts w:eastAsia="方正仿宋_GBK"/>
                <w:kern w:val="0"/>
                <w:sz w:val="24"/>
              </w:rPr>
              <w:t>地质灾害Ⅱ级预警（橙色）</w:t>
            </w:r>
          </w:p>
        </w:tc>
        <w:tc>
          <w:tcPr>
            <w:tcW w:w="355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rPr>
            </w:pPr>
            <w:r>
              <w:rPr>
                <w:rFonts w:eastAsia="方正仿宋_GBK"/>
                <w:kern w:val="0"/>
                <w:sz w:val="24"/>
              </w:rPr>
              <w:t>加强巡查、监测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rPr>
            </w:pPr>
            <w:r>
              <w:rPr>
                <w:rFonts w:eastAsia="方正仿宋_GBK"/>
                <w:kern w:val="0"/>
                <w:sz w:val="24"/>
              </w:rPr>
              <w:t>Ⅲ级</w:t>
            </w:r>
          </w:p>
        </w:tc>
        <w:tc>
          <w:tcPr>
            <w:tcW w:w="486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rPr>
            </w:pPr>
            <w:r>
              <w:rPr>
                <w:rFonts w:eastAsia="方正仿宋_GBK"/>
                <w:kern w:val="0"/>
                <w:sz w:val="24"/>
              </w:rPr>
              <w:t>气象因素致地质灾害发生风险高</w:t>
            </w:r>
          </w:p>
        </w:tc>
        <w:tc>
          <w:tcPr>
            <w:tcW w:w="405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rPr>
            </w:pPr>
            <w:r>
              <w:rPr>
                <w:rFonts w:eastAsia="方正仿宋_GBK"/>
                <w:kern w:val="0"/>
                <w:sz w:val="24"/>
              </w:rPr>
              <w:t>地质灾害Ⅲ级预警（黄色）</w:t>
            </w:r>
          </w:p>
        </w:tc>
        <w:tc>
          <w:tcPr>
            <w:tcW w:w="355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rPr>
            </w:pPr>
            <w:r>
              <w:rPr>
                <w:rFonts w:eastAsia="方正仿宋_GBK"/>
                <w:kern w:val="0"/>
                <w:sz w:val="24"/>
              </w:rPr>
              <w:t>高易发区巡查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rPr>
            </w:pPr>
            <w:r>
              <w:rPr>
                <w:rFonts w:eastAsia="方正仿宋_GBK"/>
                <w:kern w:val="0"/>
                <w:sz w:val="24"/>
              </w:rPr>
              <w:t>Ⅳ级</w:t>
            </w:r>
          </w:p>
        </w:tc>
        <w:tc>
          <w:tcPr>
            <w:tcW w:w="486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rPr>
            </w:pPr>
            <w:r>
              <w:rPr>
                <w:rFonts w:eastAsia="方正仿宋_GBK"/>
                <w:kern w:val="0"/>
                <w:sz w:val="24"/>
              </w:rPr>
              <w:t>气象因素致地质灾害发生有一定风险</w:t>
            </w:r>
          </w:p>
        </w:tc>
        <w:tc>
          <w:tcPr>
            <w:tcW w:w="405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rPr>
            </w:pPr>
            <w:r>
              <w:rPr>
                <w:rFonts w:eastAsia="方正仿宋_GBK"/>
                <w:kern w:val="0"/>
                <w:sz w:val="24"/>
              </w:rPr>
              <w:t>地质灾害Ⅳ级预警（蓝色）</w:t>
            </w:r>
          </w:p>
        </w:tc>
        <w:tc>
          <w:tcPr>
            <w:tcW w:w="355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kern w:val="0"/>
                <w:sz w:val="24"/>
              </w:rPr>
            </w:pPr>
            <w:r>
              <w:rPr>
                <w:rFonts w:eastAsia="方正仿宋_GBK"/>
                <w:kern w:val="0"/>
                <w:sz w:val="24"/>
              </w:rPr>
              <w:t>地灾点群测群防</w:t>
            </w:r>
          </w:p>
        </w:tc>
      </w:tr>
    </w:tbl>
    <w:p>
      <w:pPr>
        <w:pStyle w:val="23"/>
        <w:adjustRightInd w:val="0"/>
        <w:snapToGrid w:val="0"/>
        <w:spacing w:before="0" w:after="0" w:line="360" w:lineRule="auto"/>
        <w:jc w:val="both"/>
        <w:outlineLvl w:val="0"/>
        <w:rPr>
          <w:rFonts w:ascii="Times New Roman" w:hAnsi="Times New Roman" w:eastAsia="方正楷体_GBK"/>
        </w:rPr>
      </w:pPr>
      <w:bookmarkStart w:id="173" w:name="_Toc58182926"/>
      <w:bookmarkStart w:id="174" w:name="_Toc978"/>
      <w:r>
        <w:rPr>
          <w:rFonts w:ascii="Times New Roman" w:hAnsi="Times New Roman" w:eastAsia="方正楷体_GBK"/>
        </w:rPr>
        <w:t>附录4 地质灾害监测预警分级</w:t>
      </w:r>
      <w:bookmarkEnd w:id="173"/>
      <w:r>
        <w:rPr>
          <w:rFonts w:ascii="Times New Roman" w:hAnsi="Times New Roman" w:eastAsia="方正楷体_GBK"/>
        </w:rPr>
        <w:t>及响应</w:t>
      </w:r>
      <w:bookmarkEnd w:id="174"/>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9558"/>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预警分级</w:t>
            </w:r>
          </w:p>
        </w:tc>
        <w:tc>
          <w:tcPr>
            <w:tcW w:w="955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风  险  描  述</w:t>
            </w:r>
          </w:p>
        </w:tc>
        <w:tc>
          <w:tcPr>
            <w:tcW w:w="335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预警响应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260" w:lineRule="exact"/>
              <w:jc w:val="center"/>
              <w:rPr>
                <w:rFonts w:eastAsia="方正仿宋_GBK"/>
                <w:kern w:val="0"/>
                <w:sz w:val="24"/>
              </w:rPr>
            </w:pPr>
            <w:r>
              <w:rPr>
                <w:rFonts w:eastAsia="方正仿宋_GBK"/>
                <w:kern w:val="0"/>
                <w:sz w:val="24"/>
              </w:rPr>
              <w:t>红色预警</w:t>
            </w:r>
          </w:p>
        </w:tc>
        <w:tc>
          <w:tcPr>
            <w:tcW w:w="955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left"/>
              <w:rPr>
                <w:rFonts w:eastAsia="方正仿宋_GBK"/>
                <w:kern w:val="0"/>
                <w:sz w:val="24"/>
              </w:rPr>
            </w:pPr>
            <w:r>
              <w:rPr>
                <w:rFonts w:eastAsia="方正仿宋_GBK"/>
                <w:kern w:val="0"/>
                <w:sz w:val="24"/>
              </w:rPr>
              <w:t>地质灾害隐患点变形进入加加速阶段，各种短期临滑前兆特征显著，在数小时内或数天内发生大规模崩塌、滑坡和塌岸的概率很大。</w:t>
            </w:r>
          </w:p>
        </w:tc>
        <w:tc>
          <w:tcPr>
            <w:tcW w:w="335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疏散转移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260" w:lineRule="exact"/>
              <w:jc w:val="center"/>
              <w:rPr>
                <w:rFonts w:eastAsia="方正仿宋_GBK"/>
                <w:kern w:val="0"/>
                <w:sz w:val="24"/>
              </w:rPr>
            </w:pPr>
            <w:r>
              <w:rPr>
                <w:rFonts w:eastAsia="方正仿宋_GBK"/>
                <w:kern w:val="0"/>
                <w:sz w:val="24"/>
              </w:rPr>
              <w:t>橙色预警</w:t>
            </w:r>
          </w:p>
        </w:tc>
        <w:tc>
          <w:tcPr>
            <w:tcW w:w="955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left"/>
              <w:rPr>
                <w:rFonts w:eastAsia="方正仿宋_GBK"/>
                <w:kern w:val="0"/>
                <w:sz w:val="24"/>
              </w:rPr>
            </w:pPr>
            <w:r>
              <w:rPr>
                <w:rFonts w:eastAsia="方正仿宋_GBK"/>
                <w:kern w:val="0"/>
                <w:sz w:val="24"/>
              </w:rPr>
              <w:t>地质灾害隐患点变形进入加速阶段中后期，有一定的宏观前兆特征，在几天内或数周内发生大规模崩塌、滑坡和塌岸的概率大。</w:t>
            </w:r>
          </w:p>
        </w:tc>
        <w:tc>
          <w:tcPr>
            <w:tcW w:w="335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倒腾撤离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260" w:lineRule="exact"/>
              <w:jc w:val="center"/>
              <w:rPr>
                <w:rFonts w:eastAsia="方正仿宋_GBK"/>
                <w:kern w:val="0"/>
                <w:sz w:val="24"/>
              </w:rPr>
            </w:pPr>
            <w:r>
              <w:rPr>
                <w:rFonts w:eastAsia="方正仿宋_GBK"/>
                <w:kern w:val="0"/>
                <w:sz w:val="24"/>
              </w:rPr>
              <w:t>黄色预警</w:t>
            </w:r>
          </w:p>
        </w:tc>
        <w:tc>
          <w:tcPr>
            <w:tcW w:w="955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left"/>
              <w:rPr>
                <w:rFonts w:eastAsia="方正仿宋_GBK"/>
                <w:kern w:val="0"/>
                <w:sz w:val="24"/>
              </w:rPr>
            </w:pPr>
            <w:r>
              <w:rPr>
                <w:rFonts w:eastAsia="方正仿宋_GBK"/>
                <w:kern w:val="0"/>
                <w:sz w:val="24"/>
              </w:rPr>
              <w:t>地质灾害隐患点变形进入加速阶段初期，有明显的变形特征，在数月内或一年内发生大规模崩塌、滑坡和塌岸的概率较大。</w:t>
            </w:r>
          </w:p>
        </w:tc>
        <w:tc>
          <w:tcPr>
            <w:tcW w:w="335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搬迁治理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260" w:lineRule="exact"/>
              <w:jc w:val="center"/>
              <w:rPr>
                <w:rFonts w:eastAsia="方正仿宋_GBK"/>
                <w:kern w:val="0"/>
                <w:sz w:val="24"/>
              </w:rPr>
            </w:pPr>
            <w:r>
              <w:rPr>
                <w:rFonts w:eastAsia="方正仿宋_GBK"/>
                <w:kern w:val="0"/>
                <w:sz w:val="24"/>
              </w:rPr>
              <w:t>蓝色预警</w:t>
            </w:r>
          </w:p>
        </w:tc>
        <w:tc>
          <w:tcPr>
            <w:tcW w:w="955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left"/>
              <w:rPr>
                <w:rFonts w:eastAsia="方正仿宋_GBK"/>
                <w:kern w:val="0"/>
                <w:sz w:val="24"/>
              </w:rPr>
            </w:pPr>
            <w:r>
              <w:rPr>
                <w:rFonts w:eastAsia="方正仿宋_GBK"/>
                <w:kern w:val="0"/>
                <w:sz w:val="24"/>
              </w:rPr>
              <w:t>地质灾害隐患点进入匀速变形阶段，有变形迹象，一年内发生崩塌、滑坡和塌岸的可能性不大。</w:t>
            </w:r>
          </w:p>
        </w:tc>
        <w:tc>
          <w:tcPr>
            <w:tcW w:w="335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监测治理</w:t>
            </w:r>
          </w:p>
        </w:tc>
      </w:tr>
    </w:tbl>
    <w:p>
      <w:pPr>
        <w:pStyle w:val="23"/>
        <w:adjustRightInd w:val="0"/>
        <w:snapToGrid w:val="0"/>
        <w:spacing w:before="0" w:after="0" w:line="540" w:lineRule="exact"/>
        <w:jc w:val="both"/>
        <w:outlineLvl w:val="0"/>
        <w:rPr>
          <w:rFonts w:ascii="Times New Roman" w:hAnsi="Times New Roman" w:eastAsia="方正楷体_GBK"/>
        </w:rPr>
      </w:pPr>
      <w:bookmarkStart w:id="175" w:name="_Toc793"/>
      <w:bookmarkStart w:id="176" w:name="_Toc31861"/>
      <w:bookmarkStart w:id="177" w:name="_Toc21924"/>
      <w:bookmarkStart w:id="178" w:name="_Toc24817"/>
      <w:r>
        <w:rPr>
          <w:rFonts w:ascii="Times New Roman" w:hAnsi="Times New Roman" w:eastAsia="方正楷体_GBK"/>
        </w:rPr>
        <w:t>附录5地质灾害险情分级表</w:t>
      </w:r>
      <w:bookmarkEnd w:id="175"/>
      <w:bookmarkEnd w:id="176"/>
      <w:bookmarkEnd w:id="177"/>
    </w:p>
    <w:p>
      <w:pPr>
        <w:adjustRightInd w:val="0"/>
        <w:snapToGrid w:val="0"/>
        <w:spacing w:line="560" w:lineRule="exact"/>
        <w:ind w:firstLine="640" w:firstLineChars="200"/>
        <w:rPr>
          <w:rFonts w:eastAsia="方正仿宋_GBK"/>
          <w:sz w:val="32"/>
          <w:szCs w:val="32"/>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327"/>
        <w:gridCol w:w="2999"/>
        <w:gridCol w:w="2859"/>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险情分级</w:t>
            </w:r>
          </w:p>
        </w:tc>
        <w:tc>
          <w:tcPr>
            <w:tcW w:w="232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特大型</w:t>
            </w:r>
          </w:p>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（红色、Ⅰ级）</w:t>
            </w:r>
          </w:p>
        </w:tc>
        <w:tc>
          <w:tcPr>
            <w:tcW w:w="29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大型</w:t>
            </w:r>
          </w:p>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（橙色、Ⅱ级）</w:t>
            </w:r>
          </w:p>
        </w:tc>
        <w:tc>
          <w:tcPr>
            <w:tcW w:w="285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中型</w:t>
            </w:r>
          </w:p>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（黄色、Ⅲ级）</w:t>
            </w:r>
          </w:p>
        </w:tc>
        <w:tc>
          <w:tcPr>
            <w:tcW w:w="23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小型</w:t>
            </w:r>
          </w:p>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（蓝色、Ⅳ级）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可能造成的经济损失</w:t>
            </w:r>
          </w:p>
        </w:tc>
        <w:tc>
          <w:tcPr>
            <w:tcW w:w="232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≥10000万元</w:t>
            </w:r>
          </w:p>
        </w:tc>
        <w:tc>
          <w:tcPr>
            <w:tcW w:w="29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≥5000万元，＜10000万元</w:t>
            </w:r>
          </w:p>
        </w:tc>
        <w:tc>
          <w:tcPr>
            <w:tcW w:w="285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≥500万元，＜5000万元</w:t>
            </w:r>
          </w:p>
        </w:tc>
        <w:tc>
          <w:tcPr>
            <w:tcW w:w="23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需搬迁转移人数</w:t>
            </w:r>
          </w:p>
        </w:tc>
        <w:tc>
          <w:tcPr>
            <w:tcW w:w="232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≥1000人</w:t>
            </w:r>
          </w:p>
        </w:tc>
        <w:tc>
          <w:tcPr>
            <w:tcW w:w="29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≥500人，＜1000人</w:t>
            </w:r>
          </w:p>
        </w:tc>
        <w:tc>
          <w:tcPr>
            <w:tcW w:w="285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≥100人，＜500人</w:t>
            </w:r>
          </w:p>
        </w:tc>
        <w:tc>
          <w:tcPr>
            <w:tcW w:w="23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应急响应级别</w:t>
            </w:r>
          </w:p>
        </w:tc>
        <w:tc>
          <w:tcPr>
            <w:tcW w:w="232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Ⅰ级</w:t>
            </w:r>
          </w:p>
        </w:tc>
        <w:tc>
          <w:tcPr>
            <w:tcW w:w="29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Ⅱ级</w:t>
            </w:r>
          </w:p>
        </w:tc>
        <w:tc>
          <w:tcPr>
            <w:tcW w:w="285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Ⅲ级</w:t>
            </w:r>
          </w:p>
        </w:tc>
        <w:tc>
          <w:tcPr>
            <w:tcW w:w="23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Ⅳ级</w:t>
            </w:r>
          </w:p>
        </w:tc>
      </w:tr>
    </w:tbl>
    <w:p>
      <w:pPr>
        <w:adjustRightInd w:val="0"/>
        <w:snapToGrid w:val="0"/>
        <w:spacing w:line="560" w:lineRule="exact"/>
        <w:ind w:firstLine="640" w:firstLineChars="200"/>
        <w:rPr>
          <w:rFonts w:eastAsia="方正仿宋_GBK"/>
          <w:sz w:val="32"/>
          <w:szCs w:val="32"/>
        </w:rPr>
      </w:pPr>
    </w:p>
    <w:p>
      <w:pPr>
        <w:pStyle w:val="2"/>
        <w:rPr>
          <w:rFonts w:hint="default" w:ascii="Times New Roman"/>
        </w:rPr>
      </w:pPr>
    </w:p>
    <w:p>
      <w:pPr>
        <w:pStyle w:val="23"/>
        <w:adjustRightInd w:val="0"/>
        <w:snapToGrid w:val="0"/>
        <w:spacing w:before="0" w:after="0" w:line="360" w:lineRule="auto"/>
        <w:jc w:val="both"/>
        <w:outlineLvl w:val="0"/>
        <w:rPr>
          <w:rFonts w:ascii="Times New Roman" w:hAnsi="Times New Roman" w:eastAsia="方正仿宋_GBK"/>
          <w:sz w:val="28"/>
          <w:szCs w:val="28"/>
        </w:rPr>
      </w:pPr>
      <w:bookmarkStart w:id="179" w:name="_Toc9608"/>
      <w:bookmarkStart w:id="180" w:name="_Toc20599"/>
      <w:bookmarkStart w:id="181" w:name="_Toc10655"/>
      <w:r>
        <w:rPr>
          <w:rFonts w:ascii="Times New Roman" w:hAnsi="Times New Roman" w:eastAsia="方正楷体_GBK"/>
        </w:rPr>
        <w:t>附录6地质灾害灾情分级表</w:t>
      </w:r>
      <w:bookmarkEnd w:id="179"/>
      <w:bookmarkEnd w:id="180"/>
      <w:bookmarkEnd w:id="181"/>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2"/>
        <w:gridCol w:w="1985"/>
        <w:gridCol w:w="2999"/>
        <w:gridCol w:w="2859"/>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灾情分级</w:t>
            </w:r>
          </w:p>
          <w:p>
            <w:pPr>
              <w:widowControl/>
              <w:adjustRightInd w:val="0"/>
              <w:snapToGrid w:val="0"/>
              <w:spacing w:before="100" w:beforeAutospacing="1" w:after="100" w:afterAutospacing="1" w:line="300" w:lineRule="exact"/>
              <w:jc w:val="center"/>
              <w:rPr>
                <w:rFonts w:eastAsia="方正仿宋_GBK"/>
                <w:kern w:val="0"/>
                <w:sz w:val="24"/>
              </w:rPr>
            </w:pPr>
          </w:p>
        </w:tc>
        <w:tc>
          <w:tcPr>
            <w:tcW w:w="198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特大型</w:t>
            </w:r>
          </w:p>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（红色、Ⅰ级）</w:t>
            </w:r>
          </w:p>
        </w:tc>
        <w:tc>
          <w:tcPr>
            <w:tcW w:w="29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大型</w:t>
            </w:r>
          </w:p>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（橙色、Ⅱ级）</w:t>
            </w:r>
          </w:p>
        </w:tc>
        <w:tc>
          <w:tcPr>
            <w:tcW w:w="285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中型</w:t>
            </w:r>
          </w:p>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（黄色、Ⅲ级）</w:t>
            </w:r>
          </w:p>
        </w:tc>
        <w:tc>
          <w:tcPr>
            <w:tcW w:w="23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小型</w:t>
            </w:r>
          </w:p>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（蓝色、Ⅳ级）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直接经济损失</w:t>
            </w:r>
          </w:p>
        </w:tc>
        <w:tc>
          <w:tcPr>
            <w:tcW w:w="198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≥1000万元</w:t>
            </w:r>
          </w:p>
        </w:tc>
        <w:tc>
          <w:tcPr>
            <w:tcW w:w="29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≥500万元，＜1000万元</w:t>
            </w:r>
          </w:p>
        </w:tc>
        <w:tc>
          <w:tcPr>
            <w:tcW w:w="285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≥100万元，＜500万元</w:t>
            </w:r>
          </w:p>
        </w:tc>
        <w:tc>
          <w:tcPr>
            <w:tcW w:w="23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因灾死亡人数</w:t>
            </w:r>
          </w:p>
        </w:tc>
        <w:tc>
          <w:tcPr>
            <w:tcW w:w="198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≥30人</w:t>
            </w:r>
          </w:p>
        </w:tc>
        <w:tc>
          <w:tcPr>
            <w:tcW w:w="29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≥10人，＜30人</w:t>
            </w:r>
          </w:p>
        </w:tc>
        <w:tc>
          <w:tcPr>
            <w:tcW w:w="285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≥3人，＜10人</w:t>
            </w:r>
          </w:p>
        </w:tc>
        <w:tc>
          <w:tcPr>
            <w:tcW w:w="23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应急响应级别</w:t>
            </w:r>
          </w:p>
        </w:tc>
        <w:tc>
          <w:tcPr>
            <w:tcW w:w="198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Ⅰ级</w:t>
            </w:r>
          </w:p>
        </w:tc>
        <w:tc>
          <w:tcPr>
            <w:tcW w:w="29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Ⅱ级</w:t>
            </w:r>
          </w:p>
        </w:tc>
        <w:tc>
          <w:tcPr>
            <w:tcW w:w="285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Ⅲ级</w:t>
            </w:r>
          </w:p>
        </w:tc>
        <w:tc>
          <w:tcPr>
            <w:tcW w:w="23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rPr>
            </w:pPr>
            <w:r>
              <w:rPr>
                <w:rFonts w:eastAsia="方正仿宋_GBK"/>
                <w:kern w:val="0"/>
                <w:sz w:val="24"/>
              </w:rPr>
              <w:t>Ⅳ级</w:t>
            </w:r>
          </w:p>
        </w:tc>
      </w:tr>
    </w:tbl>
    <w:p>
      <w:pPr>
        <w:pStyle w:val="23"/>
        <w:keepNext w:val="0"/>
        <w:keepLines w:val="0"/>
        <w:adjustRightInd w:val="0"/>
        <w:snapToGrid w:val="0"/>
        <w:spacing w:before="0" w:after="0" w:line="360" w:lineRule="auto"/>
        <w:jc w:val="both"/>
        <w:outlineLvl w:val="0"/>
        <w:rPr>
          <w:rFonts w:ascii="Times New Roman" w:hAnsi="Times New Roman" w:eastAsia="方正楷体_GBK"/>
        </w:rPr>
      </w:pPr>
      <w:bookmarkStart w:id="182" w:name="_Toc29932"/>
    </w:p>
    <w:p>
      <w:pPr>
        <w:pStyle w:val="23"/>
        <w:keepNext w:val="0"/>
        <w:keepLines w:val="0"/>
        <w:adjustRightInd w:val="0"/>
        <w:snapToGrid w:val="0"/>
        <w:spacing w:before="0" w:after="0" w:line="360" w:lineRule="auto"/>
        <w:jc w:val="both"/>
        <w:outlineLvl w:val="0"/>
        <w:rPr>
          <w:rFonts w:ascii="Times New Roman" w:hAnsi="Times New Roman" w:eastAsia="方正楷体_GBK"/>
        </w:rPr>
      </w:pPr>
      <w:r>
        <w:rPr>
          <w:rFonts w:ascii="Times New Roman" w:hAnsi="Times New Roman" w:eastAsia="方正楷体_GBK"/>
        </w:rPr>
        <w:t>附录7镇乡（街道）、行业部门、区地指对应应急响应</w:t>
      </w:r>
      <w:bookmarkEnd w:id="178"/>
      <w:bookmarkEnd w:id="182"/>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02"/>
        <w:gridCol w:w="540"/>
        <w:gridCol w:w="1916"/>
        <w:gridCol w:w="3885"/>
        <w:gridCol w:w="4678"/>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8" w:type="dxa"/>
            <w:tcBorders>
              <w:top w:val="single" w:color="auto" w:sz="4" w:space="0"/>
              <w:left w:val="single" w:color="auto" w:sz="4" w:space="0"/>
              <w:right w:val="single" w:color="auto" w:sz="4" w:space="0"/>
            </w:tcBorders>
            <w:noWrap/>
            <w:vAlign w:val="center"/>
          </w:tcPr>
          <w:p>
            <w:pPr>
              <w:adjustRightInd w:val="0"/>
              <w:snapToGrid w:val="0"/>
              <w:jc w:val="center"/>
              <w:rPr>
                <w:rFonts w:eastAsia="方正仿宋_GBK"/>
                <w:kern w:val="0"/>
                <w:sz w:val="24"/>
              </w:rPr>
            </w:pPr>
            <w:r>
              <w:rPr>
                <w:rFonts w:eastAsia="方正仿宋_GBK"/>
                <w:kern w:val="0"/>
                <w:sz w:val="24"/>
              </w:rPr>
              <w:t>灾情等级</w:t>
            </w:r>
          </w:p>
        </w:tc>
        <w:tc>
          <w:tcPr>
            <w:tcW w:w="402" w:type="dxa"/>
            <w:tcBorders>
              <w:top w:val="single" w:color="auto" w:sz="4" w:space="0"/>
              <w:left w:val="single" w:color="auto" w:sz="4" w:space="0"/>
              <w:right w:val="single" w:color="auto" w:sz="4" w:space="0"/>
            </w:tcBorders>
            <w:noWrap/>
            <w:vAlign w:val="center"/>
          </w:tcPr>
          <w:p>
            <w:pPr>
              <w:adjustRightInd w:val="0"/>
              <w:snapToGrid w:val="0"/>
              <w:jc w:val="center"/>
              <w:rPr>
                <w:rFonts w:eastAsia="方正仿宋_GBK"/>
                <w:spacing w:val="-8"/>
                <w:kern w:val="0"/>
                <w:sz w:val="24"/>
              </w:rPr>
            </w:pPr>
            <w:r>
              <w:rPr>
                <w:rFonts w:eastAsia="方正仿宋_GBK"/>
                <w:spacing w:val="-8"/>
                <w:kern w:val="0"/>
                <w:sz w:val="24"/>
              </w:rPr>
              <w:t>险情等级</w:t>
            </w:r>
          </w:p>
        </w:tc>
        <w:tc>
          <w:tcPr>
            <w:tcW w:w="540" w:type="dxa"/>
            <w:tcBorders>
              <w:top w:val="single" w:color="auto" w:sz="4" w:space="0"/>
              <w:left w:val="single" w:color="auto" w:sz="4" w:space="0"/>
              <w:right w:val="single" w:color="auto" w:sz="4" w:space="0"/>
            </w:tcBorders>
            <w:noWrap/>
            <w:vAlign w:val="center"/>
          </w:tcPr>
          <w:p>
            <w:pPr>
              <w:adjustRightInd w:val="0"/>
              <w:snapToGrid w:val="0"/>
              <w:jc w:val="center"/>
              <w:rPr>
                <w:rFonts w:eastAsia="方正仿宋_GBK"/>
                <w:spacing w:val="-8"/>
                <w:kern w:val="0"/>
                <w:sz w:val="24"/>
              </w:rPr>
            </w:pPr>
            <w:r>
              <w:rPr>
                <w:rFonts w:eastAsia="方正仿宋_GBK"/>
                <w:spacing w:val="-8"/>
                <w:kern w:val="0"/>
                <w:sz w:val="24"/>
              </w:rPr>
              <w:t>响应等级</w:t>
            </w:r>
          </w:p>
        </w:tc>
        <w:tc>
          <w:tcPr>
            <w:tcW w:w="11536"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方正仿宋_GBK"/>
                <w:spacing w:val="-8"/>
                <w:kern w:val="0"/>
                <w:sz w:val="24"/>
              </w:rPr>
            </w:pPr>
            <w:r>
              <w:rPr>
                <w:rFonts w:eastAsia="方正仿宋_GBK"/>
                <w:spacing w:val="-8"/>
                <w:kern w:val="0"/>
                <w:sz w:val="24"/>
              </w:rPr>
              <w:t>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68" w:type="dxa"/>
            <w:tcBorders>
              <w:top w:val="single" w:color="auto" w:sz="4" w:space="0"/>
              <w:left w:val="single" w:color="auto" w:sz="4" w:space="0"/>
              <w:right w:val="single" w:color="auto" w:sz="4" w:space="0"/>
            </w:tcBorders>
            <w:noWrap/>
            <w:vAlign w:val="center"/>
          </w:tcPr>
          <w:p>
            <w:pPr>
              <w:adjustRightInd w:val="0"/>
              <w:snapToGrid w:val="0"/>
              <w:jc w:val="center"/>
              <w:rPr>
                <w:rFonts w:eastAsia="方正仿宋_GBK"/>
                <w:kern w:val="0"/>
                <w:sz w:val="24"/>
              </w:rPr>
            </w:pPr>
          </w:p>
        </w:tc>
        <w:tc>
          <w:tcPr>
            <w:tcW w:w="402" w:type="dxa"/>
            <w:tcBorders>
              <w:top w:val="single" w:color="auto" w:sz="4" w:space="0"/>
              <w:left w:val="single" w:color="auto" w:sz="4" w:space="0"/>
              <w:right w:val="single" w:color="auto" w:sz="4" w:space="0"/>
            </w:tcBorders>
            <w:noWrap/>
            <w:vAlign w:val="center"/>
          </w:tcPr>
          <w:p>
            <w:pPr>
              <w:adjustRightInd w:val="0"/>
              <w:snapToGrid w:val="0"/>
              <w:jc w:val="center"/>
              <w:rPr>
                <w:rFonts w:eastAsia="方正仿宋_GBK"/>
                <w:spacing w:val="-8"/>
                <w:kern w:val="0"/>
                <w:sz w:val="24"/>
              </w:rPr>
            </w:pPr>
          </w:p>
        </w:tc>
        <w:tc>
          <w:tcPr>
            <w:tcW w:w="540" w:type="dxa"/>
            <w:tcBorders>
              <w:top w:val="single" w:color="auto" w:sz="4" w:space="0"/>
              <w:left w:val="single" w:color="auto" w:sz="4" w:space="0"/>
              <w:right w:val="single" w:color="auto" w:sz="4" w:space="0"/>
            </w:tcBorders>
            <w:noWrap/>
            <w:vAlign w:val="center"/>
          </w:tcPr>
          <w:p>
            <w:pPr>
              <w:adjustRightInd w:val="0"/>
              <w:snapToGrid w:val="0"/>
              <w:jc w:val="center"/>
              <w:rPr>
                <w:rFonts w:eastAsia="方正仿宋_GBK"/>
                <w:spacing w:val="-8"/>
                <w:kern w:val="0"/>
                <w:sz w:val="24"/>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方正仿宋_GBK"/>
                <w:spacing w:val="-8"/>
                <w:kern w:val="0"/>
                <w:sz w:val="24"/>
              </w:rPr>
            </w:pPr>
            <w:r>
              <w:rPr>
                <w:rFonts w:eastAsia="方正仿宋_GBK"/>
                <w:spacing w:val="-8"/>
                <w:kern w:val="0"/>
                <w:sz w:val="24"/>
              </w:rPr>
              <w:t>镇乡（街道）</w:t>
            </w:r>
          </w:p>
        </w:tc>
        <w:tc>
          <w:tcPr>
            <w:tcW w:w="38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方正仿宋_GBK"/>
                <w:spacing w:val="-8"/>
                <w:kern w:val="0"/>
                <w:sz w:val="24"/>
              </w:rPr>
            </w:pPr>
            <w:r>
              <w:rPr>
                <w:rFonts w:eastAsia="方正仿宋_GBK"/>
                <w:spacing w:val="-8"/>
                <w:kern w:val="0"/>
                <w:sz w:val="24"/>
              </w:rPr>
              <w:t>行业部门</w:t>
            </w:r>
          </w:p>
        </w:tc>
        <w:tc>
          <w:tcPr>
            <w:tcW w:w="46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方正仿宋_GBK"/>
                <w:spacing w:val="-8"/>
                <w:kern w:val="0"/>
                <w:sz w:val="24"/>
              </w:rPr>
            </w:pPr>
            <w:r>
              <w:rPr>
                <w:rFonts w:eastAsia="方正仿宋_GBK"/>
                <w:spacing w:val="-8"/>
                <w:kern w:val="0"/>
                <w:sz w:val="24"/>
              </w:rPr>
              <w:t>区地指</w:t>
            </w:r>
          </w:p>
        </w:tc>
        <w:tc>
          <w:tcPr>
            <w:tcW w:w="105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方正仿宋_GBK"/>
                <w:spacing w:val="-8"/>
                <w:kern w:val="0"/>
                <w:sz w:val="24"/>
              </w:rPr>
            </w:pPr>
            <w:r>
              <w:rPr>
                <w:rFonts w:eastAsia="方正仿宋_GBK"/>
                <w:spacing w:val="-8"/>
                <w:kern w:val="0"/>
                <w:sz w:val="24"/>
              </w:rPr>
              <w:t>现场指挥部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Ⅰ级</w:t>
            </w:r>
          </w:p>
        </w:tc>
        <w:tc>
          <w:tcPr>
            <w:tcW w:w="40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Ⅰ级</w:t>
            </w:r>
          </w:p>
        </w:tc>
        <w:tc>
          <w:tcPr>
            <w:tcW w:w="5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Ⅰ级</w:t>
            </w:r>
          </w:p>
        </w:tc>
        <w:tc>
          <w:tcPr>
            <w:tcW w:w="1916" w:type="dxa"/>
            <w:vMerge w:val="restart"/>
            <w:tcBorders>
              <w:top w:val="single" w:color="auto" w:sz="4" w:space="0"/>
              <w:left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（1）受灾镇乡（街道）有关负责人带队第一时间到达现场，同时通知片区地质灾害驻守人员赶赴现场开展调查；</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（2）迅速收集了解灾（险）情情况，及时向区地指和行业主管部门报告；</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（3）受灾损失较大（大于30万元及以上或需倒腾安置或搬迁避让30人以上、有人员伤亡的），应及时报告区地指办；</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（4）划定成灾范围和危险区域，设置警戒线、落实专人24小时监测值守等防范措施；</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（5）撤离危险区群众，妥善安置受灾群众；</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（6）加强趋势研判，及时发布预警信息，提出应急抢险措施；</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（7）组织救援力量和当地干部群众开展科学自救互救；</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（8）根据情况，请求区地指支援；</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（9）应急处置完毕，迅速电话报告区地指办，随后书面详细报告地灾发生情况、灾害损失情况、应急救援情况、地灾防治情况、有关问题等，同时抄送有关部门。</w:t>
            </w:r>
          </w:p>
        </w:tc>
        <w:tc>
          <w:tcPr>
            <w:tcW w:w="388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（1）在市地指导的统筹下，区应急局领导赶赴现场组织指挥抢险救援，加强信息收集报送、根据现场情况调集相关救援队伍和物资调度；</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（2）区规划自然资源局及相关行业管理部门专家团队，开展专业监测，对监测数据开展会商研判，制定科学合理的抢险救援方案，加强抢险救援工作技术支持；应急专家队伍赶赴现场指导抢险救灾；</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（3）相关成员单位派出工作组和相应应急救援队伍赴现场抢险救援。</w:t>
            </w:r>
          </w:p>
        </w:tc>
        <w:tc>
          <w:tcPr>
            <w:tcW w:w="467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（1）区地指经请示批准后启动Ⅰ级响应；</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（2）通知区级抢险救援队伍和区消防救援支队待令，驻万部队备勤；</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（3）成立现场指挥部，现场指挥部由区地指指挥长任指挥长，必要时，由区长任指挥长，在国务院工作组指导和市人民政府领导下，由市地指统筹组织开展应急工作；</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（4）应根据灾情、险情的发展，不断增派地质灾害专家和抢险救援队伍赶赴现场指导抢险救灾，必要时调集相邻地区应急抢险救援队伍支援；</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（5）及时向区政府、市地指汇报抢险救援情况，并请求市地指支援。</w:t>
            </w:r>
          </w:p>
        </w:tc>
        <w:tc>
          <w:tcPr>
            <w:tcW w:w="1057" w:type="dxa"/>
            <w:vMerge w:val="restart"/>
            <w:tcBorders>
              <w:top w:val="single" w:color="auto" w:sz="4" w:space="0"/>
              <w:left w:val="single" w:color="auto" w:sz="4" w:space="0"/>
              <w:right w:val="single" w:color="auto" w:sz="4" w:space="0"/>
            </w:tcBorders>
            <w:noWrap/>
            <w:vAlign w:val="center"/>
          </w:tcPr>
          <w:p>
            <w:pPr>
              <w:widowControl/>
              <w:adjustRightInd w:val="0"/>
              <w:snapToGrid w:val="0"/>
              <w:spacing w:before="100" w:beforeAutospacing="1" w:after="100" w:afterAutospacing="1"/>
              <w:jc w:val="center"/>
              <w:rPr>
                <w:rFonts w:eastAsia="方正仿宋_GBK"/>
                <w:spacing w:val="-8"/>
                <w:kern w:val="0"/>
                <w:sz w:val="24"/>
              </w:rPr>
            </w:pPr>
            <w:r>
              <w:rPr>
                <w:rFonts w:eastAsia="方正仿宋_GBK"/>
                <w:spacing w:val="-8"/>
                <w:kern w:val="0"/>
                <w:sz w:val="24"/>
              </w:rPr>
              <w:t>负责组织指挥现场抢险救援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Ⅱ级</w:t>
            </w:r>
          </w:p>
        </w:tc>
        <w:tc>
          <w:tcPr>
            <w:tcW w:w="40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Ⅱ级</w:t>
            </w:r>
          </w:p>
        </w:tc>
        <w:tc>
          <w:tcPr>
            <w:tcW w:w="5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Ⅱ级</w:t>
            </w:r>
          </w:p>
        </w:tc>
        <w:tc>
          <w:tcPr>
            <w:tcW w:w="1916" w:type="dxa"/>
            <w:vMerge w:val="continue"/>
            <w:tcBorders>
              <w:left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p>
        </w:tc>
        <w:tc>
          <w:tcPr>
            <w:tcW w:w="388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（1）在市地指导的统筹下，区应急局领导赶赴现场组织指挥抢险救援，加强信息收集报送、根据现场情况调集相关救援队伍和物资调度；</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（2）区规划自然资源局及相关行业管理部门专家团队，开展专业监测，对监测数据开展会商研判，制定科学合理的抢险救援方案，加强抢险救援工作技术支持；应急专家队伍赶赴现场指导抢险救灾。</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（3）相关成员单位派出工作组和相应应急救援队伍赴现场抢险救援。</w:t>
            </w:r>
          </w:p>
        </w:tc>
        <w:tc>
          <w:tcPr>
            <w:tcW w:w="467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（1）区地指经请示批准后启动Ⅱ级响应；</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（2）通知区级抢险救援队伍和区消防救援支队待令，驻万部队备勤；</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（3）成立现场指挥部，现场指挥部由区地指指挥长任指挥长，在市地指的现场指导下组织抢险救灾；</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（4）应根据灾情、险情的发展，不断增派地质灾害专家和抢险救援队伍赶赴现场指导抢险救灾，必要时调集相邻地区应急抢险救援队伍支援；</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（5）及时向区政府、市地指汇报抢险救援情况，并请求市地指支援。</w:t>
            </w:r>
          </w:p>
        </w:tc>
        <w:tc>
          <w:tcPr>
            <w:tcW w:w="1057" w:type="dxa"/>
            <w:vMerge w:val="continue"/>
            <w:tcBorders>
              <w:left w:val="single" w:color="auto" w:sz="4" w:space="0"/>
              <w:right w:val="single" w:color="auto" w:sz="4" w:space="0"/>
            </w:tcBorders>
            <w:noWrap/>
            <w:vAlign w:val="center"/>
          </w:tcPr>
          <w:p>
            <w:pPr>
              <w:widowControl/>
              <w:adjustRightInd w:val="0"/>
              <w:snapToGrid w:val="0"/>
              <w:spacing w:before="100" w:beforeAutospacing="1" w:after="100" w:afterAutospacing="1"/>
              <w:rPr>
                <w:rFonts w:eastAsia="方正仿宋_GBK"/>
                <w:spacing w:val="-8"/>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Ⅲ级</w:t>
            </w:r>
          </w:p>
        </w:tc>
        <w:tc>
          <w:tcPr>
            <w:tcW w:w="40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Ⅲ级</w:t>
            </w:r>
          </w:p>
        </w:tc>
        <w:tc>
          <w:tcPr>
            <w:tcW w:w="5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Ⅲ级</w:t>
            </w:r>
          </w:p>
        </w:tc>
        <w:tc>
          <w:tcPr>
            <w:tcW w:w="1916" w:type="dxa"/>
            <w:vMerge w:val="continue"/>
            <w:tcBorders>
              <w:left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p>
        </w:tc>
        <w:tc>
          <w:tcPr>
            <w:tcW w:w="388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（1）区应急局领导赶赴现场组织指挥抢险救援，加强信息收集报送、根据现场情况调集相关救援队伍和物资调度；</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（2）区规划自然资源局及相关行业管理部门组织专家组开展专业监测，密切监视灾情、险情的发展变化，加密研判，做好预测、预报；制定抢险救援方案，加强抢险救援工作技术支持；</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（3）相关成员单位派出工作组和相应应急救援队伍赴现场抢险救援；</w:t>
            </w:r>
          </w:p>
        </w:tc>
        <w:tc>
          <w:tcPr>
            <w:tcW w:w="467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（1）区地指作出启动Ⅲ级响应指示，地指办将指示印发有关部门，并报送市地指办；</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（2）视情况通知区级抢险救援队伍待令和区消防救援支队备勤；</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（3）成立现场指挥部，区地指副指挥长（应急）任现场指挥长；</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（4）根据现场指挥部的请求，协调相关部门单位人员、救援队伍，救援装备、物资赶赴现场；</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（5）及时向区政府、市地指汇报抢险救援情况，并请求市地指支援。</w:t>
            </w:r>
          </w:p>
        </w:tc>
        <w:tc>
          <w:tcPr>
            <w:tcW w:w="1057" w:type="dxa"/>
            <w:vMerge w:val="continue"/>
            <w:tcBorders>
              <w:left w:val="single" w:color="auto" w:sz="4" w:space="0"/>
              <w:right w:val="single" w:color="auto" w:sz="4" w:space="0"/>
            </w:tcBorders>
            <w:noWrap/>
            <w:vAlign w:val="center"/>
          </w:tcPr>
          <w:p>
            <w:pPr>
              <w:widowControl/>
              <w:adjustRightInd w:val="0"/>
              <w:snapToGrid w:val="0"/>
              <w:spacing w:before="100" w:beforeAutospacing="1" w:after="100" w:afterAutospacing="1"/>
              <w:rPr>
                <w:rFonts w:eastAsia="方正仿宋_GBK"/>
                <w:spacing w:val="-8"/>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Ⅳ级</w:t>
            </w:r>
          </w:p>
        </w:tc>
        <w:tc>
          <w:tcPr>
            <w:tcW w:w="40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Ⅳ级</w:t>
            </w:r>
          </w:p>
        </w:tc>
        <w:tc>
          <w:tcPr>
            <w:tcW w:w="5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Ⅳ级</w:t>
            </w:r>
          </w:p>
        </w:tc>
        <w:tc>
          <w:tcPr>
            <w:tcW w:w="1916" w:type="dxa"/>
            <w:vMerge w:val="continue"/>
            <w:tcBorders>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p>
        </w:tc>
        <w:tc>
          <w:tcPr>
            <w:tcW w:w="388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（1）区应急局领导赶赴现场组织指挥抢险救援，加强信息收集报送、视情况调集相关救援队伍和物资调度；</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（2）区规划自然资源局及相关行业管理部门派遣专业技术单位技术人员开展现场调查，指导设置警戒；开展应急监测，及时作出分析研判；提出应急抢险措施建议，报现场指挥部；为抢险救援提供技术指导；</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（3）其他成员单位根据职责和现场需要派出相应人员和应急救援队伍。</w:t>
            </w:r>
          </w:p>
        </w:tc>
        <w:tc>
          <w:tcPr>
            <w:tcW w:w="467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（1）区地指作出启动Ⅳ级响应指示，地指办将指示印发有关部门，并报送市地指办；</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（2）视情况通知区级抢险救援队伍备勤，通报区消防救援支队；</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（3）成立现场指挥部，区地指派副指挥长（应急）或副指挥长（应急）委托相关人员任现场指挥长；</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（4）根据现场指挥部的请求，协调相关部门单位人员、救援队伍，救援装备、物资赶赴现场；</w:t>
            </w:r>
          </w:p>
          <w:p>
            <w:pPr>
              <w:widowControl/>
              <w:adjustRightInd w:val="0"/>
              <w:snapToGrid w:val="0"/>
              <w:spacing w:before="100" w:beforeAutospacing="1" w:after="100" w:afterAutospacing="1" w:line="300" w:lineRule="exact"/>
              <w:rPr>
                <w:rFonts w:eastAsia="方正仿宋_GBK"/>
                <w:kern w:val="0"/>
                <w:sz w:val="24"/>
              </w:rPr>
            </w:pPr>
            <w:r>
              <w:rPr>
                <w:rFonts w:eastAsia="方正仿宋_GBK"/>
                <w:kern w:val="0"/>
                <w:sz w:val="24"/>
              </w:rPr>
              <w:t>（5）及时向区政府、市地指汇报抢险救援情况。</w:t>
            </w:r>
          </w:p>
        </w:tc>
        <w:tc>
          <w:tcPr>
            <w:tcW w:w="1057" w:type="dxa"/>
            <w:vMerge w:val="continue"/>
            <w:tcBorders>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rPr>
                <w:rFonts w:eastAsia="方正仿宋_GBK"/>
                <w:spacing w:val="-8"/>
                <w:kern w:val="0"/>
                <w:sz w:val="24"/>
              </w:rPr>
            </w:pPr>
          </w:p>
        </w:tc>
      </w:tr>
    </w:tbl>
    <w:p>
      <w:pPr>
        <w:spacing w:line="400" w:lineRule="exact"/>
        <w:rPr>
          <w:color w:val="000000"/>
          <w:sz w:val="28"/>
          <w:szCs w:val="28"/>
        </w:rPr>
        <w:sectPr>
          <w:pgSz w:w="16838" w:h="11906" w:orient="landscape"/>
          <w:pgMar w:top="1701" w:right="1418" w:bottom="1701" w:left="1418" w:header="851" w:footer="992" w:gutter="0"/>
          <w:cols w:space="720" w:num="1"/>
          <w:docGrid w:type="lines" w:linePitch="312" w:charSpace="0"/>
        </w:sectPr>
      </w:pPr>
    </w:p>
    <w:p>
      <w:pPr>
        <w:pStyle w:val="23"/>
        <w:adjustRightInd w:val="0"/>
        <w:snapToGrid w:val="0"/>
        <w:spacing w:before="0" w:after="0" w:line="360" w:lineRule="auto"/>
        <w:jc w:val="both"/>
        <w:outlineLvl w:val="0"/>
        <w:rPr>
          <w:rFonts w:ascii="Times New Roman" w:hAnsi="Times New Roman" w:eastAsia="方正楷体_GBK"/>
          <w:color w:val="000000"/>
        </w:rPr>
      </w:pPr>
      <w:bookmarkStart w:id="183" w:name="_Toc4754"/>
      <w:bookmarkStart w:id="184" w:name="_Toc40"/>
      <w:r>
        <w:rPr>
          <w:rFonts w:ascii="Times New Roman" w:hAnsi="Times New Roman" w:eastAsia="方正楷体_GBK"/>
        </w:rPr>
        <w:t>附录8</w:t>
      </w:r>
      <w:r>
        <w:rPr>
          <w:rFonts w:ascii="Times New Roman" w:hAnsi="Times New Roman" w:eastAsia="方正楷体_GBK"/>
          <w:color w:val="000000"/>
        </w:rPr>
        <w:t>区地质灾害技术保障队花名册</w:t>
      </w:r>
      <w:bookmarkEnd w:id="183"/>
      <w:bookmarkEnd w:id="184"/>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0"/>
        <w:gridCol w:w="956"/>
        <w:gridCol w:w="2195"/>
        <w:gridCol w:w="1276"/>
        <w:gridCol w:w="709"/>
        <w:gridCol w:w="1842"/>
        <w:gridCol w:w="1599"/>
        <w:gridCol w:w="2038"/>
        <w:gridCol w:w="1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30" w:type="dxa"/>
            <w:noWrap/>
            <w:vAlign w:val="center"/>
          </w:tcPr>
          <w:p>
            <w:pPr>
              <w:spacing w:line="590" w:lineRule="exact"/>
              <w:jc w:val="center"/>
              <w:rPr>
                <w:rFonts w:eastAsia="方正仿宋_GBK"/>
                <w:color w:val="000000"/>
                <w:sz w:val="24"/>
              </w:rPr>
            </w:pPr>
            <w:r>
              <w:rPr>
                <w:rFonts w:eastAsia="方正仿宋_GBK"/>
                <w:color w:val="000000"/>
                <w:sz w:val="24"/>
              </w:rPr>
              <w:t>姓  名</w:t>
            </w:r>
          </w:p>
        </w:tc>
        <w:tc>
          <w:tcPr>
            <w:tcW w:w="956" w:type="dxa"/>
            <w:noWrap/>
            <w:vAlign w:val="center"/>
          </w:tcPr>
          <w:p>
            <w:pPr>
              <w:spacing w:line="590" w:lineRule="exact"/>
              <w:jc w:val="center"/>
              <w:rPr>
                <w:rFonts w:eastAsia="方正仿宋_GBK"/>
                <w:color w:val="000000"/>
                <w:sz w:val="24"/>
              </w:rPr>
            </w:pPr>
            <w:r>
              <w:rPr>
                <w:rFonts w:eastAsia="方正仿宋_GBK"/>
                <w:color w:val="000000"/>
                <w:sz w:val="24"/>
              </w:rPr>
              <w:t>性别</w:t>
            </w:r>
          </w:p>
        </w:tc>
        <w:tc>
          <w:tcPr>
            <w:tcW w:w="2195" w:type="dxa"/>
            <w:noWrap/>
            <w:vAlign w:val="center"/>
          </w:tcPr>
          <w:p>
            <w:pPr>
              <w:spacing w:line="590" w:lineRule="exact"/>
              <w:jc w:val="center"/>
              <w:rPr>
                <w:rFonts w:eastAsia="方正仿宋_GBK"/>
                <w:color w:val="000000"/>
                <w:sz w:val="24"/>
              </w:rPr>
            </w:pPr>
            <w:r>
              <w:rPr>
                <w:rFonts w:eastAsia="方正仿宋_GBK"/>
                <w:color w:val="000000"/>
                <w:sz w:val="24"/>
              </w:rPr>
              <w:t>单位及队内职务</w:t>
            </w:r>
          </w:p>
        </w:tc>
        <w:tc>
          <w:tcPr>
            <w:tcW w:w="1276" w:type="dxa"/>
            <w:noWrap/>
            <w:vAlign w:val="center"/>
          </w:tcPr>
          <w:p>
            <w:pPr>
              <w:spacing w:line="590" w:lineRule="exact"/>
              <w:jc w:val="center"/>
              <w:rPr>
                <w:rFonts w:eastAsia="方正仿宋_GBK"/>
                <w:color w:val="000000"/>
                <w:sz w:val="24"/>
              </w:rPr>
            </w:pPr>
            <w:r>
              <w:rPr>
                <w:rFonts w:eastAsia="方正仿宋_GBK"/>
                <w:color w:val="000000"/>
                <w:sz w:val="24"/>
              </w:rPr>
              <w:t>文化程度</w:t>
            </w:r>
          </w:p>
        </w:tc>
        <w:tc>
          <w:tcPr>
            <w:tcW w:w="709" w:type="dxa"/>
            <w:tcBorders>
              <w:right w:val="single" w:color="auto" w:sz="4" w:space="0"/>
            </w:tcBorders>
            <w:noWrap/>
            <w:vAlign w:val="center"/>
          </w:tcPr>
          <w:p>
            <w:pPr>
              <w:spacing w:line="590" w:lineRule="exact"/>
              <w:jc w:val="center"/>
              <w:rPr>
                <w:rFonts w:eastAsia="方正仿宋_GBK"/>
                <w:color w:val="000000"/>
                <w:sz w:val="24"/>
              </w:rPr>
            </w:pPr>
            <w:r>
              <w:rPr>
                <w:rFonts w:eastAsia="方正仿宋_GBK"/>
                <w:color w:val="000000"/>
                <w:sz w:val="24"/>
              </w:rPr>
              <w:t>年龄</w:t>
            </w:r>
          </w:p>
        </w:tc>
        <w:tc>
          <w:tcPr>
            <w:tcW w:w="1842" w:type="dxa"/>
            <w:tcBorders>
              <w:left w:val="single" w:color="auto" w:sz="4" w:space="0"/>
            </w:tcBorders>
            <w:noWrap/>
            <w:vAlign w:val="center"/>
          </w:tcPr>
          <w:p>
            <w:pPr>
              <w:spacing w:line="590" w:lineRule="exact"/>
              <w:jc w:val="center"/>
              <w:rPr>
                <w:rFonts w:eastAsia="方正仿宋_GBK"/>
                <w:color w:val="000000"/>
                <w:sz w:val="24"/>
              </w:rPr>
            </w:pPr>
            <w:r>
              <w:rPr>
                <w:rFonts w:eastAsia="方正仿宋_GBK"/>
                <w:color w:val="000000"/>
                <w:sz w:val="24"/>
              </w:rPr>
              <w:t>专业及职称</w:t>
            </w:r>
          </w:p>
        </w:tc>
        <w:tc>
          <w:tcPr>
            <w:tcW w:w="1599" w:type="dxa"/>
            <w:noWrap/>
            <w:vAlign w:val="center"/>
          </w:tcPr>
          <w:p>
            <w:pPr>
              <w:spacing w:line="590" w:lineRule="exact"/>
              <w:jc w:val="center"/>
              <w:rPr>
                <w:rFonts w:eastAsia="方正仿宋_GBK"/>
                <w:color w:val="000000"/>
                <w:sz w:val="24"/>
              </w:rPr>
            </w:pPr>
            <w:r>
              <w:rPr>
                <w:rFonts w:eastAsia="方正仿宋_GBK"/>
                <w:color w:val="000000"/>
                <w:sz w:val="24"/>
              </w:rPr>
              <w:t>联系电话</w:t>
            </w:r>
          </w:p>
        </w:tc>
        <w:tc>
          <w:tcPr>
            <w:tcW w:w="2038" w:type="dxa"/>
            <w:noWrap/>
            <w:vAlign w:val="center"/>
          </w:tcPr>
          <w:p>
            <w:pPr>
              <w:spacing w:line="590" w:lineRule="exact"/>
              <w:jc w:val="center"/>
              <w:rPr>
                <w:rFonts w:eastAsia="方正仿宋_GBK"/>
                <w:color w:val="000000"/>
                <w:sz w:val="24"/>
              </w:rPr>
            </w:pPr>
            <w:r>
              <w:rPr>
                <w:rFonts w:eastAsia="方正仿宋_GBK"/>
                <w:color w:val="000000"/>
                <w:sz w:val="24"/>
              </w:rPr>
              <w:t>家庭住址</w:t>
            </w:r>
          </w:p>
        </w:tc>
        <w:tc>
          <w:tcPr>
            <w:tcW w:w="1663" w:type="dxa"/>
            <w:noWrap/>
            <w:vAlign w:val="center"/>
          </w:tcPr>
          <w:p>
            <w:pPr>
              <w:spacing w:line="590" w:lineRule="exact"/>
              <w:jc w:val="center"/>
              <w:rPr>
                <w:rFonts w:eastAsia="方正仿宋_GBK"/>
                <w:color w:val="000000"/>
                <w:sz w:val="24"/>
              </w:rPr>
            </w:pPr>
            <w:r>
              <w:rPr>
                <w:rFonts w:eastAsia="方正仿宋_GBK"/>
                <w:color w:val="000000"/>
                <w:sz w:val="24"/>
              </w:rPr>
              <w:t>入队时间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30"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吴  疆</w:t>
            </w:r>
          </w:p>
        </w:tc>
        <w:tc>
          <w:tcPr>
            <w:tcW w:w="95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男</w:t>
            </w:r>
          </w:p>
        </w:tc>
        <w:tc>
          <w:tcPr>
            <w:tcW w:w="2195"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队长</w:t>
            </w:r>
          </w:p>
        </w:tc>
        <w:tc>
          <w:tcPr>
            <w:tcW w:w="127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硕士</w:t>
            </w:r>
          </w:p>
        </w:tc>
        <w:tc>
          <w:tcPr>
            <w:tcW w:w="709" w:type="dxa"/>
            <w:tcBorders>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54</w:t>
            </w:r>
          </w:p>
        </w:tc>
        <w:tc>
          <w:tcPr>
            <w:tcW w:w="1842" w:type="dxa"/>
            <w:tcBorders>
              <w:lef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地质工程、正高</w:t>
            </w:r>
          </w:p>
        </w:tc>
        <w:tc>
          <w:tcPr>
            <w:tcW w:w="1599"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13983527699</w:t>
            </w:r>
          </w:p>
        </w:tc>
        <w:tc>
          <w:tcPr>
            <w:tcW w:w="2038"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万州区北滨熙岸</w:t>
            </w:r>
          </w:p>
        </w:tc>
        <w:tc>
          <w:tcPr>
            <w:tcW w:w="1663"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2010年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30"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冯明成</w:t>
            </w:r>
          </w:p>
        </w:tc>
        <w:tc>
          <w:tcPr>
            <w:tcW w:w="95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男</w:t>
            </w:r>
          </w:p>
        </w:tc>
        <w:tc>
          <w:tcPr>
            <w:tcW w:w="2195"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副主任</w:t>
            </w:r>
          </w:p>
        </w:tc>
        <w:tc>
          <w:tcPr>
            <w:tcW w:w="127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本科</w:t>
            </w:r>
          </w:p>
        </w:tc>
        <w:tc>
          <w:tcPr>
            <w:tcW w:w="709" w:type="dxa"/>
            <w:tcBorders>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51</w:t>
            </w:r>
          </w:p>
        </w:tc>
        <w:tc>
          <w:tcPr>
            <w:tcW w:w="1842" w:type="dxa"/>
            <w:tcBorders>
              <w:lef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水工环地质、高工</w:t>
            </w:r>
          </w:p>
        </w:tc>
        <w:tc>
          <w:tcPr>
            <w:tcW w:w="1599"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13896271567</w:t>
            </w:r>
          </w:p>
        </w:tc>
        <w:tc>
          <w:tcPr>
            <w:tcW w:w="2038"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万州区心水岸</w:t>
            </w:r>
          </w:p>
        </w:tc>
        <w:tc>
          <w:tcPr>
            <w:tcW w:w="1663"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2010年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30"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李迎春</w:t>
            </w:r>
          </w:p>
        </w:tc>
        <w:tc>
          <w:tcPr>
            <w:tcW w:w="95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女</w:t>
            </w:r>
          </w:p>
        </w:tc>
        <w:tc>
          <w:tcPr>
            <w:tcW w:w="2195"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地质环境监测站</w:t>
            </w:r>
          </w:p>
        </w:tc>
        <w:tc>
          <w:tcPr>
            <w:tcW w:w="127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硕士</w:t>
            </w:r>
          </w:p>
        </w:tc>
        <w:tc>
          <w:tcPr>
            <w:tcW w:w="709" w:type="dxa"/>
            <w:tcBorders>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56</w:t>
            </w:r>
          </w:p>
        </w:tc>
        <w:tc>
          <w:tcPr>
            <w:tcW w:w="1842" w:type="dxa"/>
            <w:tcBorders>
              <w:lef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地质工程、正高</w:t>
            </w:r>
          </w:p>
        </w:tc>
        <w:tc>
          <w:tcPr>
            <w:tcW w:w="1599"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13638272984</w:t>
            </w:r>
          </w:p>
        </w:tc>
        <w:tc>
          <w:tcPr>
            <w:tcW w:w="2038"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万州区滨江1号</w:t>
            </w:r>
          </w:p>
        </w:tc>
        <w:tc>
          <w:tcPr>
            <w:tcW w:w="1663"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2010年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30"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李  东</w:t>
            </w:r>
          </w:p>
        </w:tc>
        <w:tc>
          <w:tcPr>
            <w:tcW w:w="95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男</w:t>
            </w:r>
          </w:p>
        </w:tc>
        <w:tc>
          <w:tcPr>
            <w:tcW w:w="2195"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地质环境监测站</w:t>
            </w:r>
          </w:p>
        </w:tc>
        <w:tc>
          <w:tcPr>
            <w:tcW w:w="127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硕士</w:t>
            </w:r>
          </w:p>
        </w:tc>
        <w:tc>
          <w:tcPr>
            <w:tcW w:w="709" w:type="dxa"/>
            <w:tcBorders>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30</w:t>
            </w:r>
          </w:p>
        </w:tc>
        <w:tc>
          <w:tcPr>
            <w:tcW w:w="1842" w:type="dxa"/>
            <w:tcBorders>
              <w:lef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地质工程、工程师</w:t>
            </w:r>
          </w:p>
        </w:tc>
        <w:tc>
          <w:tcPr>
            <w:tcW w:w="1599"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15730660577</w:t>
            </w:r>
          </w:p>
        </w:tc>
        <w:tc>
          <w:tcPr>
            <w:tcW w:w="2038"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万州区北滨上院</w:t>
            </w:r>
          </w:p>
        </w:tc>
        <w:tc>
          <w:tcPr>
            <w:tcW w:w="1663"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2016年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30"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刘庆丽</w:t>
            </w:r>
          </w:p>
        </w:tc>
        <w:tc>
          <w:tcPr>
            <w:tcW w:w="95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女</w:t>
            </w:r>
          </w:p>
        </w:tc>
        <w:tc>
          <w:tcPr>
            <w:tcW w:w="2195"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地质环境监测站</w:t>
            </w:r>
          </w:p>
        </w:tc>
        <w:tc>
          <w:tcPr>
            <w:tcW w:w="127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硕士</w:t>
            </w:r>
          </w:p>
        </w:tc>
        <w:tc>
          <w:tcPr>
            <w:tcW w:w="709" w:type="dxa"/>
            <w:tcBorders>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29</w:t>
            </w:r>
          </w:p>
        </w:tc>
        <w:tc>
          <w:tcPr>
            <w:tcW w:w="1842" w:type="dxa"/>
            <w:tcBorders>
              <w:lef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地质工程、工程师</w:t>
            </w:r>
          </w:p>
        </w:tc>
        <w:tc>
          <w:tcPr>
            <w:tcW w:w="1599"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18290507041</w:t>
            </w:r>
          </w:p>
        </w:tc>
        <w:tc>
          <w:tcPr>
            <w:tcW w:w="2038"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万州区北滨上院</w:t>
            </w:r>
          </w:p>
        </w:tc>
        <w:tc>
          <w:tcPr>
            <w:tcW w:w="1663"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2016年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30"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高广艳</w:t>
            </w:r>
          </w:p>
        </w:tc>
        <w:tc>
          <w:tcPr>
            <w:tcW w:w="95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男</w:t>
            </w:r>
          </w:p>
        </w:tc>
        <w:tc>
          <w:tcPr>
            <w:tcW w:w="2195"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南江地质队驻万州区办事处总工</w:t>
            </w:r>
          </w:p>
        </w:tc>
        <w:tc>
          <w:tcPr>
            <w:tcW w:w="127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本科</w:t>
            </w:r>
          </w:p>
        </w:tc>
        <w:tc>
          <w:tcPr>
            <w:tcW w:w="709" w:type="dxa"/>
            <w:tcBorders>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46</w:t>
            </w:r>
          </w:p>
        </w:tc>
        <w:tc>
          <w:tcPr>
            <w:tcW w:w="1842" w:type="dxa"/>
            <w:tcBorders>
              <w:lef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水工环地质、正高</w:t>
            </w:r>
          </w:p>
        </w:tc>
        <w:tc>
          <w:tcPr>
            <w:tcW w:w="1599"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13983489363</w:t>
            </w:r>
          </w:p>
        </w:tc>
        <w:tc>
          <w:tcPr>
            <w:tcW w:w="2038"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江北区盘溪路</w:t>
            </w:r>
          </w:p>
        </w:tc>
        <w:tc>
          <w:tcPr>
            <w:tcW w:w="1663"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2015年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30"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王  辉</w:t>
            </w:r>
          </w:p>
        </w:tc>
        <w:tc>
          <w:tcPr>
            <w:tcW w:w="95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男</w:t>
            </w:r>
          </w:p>
        </w:tc>
        <w:tc>
          <w:tcPr>
            <w:tcW w:w="2195"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南江地质队驻万州区办事处</w:t>
            </w:r>
          </w:p>
        </w:tc>
        <w:tc>
          <w:tcPr>
            <w:tcW w:w="127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本科</w:t>
            </w:r>
          </w:p>
        </w:tc>
        <w:tc>
          <w:tcPr>
            <w:tcW w:w="709"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48</w:t>
            </w:r>
          </w:p>
        </w:tc>
        <w:tc>
          <w:tcPr>
            <w:tcW w:w="1842"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勘察工程、高工</w:t>
            </w:r>
          </w:p>
        </w:tc>
        <w:tc>
          <w:tcPr>
            <w:tcW w:w="1599"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13193231125</w:t>
            </w:r>
          </w:p>
        </w:tc>
        <w:tc>
          <w:tcPr>
            <w:tcW w:w="2038"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重庆两江新区</w:t>
            </w:r>
          </w:p>
        </w:tc>
        <w:tc>
          <w:tcPr>
            <w:tcW w:w="1663"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2015年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30"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龙  黔</w:t>
            </w:r>
          </w:p>
        </w:tc>
        <w:tc>
          <w:tcPr>
            <w:tcW w:w="95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男</w:t>
            </w:r>
          </w:p>
        </w:tc>
        <w:tc>
          <w:tcPr>
            <w:tcW w:w="2195"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高新院驻守负责人</w:t>
            </w:r>
          </w:p>
        </w:tc>
        <w:tc>
          <w:tcPr>
            <w:tcW w:w="127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大专</w:t>
            </w:r>
          </w:p>
        </w:tc>
        <w:tc>
          <w:tcPr>
            <w:tcW w:w="709"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46</w:t>
            </w:r>
          </w:p>
        </w:tc>
        <w:tc>
          <w:tcPr>
            <w:tcW w:w="1842"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地质矿产、高工</w:t>
            </w:r>
          </w:p>
        </w:tc>
        <w:tc>
          <w:tcPr>
            <w:tcW w:w="1599"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18908330085</w:t>
            </w:r>
          </w:p>
        </w:tc>
        <w:tc>
          <w:tcPr>
            <w:tcW w:w="2038"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重庆北碚区</w:t>
            </w:r>
          </w:p>
        </w:tc>
        <w:tc>
          <w:tcPr>
            <w:tcW w:w="1663"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2015年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 w:hRule="atLeast"/>
          <w:jc w:val="center"/>
        </w:trPr>
        <w:tc>
          <w:tcPr>
            <w:tcW w:w="1330"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吕  鹏</w:t>
            </w:r>
          </w:p>
        </w:tc>
        <w:tc>
          <w:tcPr>
            <w:tcW w:w="95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男</w:t>
            </w:r>
          </w:p>
        </w:tc>
        <w:tc>
          <w:tcPr>
            <w:tcW w:w="2195"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四川华地驻守负责人</w:t>
            </w:r>
          </w:p>
        </w:tc>
        <w:tc>
          <w:tcPr>
            <w:tcW w:w="1276"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硕士</w:t>
            </w:r>
          </w:p>
        </w:tc>
        <w:tc>
          <w:tcPr>
            <w:tcW w:w="709"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34</w:t>
            </w:r>
          </w:p>
        </w:tc>
        <w:tc>
          <w:tcPr>
            <w:tcW w:w="1842"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地质工程、高工</w:t>
            </w:r>
          </w:p>
        </w:tc>
        <w:tc>
          <w:tcPr>
            <w:tcW w:w="1599"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13668155505</w:t>
            </w:r>
          </w:p>
        </w:tc>
        <w:tc>
          <w:tcPr>
            <w:tcW w:w="2038"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成都市一环路</w:t>
            </w:r>
          </w:p>
        </w:tc>
        <w:tc>
          <w:tcPr>
            <w:tcW w:w="1663" w:type="dxa"/>
            <w:noWrap/>
            <w:vAlign w:val="center"/>
          </w:tcPr>
          <w:p>
            <w:pPr>
              <w:widowControl/>
              <w:adjustRightInd w:val="0"/>
              <w:snapToGrid w:val="0"/>
              <w:spacing w:before="100" w:beforeAutospacing="1" w:after="100" w:afterAutospacing="1" w:line="300" w:lineRule="exact"/>
              <w:jc w:val="center"/>
              <w:rPr>
                <w:rFonts w:eastAsia="方正仿宋_GBK"/>
                <w:kern w:val="0"/>
                <w:sz w:val="24"/>
                <w:szCs w:val="22"/>
              </w:rPr>
            </w:pPr>
            <w:r>
              <w:rPr>
                <w:rFonts w:eastAsia="方正仿宋_GBK"/>
                <w:kern w:val="0"/>
                <w:sz w:val="24"/>
                <w:szCs w:val="22"/>
              </w:rPr>
              <w:t>2015年</w:t>
            </w:r>
          </w:p>
        </w:tc>
      </w:tr>
    </w:tbl>
    <w:p>
      <w:pPr>
        <w:spacing w:line="400" w:lineRule="exact"/>
        <w:rPr>
          <w:color w:val="000000"/>
          <w:sz w:val="28"/>
          <w:szCs w:val="28"/>
        </w:rPr>
      </w:pPr>
    </w:p>
    <w:p>
      <w:pPr>
        <w:pStyle w:val="23"/>
        <w:adjustRightInd w:val="0"/>
        <w:snapToGrid w:val="0"/>
        <w:spacing w:before="0" w:after="0" w:line="360" w:lineRule="auto"/>
        <w:jc w:val="both"/>
        <w:outlineLvl w:val="0"/>
        <w:rPr>
          <w:rFonts w:ascii="Times New Roman" w:hAnsi="Times New Roman" w:eastAsia="方正楷体_GBK"/>
        </w:rPr>
      </w:pPr>
      <w:bookmarkStart w:id="185" w:name="_Toc30240"/>
      <w:bookmarkStart w:id="186" w:name="_Toc18029"/>
      <w:r>
        <w:rPr>
          <w:rFonts w:ascii="Times New Roman" w:hAnsi="Times New Roman"/>
        </w:rPr>
        <w:drawing>
          <wp:anchor distT="0" distB="0" distL="114300" distR="114300" simplePos="0" relativeHeight="251659264" behindDoc="0" locked="0" layoutInCell="1" allowOverlap="1">
            <wp:simplePos x="0" y="0"/>
            <wp:positionH relativeFrom="column">
              <wp:posOffset>432435</wp:posOffset>
            </wp:positionH>
            <wp:positionV relativeFrom="paragraph">
              <wp:posOffset>558165</wp:posOffset>
            </wp:positionV>
            <wp:extent cx="6696075" cy="4824095"/>
            <wp:effectExtent l="0" t="0" r="9525" b="14605"/>
            <wp:wrapSquare wrapText="bothSides"/>
            <wp:docPr id="3" name="图片 106" descr="易发分区_副本"/>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06" descr="易发分区_副本"/>
                    <pic:cNvPicPr>
                      <a:picLocks noChangeAspect="true"/>
                    </pic:cNvPicPr>
                  </pic:nvPicPr>
                  <pic:blipFill>
                    <a:blip r:embed="rId14"/>
                    <a:stretch>
                      <a:fillRect/>
                    </a:stretch>
                  </pic:blipFill>
                  <pic:spPr>
                    <a:xfrm>
                      <a:off x="0" y="0"/>
                      <a:ext cx="6696075" cy="4824095"/>
                    </a:xfrm>
                    <a:prstGeom prst="rect">
                      <a:avLst/>
                    </a:prstGeom>
                    <a:noFill/>
                    <a:ln>
                      <a:noFill/>
                    </a:ln>
                  </pic:spPr>
                </pic:pic>
              </a:graphicData>
            </a:graphic>
          </wp:anchor>
        </w:drawing>
      </w:r>
      <w:r>
        <w:rPr>
          <w:rFonts w:ascii="Times New Roman" w:hAnsi="Times New Roman" w:eastAsia="方正楷体_GBK"/>
        </w:rPr>
        <w:t>附录9 万州区地质灾害易发分区图</w:t>
      </w:r>
      <w:bookmarkEnd w:id="185"/>
      <w:bookmarkEnd w:id="186"/>
    </w:p>
    <w:p>
      <w:pPr>
        <w:spacing w:line="400" w:lineRule="exact"/>
        <w:rPr>
          <w:sz w:val="28"/>
          <w:szCs w:val="28"/>
        </w:rPr>
      </w:pPr>
    </w:p>
    <w:p>
      <w:pPr>
        <w:pStyle w:val="2"/>
        <w:rPr>
          <w:rFonts w:hint="default" w:ascii="Times New Roman"/>
        </w:rPr>
      </w:pPr>
    </w:p>
    <w:p>
      <w:pPr>
        <w:pStyle w:val="2"/>
        <w:rPr>
          <w:rFonts w:hint="default" w:ascii="Times New Roman"/>
        </w:rPr>
      </w:pPr>
    </w:p>
    <w:p>
      <w:pPr>
        <w:pStyle w:val="2"/>
        <w:rPr>
          <w:rFonts w:hint="default" w:ascii="Times New Roman"/>
        </w:rPr>
      </w:pPr>
    </w:p>
    <w:p>
      <w:pPr>
        <w:pStyle w:val="2"/>
        <w:rPr>
          <w:rFonts w:hint="default" w:ascii="Times New Roman"/>
        </w:rPr>
      </w:pPr>
    </w:p>
    <w:p>
      <w:pPr>
        <w:pStyle w:val="2"/>
        <w:rPr>
          <w:rFonts w:hint="default" w:ascii="Times New Roman"/>
        </w:rPr>
      </w:pPr>
    </w:p>
    <w:p>
      <w:pPr>
        <w:pStyle w:val="2"/>
        <w:rPr>
          <w:rFonts w:hint="default" w:ascii="Times New Roman"/>
        </w:rPr>
      </w:pPr>
    </w:p>
    <w:p>
      <w:pPr>
        <w:pStyle w:val="2"/>
        <w:rPr>
          <w:rFonts w:hint="default" w:ascii="Times New Roman"/>
        </w:rPr>
      </w:pPr>
    </w:p>
    <w:p>
      <w:pPr>
        <w:pStyle w:val="2"/>
        <w:rPr>
          <w:rFonts w:hint="default" w:ascii="Times New Roman"/>
        </w:rPr>
      </w:pPr>
    </w:p>
    <w:p>
      <w:pPr>
        <w:pStyle w:val="2"/>
        <w:rPr>
          <w:rFonts w:hint="default" w:ascii="Times New Roman"/>
        </w:rPr>
      </w:pPr>
    </w:p>
    <w:p>
      <w:pPr>
        <w:pStyle w:val="2"/>
        <w:rPr>
          <w:rFonts w:hint="default" w:ascii="Times New Roman"/>
        </w:rPr>
      </w:pPr>
    </w:p>
    <w:p>
      <w:pPr>
        <w:pStyle w:val="2"/>
        <w:rPr>
          <w:rFonts w:hint="default" w:ascii="Times New Roman"/>
        </w:rPr>
      </w:pPr>
    </w:p>
    <w:p>
      <w:pPr>
        <w:pStyle w:val="2"/>
        <w:rPr>
          <w:rFonts w:hint="default" w:ascii="Times New Roman"/>
        </w:rPr>
        <w:sectPr>
          <w:pgSz w:w="16838" w:h="11906" w:orient="landscape"/>
          <w:pgMar w:top="1701" w:right="1418" w:bottom="1701" w:left="1418" w:header="851" w:footer="992" w:gutter="0"/>
          <w:cols w:space="720" w:num="1"/>
          <w:docGrid w:type="lines" w:linePitch="312" w:charSpace="0"/>
        </w:sectPr>
      </w:pPr>
    </w:p>
    <w:p>
      <w:pPr>
        <w:pStyle w:val="23"/>
        <w:adjustRightInd w:val="0"/>
        <w:snapToGrid w:val="0"/>
        <w:spacing w:before="0" w:after="0" w:line="360" w:lineRule="auto"/>
        <w:jc w:val="both"/>
        <w:outlineLvl w:val="0"/>
        <w:rPr>
          <w:rFonts w:ascii="Times New Roman" w:hAnsi="Times New Roman" w:eastAsia="方正楷体_GBK"/>
        </w:rPr>
      </w:pPr>
      <w:bookmarkStart w:id="187" w:name="_Toc8745"/>
      <w:r>
        <w:rPr>
          <w:rFonts w:ascii="Times New Roman" w:hAnsi="Times New Roman" w:eastAsia="方正楷体_GBK"/>
        </w:rPr>
        <w:t>附录10 万州区突发地质灾害事件处置流程图</w:t>
      </w:r>
      <w:bookmarkEnd w:id="187"/>
    </w:p>
    <w:p>
      <w:pPr>
        <w:pStyle w:val="23"/>
        <w:adjustRightInd w:val="0"/>
        <w:snapToGrid w:val="0"/>
        <w:spacing w:before="0" w:after="0" w:line="360" w:lineRule="auto"/>
        <w:jc w:val="both"/>
        <w:outlineLvl w:val="0"/>
        <w:rPr>
          <w:rFonts w:ascii="Times New Roman" w:hAnsi="Times New Roman" w:eastAsia="方正楷体_GBK"/>
        </w:rPr>
      </w:pPr>
      <w:r>
        <w:rPr>
          <w:rFonts w:ascii="Times New Roman" w:hAnsi="Times New Roman" w:eastAsia="方正楷体_GBK"/>
        </w:rPr>
        <w:drawing>
          <wp:inline distT="0" distB="0" distL="114300" distR="114300">
            <wp:extent cx="5578475" cy="7881620"/>
            <wp:effectExtent l="0" t="0" r="3175" b="5080"/>
            <wp:docPr id="2" name="图片 2" descr="SCAN000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SCAN0003"/>
                    <pic:cNvPicPr>
                      <a:picLocks noChangeAspect="true"/>
                    </pic:cNvPicPr>
                  </pic:nvPicPr>
                  <pic:blipFill>
                    <a:blip r:embed="rId15"/>
                    <a:stretch>
                      <a:fillRect/>
                    </a:stretch>
                  </pic:blipFill>
                  <pic:spPr>
                    <a:xfrm>
                      <a:off x="0" y="0"/>
                      <a:ext cx="5578475" cy="7881620"/>
                    </a:xfrm>
                    <a:prstGeom prst="rect">
                      <a:avLst/>
                    </a:prstGeom>
                    <a:noFill/>
                    <a:ln>
                      <a:noFill/>
                    </a:ln>
                  </pic:spPr>
                </pic:pic>
              </a:graphicData>
            </a:graphic>
          </wp:inline>
        </w:drawing>
      </w:r>
    </w:p>
    <w:p>
      <w:pPr>
        <w:spacing w:line="590" w:lineRule="exact"/>
        <w:ind w:firstLine="280" w:firstLineChars="100"/>
        <w:rPr>
          <w:rFonts w:ascii="方正仿宋_GBK" w:eastAsia="方正仿宋_GBK"/>
          <w:sz w:val="28"/>
        </w:rPr>
      </w:pPr>
    </w:p>
    <w:p>
      <w:pPr>
        <w:pStyle w:val="2"/>
        <w:rPr>
          <w:rFonts w:hint="default" w:ascii="方正仿宋_GBK" w:eastAsia="方正仿宋_GBK"/>
          <w:sz w:val="28"/>
        </w:rPr>
      </w:pPr>
    </w:p>
    <w:p>
      <w:pPr>
        <w:pStyle w:val="2"/>
        <w:rPr>
          <w:rFonts w:hint="default" w:ascii="方正仿宋_GBK" w:eastAsia="方正仿宋_GBK"/>
          <w:sz w:val="28"/>
        </w:rPr>
      </w:pPr>
    </w:p>
    <w:p>
      <w:pPr>
        <w:pStyle w:val="2"/>
        <w:rPr>
          <w:rFonts w:hint="default" w:ascii="方正仿宋_GBK" w:eastAsia="方正仿宋_GBK"/>
          <w:sz w:val="28"/>
        </w:rPr>
      </w:pPr>
    </w:p>
    <w:p>
      <w:pPr>
        <w:pStyle w:val="2"/>
        <w:rPr>
          <w:rFonts w:hint="default" w:ascii="方正仿宋_GBK" w:eastAsia="方正仿宋_GBK"/>
          <w:sz w:val="28"/>
        </w:rPr>
      </w:pPr>
    </w:p>
    <w:p>
      <w:pPr>
        <w:pStyle w:val="2"/>
        <w:rPr>
          <w:rFonts w:hint="default" w:ascii="方正仿宋_GBK" w:eastAsia="方正仿宋_GBK"/>
          <w:sz w:val="28"/>
        </w:rPr>
      </w:pPr>
    </w:p>
    <w:p>
      <w:pPr>
        <w:pStyle w:val="2"/>
        <w:rPr>
          <w:rFonts w:hint="default" w:ascii="方正仿宋_GBK" w:eastAsia="方正仿宋_GBK"/>
          <w:sz w:val="28"/>
        </w:rPr>
      </w:pPr>
    </w:p>
    <w:p>
      <w:pPr>
        <w:pStyle w:val="2"/>
        <w:rPr>
          <w:rFonts w:hint="default" w:ascii="方正仿宋_GBK" w:eastAsia="方正仿宋_GBK"/>
          <w:sz w:val="28"/>
        </w:rPr>
      </w:pPr>
    </w:p>
    <w:p>
      <w:pPr>
        <w:pStyle w:val="2"/>
        <w:rPr>
          <w:rFonts w:hint="default" w:ascii="方正仿宋_GBK" w:eastAsia="方正仿宋_GBK"/>
          <w:sz w:val="28"/>
        </w:rPr>
      </w:pPr>
    </w:p>
    <w:p>
      <w:pPr>
        <w:pStyle w:val="2"/>
        <w:rPr>
          <w:rFonts w:hint="default" w:ascii="方正仿宋_GBK" w:eastAsia="方正仿宋_GBK"/>
          <w:sz w:val="28"/>
        </w:rPr>
      </w:pPr>
    </w:p>
    <w:p>
      <w:pPr>
        <w:pStyle w:val="2"/>
        <w:rPr>
          <w:rFonts w:hint="default" w:ascii="方正仿宋_GBK" w:eastAsia="方正仿宋_GBK"/>
          <w:sz w:val="28"/>
        </w:rPr>
      </w:pPr>
    </w:p>
    <w:p>
      <w:pPr>
        <w:pStyle w:val="2"/>
        <w:rPr>
          <w:rFonts w:hint="default" w:ascii="方正仿宋_GBK" w:eastAsia="方正仿宋_GBK"/>
          <w:sz w:val="28"/>
        </w:rPr>
      </w:pPr>
    </w:p>
    <w:p>
      <w:pPr>
        <w:pStyle w:val="2"/>
        <w:rPr>
          <w:rFonts w:hint="default" w:ascii="方正仿宋_GBK" w:eastAsia="方正仿宋_GBK"/>
          <w:sz w:val="28"/>
        </w:rPr>
      </w:pPr>
    </w:p>
    <w:p>
      <w:pPr>
        <w:pStyle w:val="2"/>
        <w:rPr>
          <w:rFonts w:hint="default" w:ascii="方正仿宋_GBK" w:eastAsia="方正仿宋_GBK"/>
          <w:sz w:val="28"/>
        </w:rPr>
      </w:pPr>
    </w:p>
    <w:p>
      <w:pPr>
        <w:pStyle w:val="2"/>
        <w:rPr>
          <w:rFonts w:hint="default" w:ascii="方正仿宋_GBK" w:eastAsia="方正仿宋_GBK"/>
          <w:sz w:val="28"/>
        </w:rPr>
      </w:pPr>
    </w:p>
    <w:p>
      <w:pPr>
        <w:pStyle w:val="2"/>
        <w:rPr>
          <w:rFonts w:hint="default" w:ascii="方正仿宋_GBK" w:eastAsia="方正仿宋_GBK"/>
          <w:sz w:val="28"/>
        </w:rPr>
      </w:pPr>
    </w:p>
    <w:p>
      <w:pPr>
        <w:pStyle w:val="2"/>
        <w:rPr>
          <w:rFonts w:hint="default" w:ascii="方正仿宋_GBK" w:eastAsia="方正仿宋_GBK"/>
          <w:sz w:val="28"/>
        </w:rPr>
      </w:pPr>
    </w:p>
    <w:p>
      <w:pPr>
        <w:pStyle w:val="2"/>
        <w:rPr>
          <w:rFonts w:hint="default" w:ascii="方正仿宋_GBK" w:eastAsia="方正仿宋_GBK"/>
          <w:sz w:val="28"/>
        </w:rPr>
      </w:pPr>
    </w:p>
    <w:p>
      <w:pPr>
        <w:pStyle w:val="2"/>
        <w:jc w:val="both"/>
        <w:rPr>
          <w:rFonts w:hint="default" w:ascii="方正仿宋_GBK" w:eastAsia="方正仿宋_GBK"/>
          <w:sz w:val="28"/>
        </w:rPr>
      </w:pPr>
    </w:p>
    <w:p>
      <w:pPr>
        <w:spacing w:line="590" w:lineRule="exact"/>
        <w:ind w:firstLine="1120" w:firstLineChars="400"/>
        <w:rPr>
          <w:rFonts w:ascii="方正仿宋_GBK" w:eastAsia="方正仿宋_GBK"/>
          <w:sz w:val="28"/>
          <w:szCs w:val="32"/>
        </w:rPr>
      </w:pPr>
    </w:p>
    <w:sectPr>
      <w:footerReference r:id="rId11" w:type="default"/>
      <w:footerReference r:id="rId12" w:type="even"/>
      <w:pgSz w:w="11906" w:h="16838"/>
      <w:pgMar w:top="1985" w:right="1474" w:bottom="1531" w:left="1588" w:header="851" w:footer="130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楷体_GB2312">
    <w:altName w:val="方正楷体_GBK"/>
    <w:panose1 w:val="02010609030101010101"/>
    <w:charset w:val="86"/>
    <w:family w:val="modern"/>
    <w:pitch w:val="default"/>
    <w:sig w:usb0="00000000" w:usb1="00000000" w:usb2="00000010" w:usb3="00000000" w:csb0="00040000" w:csb1="00000000"/>
  </w:font>
  <w:font w:name="Calibri Light">
    <w:altName w:val="DejaVu Sans"/>
    <w:panose1 w:val="020F0302020204030204"/>
    <w:charset w:val="00"/>
    <w:family w:val="swiss"/>
    <w:pitch w:val="default"/>
    <w:sig w:usb0="00000000" w:usb1="00000000" w:usb2="00000000"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p>
  <w:p>
    <w:pPr>
      <w:pStyle w:val="9"/>
      <w:ind w:right="360" w:firstLine="36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30</w:t>
    </w:r>
    <w:r>
      <w:rPr>
        <w:sz w:val="28"/>
        <w:szCs w:val="28"/>
      </w:rPr>
      <w:fldChar w:fldCharType="end"/>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p>
  <w:p>
    <w:pPr>
      <w:pStyle w:val="9"/>
      <w:ind w:right="360" w:firstLine="360"/>
      <w:rPr>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9149" w:y="29"/>
      <w:rPr>
        <w:rStyle w:val="16"/>
        <w:rFonts w:ascii="宋体" w:hAnsi="宋体"/>
        <w:sz w:val="28"/>
      </w:rPr>
    </w:pPr>
    <w:r>
      <w:rPr>
        <w:rStyle w:val="16"/>
        <w:rFonts w:hint="eastAsia" w:ascii="宋体" w:hAnsi="宋体"/>
        <w:sz w:val="28"/>
      </w:rPr>
      <w:t xml:space="preserve">— </w:t>
    </w:r>
    <w:r>
      <w:rPr>
        <w:rStyle w:val="16"/>
        <w:rFonts w:ascii="宋体" w:hAnsi="宋体"/>
        <w:sz w:val="28"/>
      </w:rPr>
      <w:fldChar w:fldCharType="begin"/>
    </w:r>
    <w:r>
      <w:rPr>
        <w:rStyle w:val="16"/>
        <w:rFonts w:ascii="宋体" w:hAnsi="宋体"/>
        <w:sz w:val="28"/>
      </w:rPr>
      <w:instrText xml:space="preserve">PAGE  </w:instrText>
    </w:r>
    <w:r>
      <w:rPr>
        <w:rStyle w:val="16"/>
        <w:rFonts w:ascii="宋体" w:hAnsi="宋体"/>
        <w:sz w:val="28"/>
      </w:rPr>
      <w:fldChar w:fldCharType="separate"/>
    </w:r>
    <w:r>
      <w:rPr>
        <w:rStyle w:val="16"/>
        <w:rFonts w:ascii="宋体" w:hAnsi="宋体"/>
        <w:sz w:val="28"/>
      </w:rPr>
      <w:t>32</w:t>
    </w:r>
    <w:r>
      <w:rPr>
        <w:rStyle w:val="16"/>
        <w:rFonts w:ascii="宋体" w:hAnsi="宋体"/>
        <w:sz w:val="28"/>
      </w:rPr>
      <w:fldChar w:fldCharType="end"/>
    </w:r>
    <w:r>
      <w:rPr>
        <w:rStyle w:val="16"/>
        <w:rFonts w:hint="eastAsia" w:ascii="宋体" w:hAnsi="宋体"/>
        <w:sz w:val="28"/>
      </w:rPr>
      <w:t xml:space="preserve"> —</w:t>
    </w:r>
  </w:p>
  <w:p>
    <w:pPr>
      <w:pStyle w:val="9"/>
      <w:wordWrap w:val="0"/>
      <w:ind w:right="360" w:firstLine="360"/>
      <w:jc w:val="right"/>
      <w:rPr>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1949" w:y="-86"/>
      <w:rPr>
        <w:rStyle w:val="16"/>
        <w:rFonts w:ascii="宋体" w:hAnsi="宋体"/>
        <w:sz w:val="28"/>
      </w:rPr>
    </w:pPr>
    <w:r>
      <w:rPr>
        <w:rStyle w:val="16"/>
        <w:rFonts w:hint="eastAsia" w:ascii="宋体" w:hAnsi="宋体"/>
        <w:sz w:val="28"/>
      </w:rPr>
      <w:t xml:space="preserve">— </w:t>
    </w:r>
    <w:r>
      <w:rPr>
        <w:rStyle w:val="16"/>
        <w:rFonts w:ascii="宋体" w:hAnsi="宋体"/>
        <w:sz w:val="28"/>
      </w:rPr>
      <w:fldChar w:fldCharType="begin"/>
    </w:r>
    <w:r>
      <w:rPr>
        <w:rStyle w:val="16"/>
        <w:rFonts w:ascii="宋体" w:hAnsi="宋体"/>
        <w:sz w:val="28"/>
      </w:rPr>
      <w:instrText xml:space="preserve">PAGE  </w:instrText>
    </w:r>
    <w:r>
      <w:rPr>
        <w:rStyle w:val="16"/>
        <w:rFonts w:ascii="宋体" w:hAnsi="宋体"/>
        <w:sz w:val="28"/>
      </w:rPr>
      <w:fldChar w:fldCharType="separate"/>
    </w:r>
    <w:r>
      <w:rPr>
        <w:rStyle w:val="16"/>
        <w:rFonts w:ascii="宋体" w:hAnsi="宋体"/>
        <w:sz w:val="28"/>
      </w:rPr>
      <w:t>2</w:t>
    </w:r>
    <w:r>
      <w:rPr>
        <w:rStyle w:val="16"/>
        <w:rFonts w:ascii="宋体" w:hAnsi="宋体"/>
        <w:sz w:val="28"/>
      </w:rPr>
      <w:fldChar w:fldCharType="end"/>
    </w:r>
    <w:r>
      <w:rPr>
        <w:rStyle w:val="16"/>
        <w:rFonts w:hint="eastAsia" w:ascii="宋体" w:hAnsi="宋体"/>
        <w:sz w:val="28"/>
      </w:rPr>
      <w:t xml:space="preserve"> —</w:t>
    </w:r>
  </w:p>
  <w:p>
    <w:pPr>
      <w:pStyle w:val="9"/>
      <w:ind w:right="360" w:firstLine="180" w:firstLineChars="10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57C89"/>
    <w:multiLevelType w:val="singleLevel"/>
    <w:tmpl w:val="B6E57C89"/>
    <w:lvl w:ilvl="0" w:tentative="0">
      <w:start w:val="1"/>
      <w:numFmt w:val="decimal"/>
      <w:suff w:val="nothing"/>
      <w:lvlText w:val="（%1）"/>
      <w:lvlJc w:val="left"/>
    </w:lvl>
  </w:abstractNum>
  <w:abstractNum w:abstractNumId="1">
    <w:nsid w:val="D4661902"/>
    <w:multiLevelType w:val="singleLevel"/>
    <w:tmpl w:val="D4661902"/>
    <w:lvl w:ilvl="0" w:tentative="0">
      <w:start w:val="1"/>
      <w:numFmt w:val="decimal"/>
      <w:suff w:val="nothing"/>
      <w:lvlText w:val="（%1）"/>
      <w:lvlJc w:val="left"/>
    </w:lvl>
  </w:abstractNum>
  <w:abstractNum w:abstractNumId="2">
    <w:nsid w:val="777CB8CC"/>
    <w:multiLevelType w:val="singleLevel"/>
    <w:tmpl w:val="777CB8CC"/>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E2547B3"/>
    <w:rsid w:val="0015269E"/>
    <w:rsid w:val="00170FBD"/>
    <w:rsid w:val="00191235"/>
    <w:rsid w:val="002D7A9B"/>
    <w:rsid w:val="0034517C"/>
    <w:rsid w:val="00355FDB"/>
    <w:rsid w:val="003562BA"/>
    <w:rsid w:val="003C2FDA"/>
    <w:rsid w:val="003F38A4"/>
    <w:rsid w:val="005D1CFB"/>
    <w:rsid w:val="006C567A"/>
    <w:rsid w:val="00744406"/>
    <w:rsid w:val="008530CD"/>
    <w:rsid w:val="009B42CF"/>
    <w:rsid w:val="009F1282"/>
    <w:rsid w:val="00A47165"/>
    <w:rsid w:val="00AA3747"/>
    <w:rsid w:val="00B217D6"/>
    <w:rsid w:val="00CA5ED8"/>
    <w:rsid w:val="00CD539F"/>
    <w:rsid w:val="00D14764"/>
    <w:rsid w:val="00DD3ADB"/>
    <w:rsid w:val="00DF363B"/>
    <w:rsid w:val="00F3255F"/>
    <w:rsid w:val="00FD6DD2"/>
    <w:rsid w:val="01457F22"/>
    <w:rsid w:val="02093C55"/>
    <w:rsid w:val="0E2547B3"/>
    <w:rsid w:val="0FBF9E7E"/>
    <w:rsid w:val="0FE236F1"/>
    <w:rsid w:val="17B4728E"/>
    <w:rsid w:val="31613292"/>
    <w:rsid w:val="472B328A"/>
    <w:rsid w:val="4FFD0344"/>
    <w:rsid w:val="50E5557E"/>
    <w:rsid w:val="69DA1456"/>
    <w:rsid w:val="6A3D5A87"/>
    <w:rsid w:val="6C1356D0"/>
    <w:rsid w:val="75F8743A"/>
    <w:rsid w:val="7F7D5A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0"/>
    <w:pPr>
      <w:keepNext/>
      <w:keepLines/>
      <w:snapToGrid w:val="0"/>
      <w:spacing w:line="576" w:lineRule="auto"/>
      <w:ind w:left="0" w:leftChars="0"/>
      <w:outlineLvl w:val="0"/>
    </w:pPr>
    <w:rPr>
      <w:rFonts w:ascii="方正仿宋_GBK" w:hAnsi="Calibri" w:eastAsia="方正仿宋_GBK"/>
      <w:b/>
      <w:kern w:val="44"/>
      <w:sz w:val="44"/>
      <w:szCs w:val="32"/>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jc w:val="center"/>
    </w:pPr>
    <w:rPr>
      <w:rFonts w:hint="eastAsia" w:ascii="方正黑体_GBK" w:hAnsi="Times New Roman" w:eastAsia="方正黑体_GBK" w:cs="Times New Roman"/>
      <w:color w:val="000000"/>
      <w:sz w:val="24"/>
      <w:szCs w:val="22"/>
      <w:lang w:val="en-US" w:eastAsia="zh-CN" w:bidi="ar-SA"/>
    </w:rPr>
  </w:style>
  <w:style w:type="paragraph" w:styleId="4">
    <w:name w:val="toc 4"/>
    <w:basedOn w:val="1"/>
    <w:next w:val="1"/>
    <w:qFormat/>
    <w:uiPriority w:val="0"/>
    <w:pPr>
      <w:ind w:left="1260" w:leftChars="600"/>
    </w:pPr>
  </w:style>
  <w:style w:type="paragraph" w:styleId="6">
    <w:name w:val="Body Text"/>
    <w:basedOn w:val="1"/>
    <w:qFormat/>
    <w:uiPriority w:val="0"/>
    <w:pPr>
      <w:spacing w:line="590" w:lineRule="exact"/>
    </w:pPr>
    <w:rPr>
      <w:rFonts w:eastAsia="仿宋_GB2312"/>
      <w:sz w:val="32"/>
    </w:rPr>
  </w:style>
  <w:style w:type="paragraph" w:styleId="7">
    <w:name w:val="Body Text Indent 2"/>
    <w:basedOn w:val="1"/>
    <w:qFormat/>
    <w:uiPriority w:val="0"/>
    <w:pPr>
      <w:spacing w:after="120" w:line="480" w:lineRule="auto"/>
      <w:ind w:left="420" w:leftChars="200"/>
    </w:pPr>
  </w:style>
  <w:style w:type="paragraph" w:styleId="8">
    <w:name w:val="Balloon Text"/>
    <w:basedOn w:val="1"/>
    <w:link w:val="25"/>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99"/>
    <w:pPr>
      <w:spacing w:before="100" w:beforeAutospacing="1" w:after="100" w:afterAutospacing="1"/>
      <w:jc w:val="left"/>
    </w:pPr>
    <w:rPr>
      <w:rFonts w:ascii="Calibri" w:hAnsi="Calibri" w:eastAsia="方正仿宋_GBK"/>
      <w:kern w:val="0"/>
      <w:sz w:val="24"/>
    </w:rPr>
  </w:style>
  <w:style w:type="character" w:styleId="16">
    <w:name w:val="page number"/>
    <w:basedOn w:val="15"/>
    <w:qFormat/>
    <w:uiPriority w:val="0"/>
  </w:style>
  <w:style w:type="character" w:styleId="17">
    <w:name w:val="Hyperlink"/>
    <w:unhideWhenUsed/>
    <w:qFormat/>
    <w:uiPriority w:val="99"/>
    <w:rPr>
      <w:color w:val="0000FF"/>
      <w:u w:val="single"/>
    </w:rPr>
  </w:style>
  <w:style w:type="paragraph" w:customStyle="1" w:styleId="18">
    <w:name w:val="UserStyle_1"/>
    <w:basedOn w:val="1"/>
    <w:qFormat/>
    <w:uiPriority w:val="0"/>
    <w:pPr>
      <w:widowControl/>
      <w:jc w:val="left"/>
      <w:textAlignment w:val="baseline"/>
    </w:pPr>
    <w:rPr>
      <w:kern w:val="0"/>
      <w:sz w:val="24"/>
    </w:rPr>
  </w:style>
  <w:style w:type="paragraph" w:customStyle="1" w:styleId="19">
    <w:name w:val="BodyText"/>
    <w:basedOn w:val="1"/>
    <w:next w:val="20"/>
    <w:qFormat/>
    <w:uiPriority w:val="0"/>
    <w:pPr>
      <w:spacing w:line="500" w:lineRule="exact"/>
      <w:ind w:firstLine="562" w:firstLineChars="200"/>
    </w:pPr>
    <w:rPr>
      <w:sz w:val="24"/>
    </w:rPr>
  </w:style>
  <w:style w:type="paragraph" w:customStyle="1" w:styleId="20">
    <w:name w:val="BodyText2"/>
    <w:basedOn w:val="1"/>
    <w:qFormat/>
    <w:uiPriority w:val="99"/>
    <w:pPr>
      <w:spacing w:before="60" w:after="60"/>
      <w:textAlignment w:val="baseline"/>
    </w:pPr>
    <w:rPr>
      <w:rFonts w:ascii="Arial" w:hAnsi="Arial" w:eastAsia="仿宋_GB2312"/>
      <w:spacing w:val="-5"/>
      <w:szCs w:val="20"/>
      <w:lang w:val="zh-CN" w:eastAsia="en-US"/>
    </w:rPr>
  </w:style>
  <w:style w:type="character" w:customStyle="1" w:styleId="21">
    <w:name w:val="NormalCharacter"/>
    <w:semiHidden/>
    <w:qFormat/>
    <w:uiPriority w:val="0"/>
    <w:rPr>
      <w:rFonts w:eastAsia="宋体"/>
      <w:kern w:val="2"/>
      <w:sz w:val="21"/>
      <w:szCs w:val="24"/>
      <w:lang w:val="en-US" w:eastAsia="zh-CN" w:bidi="ar-SA"/>
    </w:rPr>
  </w:style>
  <w:style w:type="paragraph" w:customStyle="1" w:styleId="22">
    <w:name w:val="UserStyle_2"/>
    <w:qFormat/>
    <w:uiPriority w:val="0"/>
    <w:pPr>
      <w:textAlignment w:val="baseline"/>
    </w:pPr>
    <w:rPr>
      <w:rFonts w:ascii="Times New Roman" w:hAnsi="Times New Roman" w:eastAsia="宋体" w:cs="Times New Roman"/>
      <w:color w:val="000000"/>
      <w:sz w:val="24"/>
      <w:szCs w:val="24"/>
      <w:lang w:val="en-US" w:eastAsia="zh-CN" w:bidi="ar-SA"/>
    </w:rPr>
  </w:style>
  <w:style w:type="paragraph" w:customStyle="1" w:styleId="23">
    <w:name w:val="标2"/>
    <w:basedOn w:val="5"/>
    <w:qFormat/>
    <w:uiPriority w:val="0"/>
    <w:pPr>
      <w:spacing w:line="240" w:lineRule="auto"/>
      <w:jc w:val="center"/>
    </w:pPr>
    <w:rPr>
      <w:rFonts w:ascii="楷体_GB2312" w:hAnsi="Calibri Light" w:eastAsia="楷体_GB2312"/>
      <w:b w:val="0"/>
      <w:bCs w:val="0"/>
    </w:rPr>
  </w:style>
  <w:style w:type="paragraph" w:customStyle="1" w:styleId="24">
    <w:name w:val="Char"/>
    <w:basedOn w:val="1"/>
    <w:qFormat/>
    <w:uiPriority w:val="0"/>
    <w:pPr>
      <w:widowControl/>
      <w:jc w:val="left"/>
    </w:pPr>
    <w:rPr>
      <w:rFonts w:ascii="宋体" w:hAnsi="宋体" w:cs="宋体"/>
      <w:kern w:val="0"/>
      <w:sz w:val="24"/>
    </w:rPr>
  </w:style>
  <w:style w:type="character" w:customStyle="1" w:styleId="25">
    <w:name w:val="批注框文本 Char"/>
    <w:basedOn w:val="15"/>
    <w:link w:val="8"/>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Administrator\AppData\Roaming\kingsoft\office6\templates\wps\zh_CN\&#19975;&#24030;&#24220;&#2115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Template>
  <Company>Mircosoft</Company>
  <Pages>36</Pages>
  <Words>2927</Words>
  <Characters>16684</Characters>
  <Lines>139</Lines>
  <Paragraphs>39</Paragraphs>
  <TotalTime>1</TotalTime>
  <ScaleCrop>false</ScaleCrop>
  <LinksUpToDate>false</LinksUpToDate>
  <CharactersWithSpaces>19572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2021-05-08T16:34:00Z</dcterms:created>
  <dc:creator>Administrator</dc:creator>
  <cp:lastModifiedBy>user</cp:lastModifiedBy>
  <cp:lastPrinted>2021-05-27T11:50:00Z</cp:lastPrinted>
  <dcterms:modified xsi:type="dcterms:W3CDTF">2022-03-02T17:28:57Z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453DB4CF38834F09823D047580257BED</vt:lpwstr>
  </property>
</Properties>
</file>