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E2EF5">
      <w:pPr>
        <w:pStyle w:val="28"/>
        <w:adjustRightInd w:val="0"/>
        <w:snapToGrid w:val="0"/>
        <w:spacing w:line="800" w:lineRule="exact"/>
        <w:ind w:firstLine="0" w:firstLineChars="0"/>
        <w:jc w:val="center"/>
        <w:rPr>
          <w:rFonts w:ascii="Times New Roman" w:hAnsi="Times New Roman" w:eastAsia="黑体"/>
          <w:b/>
          <w:spacing w:val="40"/>
          <w:sz w:val="48"/>
          <w:szCs w:val="28"/>
        </w:rPr>
      </w:pPr>
    </w:p>
    <w:p w14:paraId="09F15DC3">
      <w:pPr>
        <w:pStyle w:val="28"/>
        <w:adjustRightInd w:val="0"/>
        <w:snapToGrid w:val="0"/>
        <w:spacing w:line="800" w:lineRule="exact"/>
        <w:ind w:firstLine="0" w:firstLineChars="0"/>
        <w:jc w:val="center"/>
        <w:rPr>
          <w:rFonts w:hint="eastAsia" w:ascii="Times New Roman" w:hAnsi="Times New Roman" w:eastAsia="方正小标宋_GBK"/>
          <w:sz w:val="44"/>
          <w:szCs w:val="44"/>
        </w:rPr>
      </w:pPr>
      <w:r>
        <w:rPr>
          <w:rFonts w:hint="eastAsia" w:ascii="Times New Roman" w:hAnsi="Times New Roman" w:eastAsia="方正小标宋_GBK"/>
          <w:sz w:val="44"/>
          <w:szCs w:val="44"/>
        </w:rPr>
        <w:t>重庆市万州区能源发展规划</w:t>
      </w:r>
    </w:p>
    <w:p w14:paraId="7FDB2609">
      <w:pPr>
        <w:pStyle w:val="28"/>
        <w:adjustRightInd w:val="0"/>
        <w:snapToGrid w:val="0"/>
        <w:spacing w:line="800" w:lineRule="exact"/>
        <w:ind w:firstLine="0" w:firstLineChars="0"/>
        <w:jc w:val="center"/>
        <w:rPr>
          <w:rFonts w:ascii="Times New Roman" w:hAnsi="Times New Roman" w:eastAsia="方正小标宋_GBK"/>
          <w:sz w:val="44"/>
          <w:szCs w:val="44"/>
        </w:rPr>
      </w:pPr>
      <w:r>
        <w:rPr>
          <w:rFonts w:hint="eastAsia" w:ascii="Times New Roman" w:hAnsi="Times New Roman" w:eastAsia="方正小标宋_GBK"/>
          <w:sz w:val="44"/>
          <w:szCs w:val="44"/>
        </w:rPr>
        <w:t>（2021</w:t>
      </w:r>
      <w:r>
        <w:rPr>
          <w:rFonts w:hint="eastAsia" w:ascii="Times New Roman" w:hAnsi="Times New Roman" w:eastAsia="方正小标宋_GBK"/>
          <w:sz w:val="44"/>
          <w:szCs w:val="44"/>
          <w:lang w:eastAsia="zh-CN"/>
        </w:rPr>
        <w:t>—</w:t>
      </w:r>
      <w:r>
        <w:rPr>
          <w:rFonts w:hint="eastAsia" w:ascii="Times New Roman" w:hAnsi="Times New Roman" w:eastAsia="方正小标宋_GBK"/>
          <w:sz w:val="44"/>
          <w:szCs w:val="44"/>
        </w:rPr>
        <w:t>2035年）</w:t>
      </w:r>
    </w:p>
    <w:p w14:paraId="451DDE58">
      <w:pPr>
        <w:pStyle w:val="28"/>
        <w:adjustRightInd w:val="0"/>
        <w:snapToGrid w:val="0"/>
        <w:spacing w:line="800" w:lineRule="exact"/>
        <w:ind w:firstLine="0" w:firstLineChars="0"/>
        <w:jc w:val="center"/>
        <w:rPr>
          <w:rFonts w:ascii="Times New Roman" w:hAnsi="Times New Roman" w:eastAsia="方正小标宋_GBK"/>
          <w:sz w:val="44"/>
          <w:szCs w:val="28"/>
        </w:rPr>
      </w:pPr>
    </w:p>
    <w:p w14:paraId="27271C7D">
      <w:pPr>
        <w:pStyle w:val="28"/>
        <w:adjustRightInd w:val="0"/>
        <w:snapToGrid w:val="0"/>
        <w:spacing w:line="800" w:lineRule="exact"/>
        <w:ind w:firstLine="0" w:firstLineChars="0"/>
        <w:jc w:val="center"/>
        <w:rPr>
          <w:rFonts w:ascii="Times New Roman" w:hAnsi="Times New Roman" w:eastAsia="方正小标宋_GBK"/>
          <w:sz w:val="44"/>
          <w:szCs w:val="28"/>
        </w:rPr>
      </w:pPr>
    </w:p>
    <w:p w14:paraId="1693BD0E">
      <w:pPr>
        <w:pStyle w:val="28"/>
        <w:adjustRightInd w:val="0"/>
        <w:snapToGrid w:val="0"/>
        <w:spacing w:line="800" w:lineRule="exact"/>
        <w:ind w:firstLine="0" w:firstLineChars="0"/>
        <w:jc w:val="center"/>
        <w:rPr>
          <w:rFonts w:ascii="Times New Roman" w:hAnsi="Times New Roman" w:eastAsia="方正小标宋_GBK"/>
          <w:sz w:val="44"/>
          <w:szCs w:val="28"/>
        </w:rPr>
      </w:pPr>
    </w:p>
    <w:p w14:paraId="229CB010">
      <w:pPr>
        <w:pStyle w:val="28"/>
        <w:adjustRightInd w:val="0"/>
        <w:snapToGrid w:val="0"/>
        <w:spacing w:line="800" w:lineRule="exact"/>
        <w:ind w:firstLine="0" w:firstLineChars="0"/>
        <w:jc w:val="center"/>
        <w:rPr>
          <w:rFonts w:ascii="Times New Roman" w:hAnsi="Times New Roman" w:eastAsia="方正小标宋_GBK"/>
          <w:sz w:val="44"/>
          <w:szCs w:val="28"/>
        </w:rPr>
      </w:pPr>
    </w:p>
    <w:p w14:paraId="3728EA57">
      <w:pPr>
        <w:pStyle w:val="28"/>
        <w:adjustRightInd w:val="0"/>
        <w:snapToGrid w:val="0"/>
        <w:spacing w:line="800" w:lineRule="exact"/>
        <w:ind w:firstLine="0" w:firstLineChars="0"/>
        <w:jc w:val="center"/>
        <w:rPr>
          <w:rFonts w:ascii="Times New Roman" w:hAnsi="Times New Roman" w:eastAsia="方正小标宋_GBK"/>
          <w:sz w:val="44"/>
          <w:szCs w:val="28"/>
        </w:rPr>
      </w:pPr>
    </w:p>
    <w:p w14:paraId="05D4560D">
      <w:pPr>
        <w:pStyle w:val="28"/>
        <w:adjustRightInd w:val="0"/>
        <w:snapToGrid w:val="0"/>
        <w:spacing w:line="800" w:lineRule="exact"/>
        <w:ind w:firstLine="0" w:firstLineChars="0"/>
        <w:jc w:val="center"/>
        <w:rPr>
          <w:rFonts w:ascii="Times New Roman" w:hAnsi="Times New Roman" w:eastAsia="方正小标宋_GBK"/>
          <w:sz w:val="44"/>
          <w:szCs w:val="28"/>
        </w:rPr>
      </w:pPr>
    </w:p>
    <w:p w14:paraId="269A654B">
      <w:pPr>
        <w:pStyle w:val="28"/>
        <w:adjustRightInd w:val="0"/>
        <w:snapToGrid w:val="0"/>
        <w:spacing w:line="800" w:lineRule="exact"/>
        <w:ind w:firstLine="0" w:firstLineChars="0"/>
        <w:jc w:val="center"/>
        <w:rPr>
          <w:rFonts w:ascii="Times New Roman" w:hAnsi="Times New Roman" w:eastAsia="方正小标宋_GBK"/>
          <w:sz w:val="44"/>
          <w:szCs w:val="28"/>
        </w:rPr>
      </w:pPr>
    </w:p>
    <w:p w14:paraId="55885BE9">
      <w:pPr>
        <w:pStyle w:val="28"/>
        <w:adjustRightInd w:val="0"/>
        <w:snapToGrid w:val="0"/>
        <w:spacing w:line="600" w:lineRule="exact"/>
        <w:ind w:firstLine="0" w:firstLineChars="0"/>
        <w:jc w:val="center"/>
        <w:rPr>
          <w:rFonts w:ascii="Times New Roman" w:hAnsi="Times New Roman" w:eastAsia="方正仿宋_GBK"/>
          <w:b/>
          <w:sz w:val="32"/>
          <w:szCs w:val="28"/>
        </w:rPr>
      </w:pPr>
    </w:p>
    <w:p w14:paraId="5DACF680">
      <w:pPr>
        <w:pStyle w:val="28"/>
        <w:adjustRightInd w:val="0"/>
        <w:snapToGrid w:val="0"/>
        <w:spacing w:line="600" w:lineRule="exact"/>
        <w:ind w:firstLine="0" w:firstLineChars="0"/>
        <w:jc w:val="center"/>
        <w:rPr>
          <w:rFonts w:ascii="Times New Roman" w:hAnsi="Times New Roman" w:eastAsia="方正仿宋_GBK"/>
          <w:b/>
          <w:sz w:val="32"/>
          <w:szCs w:val="28"/>
        </w:rPr>
      </w:pPr>
    </w:p>
    <w:p w14:paraId="5BD99488">
      <w:pPr>
        <w:pStyle w:val="28"/>
        <w:adjustRightInd w:val="0"/>
        <w:snapToGrid w:val="0"/>
        <w:spacing w:line="600" w:lineRule="exact"/>
        <w:ind w:firstLine="0" w:firstLineChars="0"/>
        <w:jc w:val="center"/>
        <w:rPr>
          <w:rFonts w:ascii="Times New Roman" w:hAnsi="Times New Roman" w:eastAsia="方正仿宋_GBK"/>
          <w:b/>
          <w:sz w:val="32"/>
          <w:szCs w:val="28"/>
        </w:rPr>
      </w:pPr>
    </w:p>
    <w:p w14:paraId="6332E3F2">
      <w:pPr>
        <w:pStyle w:val="28"/>
        <w:adjustRightInd w:val="0"/>
        <w:snapToGrid w:val="0"/>
        <w:spacing w:line="600" w:lineRule="exact"/>
        <w:ind w:firstLine="0" w:firstLineChars="0"/>
        <w:jc w:val="center"/>
        <w:rPr>
          <w:rFonts w:ascii="Times New Roman" w:hAnsi="Times New Roman" w:eastAsia="方正仿宋_GBK"/>
          <w:b/>
          <w:sz w:val="32"/>
          <w:szCs w:val="28"/>
        </w:rPr>
      </w:pPr>
    </w:p>
    <w:p w14:paraId="797AC3D1">
      <w:pPr>
        <w:pStyle w:val="28"/>
        <w:adjustRightInd w:val="0"/>
        <w:snapToGrid w:val="0"/>
        <w:spacing w:line="600" w:lineRule="exact"/>
        <w:ind w:firstLine="0" w:firstLineChars="0"/>
        <w:jc w:val="center"/>
        <w:rPr>
          <w:rFonts w:ascii="Times New Roman" w:hAnsi="Times New Roman" w:eastAsia="方正仿宋_GBK"/>
          <w:b/>
          <w:sz w:val="32"/>
          <w:szCs w:val="28"/>
        </w:rPr>
      </w:pPr>
    </w:p>
    <w:p w14:paraId="4DC18EAB">
      <w:pPr>
        <w:pStyle w:val="98"/>
        <w:spacing w:before="156" w:beforeLines="50" w:line="360" w:lineRule="auto"/>
        <w:ind w:firstLine="0" w:firstLineChars="0"/>
        <w:jc w:val="center"/>
        <w:rPr>
          <w:rFonts w:ascii="Times New Roman" w:hAnsi="Times New Roman" w:eastAsia="黑体" w:cs="Times New Roman"/>
          <w:kern w:val="0"/>
          <w:sz w:val="30"/>
          <w:szCs w:val="30"/>
        </w:rPr>
      </w:pPr>
    </w:p>
    <w:p w14:paraId="0EE07CB1">
      <w:pPr>
        <w:pStyle w:val="98"/>
        <w:spacing w:before="156" w:beforeLines="50" w:line="360" w:lineRule="auto"/>
        <w:ind w:firstLine="0" w:firstLineChars="0"/>
        <w:jc w:val="center"/>
        <w:rPr>
          <w:rFonts w:ascii="Times New Roman" w:hAnsi="Times New Roman" w:eastAsia="黑体" w:cs="Times New Roman"/>
          <w:kern w:val="0"/>
          <w:sz w:val="30"/>
          <w:szCs w:val="30"/>
        </w:rPr>
      </w:pPr>
      <w:r>
        <w:rPr>
          <w:rFonts w:ascii="Times New Roman" w:hAnsi="Times New Roman" w:eastAsia="黑体" w:cs="Times New Roman"/>
          <w:kern w:val="0"/>
          <w:sz w:val="30"/>
          <w:szCs w:val="30"/>
        </w:rPr>
        <w:t>202</w:t>
      </w:r>
      <w:r>
        <w:rPr>
          <w:rFonts w:hint="eastAsia" w:ascii="Times New Roman" w:hAnsi="Times New Roman" w:eastAsia="黑体" w:cs="Times New Roman"/>
          <w:kern w:val="0"/>
          <w:sz w:val="30"/>
          <w:szCs w:val="30"/>
          <w:lang w:val="en-US" w:eastAsia="zh-CN"/>
        </w:rPr>
        <w:t>4</w:t>
      </w:r>
      <w:r>
        <w:rPr>
          <w:rFonts w:ascii="Times New Roman" w:hAnsi="Times New Roman" w:eastAsia="黑体" w:cs="Times New Roman"/>
          <w:kern w:val="0"/>
          <w:sz w:val="30"/>
          <w:szCs w:val="30"/>
        </w:rPr>
        <w:t>年</w:t>
      </w:r>
      <w:r>
        <w:rPr>
          <w:rFonts w:hint="eastAsia" w:ascii="Times New Roman" w:hAnsi="Times New Roman" w:eastAsia="黑体" w:cs="Times New Roman"/>
          <w:kern w:val="0"/>
          <w:sz w:val="30"/>
          <w:szCs w:val="30"/>
        </w:rPr>
        <w:t>1</w:t>
      </w:r>
      <w:r>
        <w:rPr>
          <w:rFonts w:ascii="Times New Roman" w:hAnsi="Times New Roman" w:eastAsia="黑体" w:cs="Times New Roman"/>
          <w:kern w:val="0"/>
          <w:sz w:val="30"/>
          <w:szCs w:val="30"/>
        </w:rPr>
        <w:t>月</w:t>
      </w:r>
    </w:p>
    <w:p w14:paraId="7B68CB87">
      <w:pPr>
        <w:pStyle w:val="98"/>
        <w:spacing w:before="156" w:beforeLines="50" w:line="360" w:lineRule="auto"/>
        <w:ind w:firstLine="0" w:firstLineChars="0"/>
        <w:jc w:val="center"/>
        <w:rPr>
          <w:rFonts w:ascii="Times New Roman" w:hAnsi="Times New Roman" w:eastAsia="黑体"/>
          <w:kern w:val="0"/>
          <w:sz w:val="30"/>
          <w:szCs w:val="30"/>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p>
    <w:p w14:paraId="5916D2B2">
      <w:pPr>
        <w:spacing w:after="156" w:afterLines="50"/>
        <w:jc w:val="center"/>
        <w:rPr>
          <w:rFonts w:ascii="Times New Roman" w:hAnsi="Times New Roman" w:eastAsia="黑体"/>
          <w:b/>
          <w:sz w:val="36"/>
          <w:szCs w:val="36"/>
        </w:rPr>
      </w:pPr>
      <w:r>
        <w:rPr>
          <w:rFonts w:ascii="Times New Roman" w:hAnsi="Times New Roman" w:eastAsia="黑体"/>
          <w:b/>
          <w:sz w:val="36"/>
          <w:szCs w:val="36"/>
        </w:rPr>
        <w:t>目</w:t>
      </w:r>
      <w:r>
        <w:rPr>
          <w:rFonts w:hint="eastAsia" w:ascii="Times New Roman" w:hAnsi="Times New Roman" w:eastAsia="黑体"/>
          <w:b/>
          <w:sz w:val="36"/>
          <w:szCs w:val="36"/>
        </w:rPr>
        <w:t xml:space="preserve">  </w:t>
      </w:r>
      <w:r>
        <w:rPr>
          <w:rFonts w:ascii="Times New Roman" w:hAnsi="Times New Roman" w:eastAsia="黑体"/>
          <w:b/>
          <w:sz w:val="36"/>
          <w:szCs w:val="36"/>
        </w:rPr>
        <w:t>录</w:t>
      </w:r>
    </w:p>
    <w:p w14:paraId="5DC0239B">
      <w:pPr>
        <w:pStyle w:val="12"/>
        <w:spacing w:line="640" w:lineRule="exact"/>
        <w:rPr>
          <w:rFonts w:ascii="Times New Roman"/>
          <w:b w:val="0"/>
          <w:kern w:val="2"/>
        </w:rPr>
      </w:pPr>
      <w:r>
        <w:rPr>
          <w:rFonts w:ascii="Times New Roman"/>
        </w:rPr>
        <w:fldChar w:fldCharType="begin"/>
      </w:r>
      <w:r>
        <w:rPr>
          <w:rFonts w:ascii="Times New Roman"/>
        </w:rPr>
        <w:instrText xml:space="preserve"> TOC \o "1-2" \h \z \u </w:instrText>
      </w:r>
      <w:r>
        <w:rPr>
          <w:rFonts w:ascii="Times New Roman"/>
        </w:rPr>
        <w:fldChar w:fldCharType="separate"/>
      </w:r>
      <w:r>
        <w:fldChar w:fldCharType="begin"/>
      </w:r>
      <w:r>
        <w:instrText xml:space="preserve"> HYPERLINK \l "_Toc123655019" </w:instrText>
      </w:r>
      <w:r>
        <w:fldChar w:fldCharType="separate"/>
      </w:r>
      <w:r>
        <w:rPr>
          <w:rStyle w:val="21"/>
          <w:rFonts w:ascii="Times New Roman"/>
        </w:rPr>
        <w:t>前 言</w:t>
      </w:r>
      <w:r>
        <w:rPr>
          <w:rFonts w:ascii="Times New Roman"/>
        </w:rPr>
        <w:tab/>
      </w:r>
      <w:r>
        <w:rPr>
          <w:rFonts w:ascii="Times New Roman"/>
        </w:rPr>
        <w:fldChar w:fldCharType="begin"/>
      </w:r>
      <w:r>
        <w:rPr>
          <w:rFonts w:ascii="Times New Roman"/>
        </w:rPr>
        <w:instrText xml:space="preserve"> PAGEREF _Toc123655019 \h </w:instrText>
      </w:r>
      <w:r>
        <w:rPr>
          <w:rFonts w:ascii="Times New Roman"/>
        </w:rPr>
        <w:fldChar w:fldCharType="separate"/>
      </w:r>
      <w:r>
        <w:rPr>
          <w:rFonts w:ascii="Times New Roman"/>
        </w:rPr>
        <w:t>1</w:t>
      </w:r>
      <w:r>
        <w:rPr>
          <w:rFonts w:ascii="Times New Roman"/>
        </w:rPr>
        <w:fldChar w:fldCharType="end"/>
      </w:r>
      <w:r>
        <w:rPr>
          <w:rFonts w:ascii="Times New Roman"/>
        </w:rPr>
        <w:fldChar w:fldCharType="end"/>
      </w:r>
    </w:p>
    <w:p w14:paraId="77BF485E">
      <w:pPr>
        <w:pStyle w:val="12"/>
        <w:spacing w:line="640" w:lineRule="exact"/>
        <w:rPr>
          <w:rFonts w:ascii="Times New Roman"/>
          <w:b w:val="0"/>
          <w:kern w:val="2"/>
        </w:rPr>
      </w:pPr>
      <w:r>
        <w:fldChar w:fldCharType="begin"/>
      </w:r>
      <w:r>
        <w:instrText xml:space="preserve"> HYPERLINK \l "_Toc123655020" </w:instrText>
      </w:r>
      <w:r>
        <w:fldChar w:fldCharType="separate"/>
      </w:r>
      <w:r>
        <w:rPr>
          <w:rStyle w:val="21"/>
          <w:rFonts w:ascii="Times New Roman"/>
        </w:rPr>
        <w:t>第一章 规划背景</w:t>
      </w:r>
      <w:r>
        <w:rPr>
          <w:rFonts w:ascii="Times New Roman"/>
        </w:rPr>
        <w:tab/>
      </w:r>
      <w:r>
        <w:rPr>
          <w:rFonts w:ascii="Times New Roman"/>
        </w:rPr>
        <w:fldChar w:fldCharType="begin"/>
      </w:r>
      <w:r>
        <w:rPr>
          <w:rFonts w:ascii="Times New Roman"/>
        </w:rPr>
        <w:instrText xml:space="preserve"> PAGEREF _Toc123655020 \h </w:instrText>
      </w:r>
      <w:r>
        <w:rPr>
          <w:rFonts w:ascii="Times New Roman"/>
        </w:rPr>
        <w:fldChar w:fldCharType="separate"/>
      </w:r>
      <w:r>
        <w:rPr>
          <w:rFonts w:ascii="Times New Roman"/>
        </w:rPr>
        <w:t>2</w:t>
      </w:r>
      <w:r>
        <w:rPr>
          <w:rFonts w:ascii="Times New Roman"/>
        </w:rPr>
        <w:fldChar w:fldCharType="end"/>
      </w:r>
      <w:r>
        <w:rPr>
          <w:rFonts w:ascii="Times New Roman"/>
        </w:rPr>
        <w:fldChar w:fldCharType="end"/>
      </w:r>
    </w:p>
    <w:p w14:paraId="55146F6E">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"_Toc123655021" </w:instrText>
      </w:r>
      <w:r>
        <w:fldChar w:fldCharType="separate"/>
      </w:r>
      <w:r>
        <w:rPr>
          <w:rStyle w:val="21"/>
          <w:rFonts w:ascii="Times New Roman" w:hAnsi="Times New Roman" w:eastAsia="方正仿宋_GBK"/>
          <w:sz w:val="32"/>
          <w:szCs w:val="32"/>
        </w:rPr>
        <w:t>第一节 发展基础</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3491C07A">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"_Toc123655022" </w:instrText>
      </w:r>
      <w:r>
        <w:fldChar w:fldCharType="separate"/>
      </w:r>
      <w:r>
        <w:rPr>
          <w:rStyle w:val="21"/>
          <w:rFonts w:ascii="Times New Roman" w:hAnsi="Times New Roman" w:eastAsia="方正仿宋_GBK"/>
          <w:sz w:val="32"/>
          <w:szCs w:val="32"/>
        </w:rPr>
        <w:t>第二节 需求预测</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4</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C8CF552">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"_Toc123655023" </w:instrText>
      </w:r>
      <w:r>
        <w:fldChar w:fldCharType="separate"/>
      </w:r>
      <w:r>
        <w:rPr>
          <w:rStyle w:val="21"/>
          <w:rFonts w:ascii="Times New Roman" w:hAnsi="Times New Roman" w:eastAsia="方正仿宋_GBK"/>
          <w:sz w:val="32"/>
          <w:szCs w:val="32"/>
        </w:rPr>
        <w:t>第三节 面临形势</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5</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41C31F45">
      <w:pPr>
        <w:pStyle w:val="12"/>
        <w:spacing w:line="640" w:lineRule="exact"/>
        <w:rPr>
          <w:rFonts w:ascii="Times New Roman"/>
          <w:b w:val="0"/>
          <w:kern w:val="2"/>
        </w:rPr>
      </w:pPr>
      <w:r>
        <w:fldChar w:fldCharType="begin"/>
      </w:r>
      <w:r>
        <w:instrText xml:space="preserve"> HYPERLINK \l "_Toc123655024" </w:instrText>
      </w:r>
      <w:r>
        <w:fldChar w:fldCharType="separate"/>
      </w:r>
      <w:r>
        <w:rPr>
          <w:rStyle w:val="21"/>
          <w:rFonts w:ascii="Times New Roman"/>
        </w:rPr>
        <w:t>第二章 总体要求</w:t>
      </w:r>
      <w:r>
        <w:rPr>
          <w:rFonts w:ascii="Times New Roman"/>
        </w:rPr>
        <w:tab/>
      </w:r>
      <w:r>
        <w:rPr>
          <w:rFonts w:ascii="Times New Roman"/>
        </w:rPr>
        <w:fldChar w:fldCharType="begin"/>
      </w:r>
      <w:r>
        <w:rPr>
          <w:rFonts w:ascii="Times New Roman"/>
        </w:rPr>
        <w:instrText xml:space="preserve"> PAGEREF _Toc123655024 \h </w:instrText>
      </w:r>
      <w:r>
        <w:rPr>
          <w:rFonts w:ascii="Times New Roman"/>
        </w:rPr>
        <w:fldChar w:fldCharType="separate"/>
      </w:r>
      <w:r>
        <w:rPr>
          <w:rFonts w:ascii="Times New Roman"/>
        </w:rPr>
        <w:t>8</w:t>
      </w:r>
      <w:r>
        <w:rPr>
          <w:rFonts w:ascii="Times New Roman"/>
        </w:rPr>
        <w:fldChar w:fldCharType="end"/>
      </w:r>
      <w:r>
        <w:rPr>
          <w:rFonts w:ascii="Times New Roman"/>
        </w:rPr>
        <w:fldChar w:fldCharType="end"/>
      </w:r>
    </w:p>
    <w:p w14:paraId="76850B1C">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"_Toc123655025" </w:instrText>
      </w:r>
      <w:r>
        <w:fldChar w:fldCharType="separate"/>
      </w:r>
      <w:r>
        <w:rPr>
          <w:rStyle w:val="21"/>
          <w:rFonts w:ascii="Times New Roman" w:hAnsi="Times New Roman" w:eastAsia="方正仿宋_GBK"/>
          <w:sz w:val="32"/>
          <w:szCs w:val="32"/>
        </w:rPr>
        <w:t>第一节 指导思想</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CD75731">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"_Toc123655026" </w:instrText>
      </w:r>
      <w:r>
        <w:fldChar w:fldCharType="separate"/>
      </w:r>
      <w:r>
        <w:rPr>
          <w:rStyle w:val="21"/>
          <w:rFonts w:ascii="Times New Roman" w:hAnsi="Times New Roman" w:eastAsia="方正仿宋_GBK"/>
          <w:sz w:val="32"/>
          <w:szCs w:val="32"/>
        </w:rPr>
        <w:t>第二节 基本原则</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148FBA7C">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"_Toc123655027" </w:instrText>
      </w:r>
      <w:r>
        <w:fldChar w:fldCharType="separate"/>
      </w:r>
      <w:r>
        <w:rPr>
          <w:rStyle w:val="21"/>
          <w:rFonts w:ascii="Times New Roman" w:hAnsi="Times New Roman" w:eastAsia="方正仿宋_GBK"/>
          <w:sz w:val="32"/>
          <w:szCs w:val="32"/>
        </w:rPr>
        <w:t>第三节 发展目标</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8FC104C">
      <w:pPr>
        <w:pStyle w:val="12"/>
        <w:spacing w:line="640" w:lineRule="exact"/>
        <w:rPr>
          <w:rFonts w:ascii="Times New Roman"/>
          <w:b w:val="0"/>
          <w:kern w:val="2"/>
        </w:rPr>
      </w:pPr>
      <w:r>
        <w:fldChar w:fldCharType="begin"/>
      </w:r>
      <w:r>
        <w:instrText xml:space="preserve"> HYPERLINK \l "_Toc123655028" </w:instrText>
      </w:r>
      <w:r>
        <w:fldChar w:fldCharType="separate"/>
      </w:r>
      <w:r>
        <w:rPr>
          <w:rStyle w:val="21"/>
          <w:rFonts w:ascii="Times New Roman"/>
        </w:rPr>
        <w:t>第三章 构建多元安全的能源供给体系</w:t>
      </w:r>
      <w:r>
        <w:rPr>
          <w:rFonts w:ascii="Times New Roman"/>
        </w:rPr>
        <w:tab/>
      </w:r>
      <w:r>
        <w:rPr>
          <w:rFonts w:ascii="Times New Roman"/>
        </w:rPr>
        <w:fldChar w:fldCharType="begin"/>
      </w:r>
      <w:r>
        <w:rPr>
          <w:rFonts w:ascii="Times New Roman"/>
        </w:rPr>
        <w:instrText xml:space="preserve"> PAGEREF _Toc123655028 \h </w:instrText>
      </w:r>
      <w:r>
        <w:rPr>
          <w:rFonts w:ascii="Times New Roman"/>
        </w:rPr>
        <w:fldChar w:fldCharType="separate"/>
      </w:r>
      <w:r>
        <w:rPr>
          <w:rFonts w:ascii="Times New Roman"/>
        </w:rPr>
        <w:t>11</w:t>
      </w:r>
      <w:r>
        <w:rPr>
          <w:rFonts w:ascii="Times New Roman"/>
        </w:rPr>
        <w:fldChar w:fldCharType="end"/>
      </w:r>
      <w:r>
        <w:rPr>
          <w:rFonts w:ascii="Times New Roman"/>
        </w:rPr>
        <w:fldChar w:fldCharType="end"/>
      </w:r>
    </w:p>
    <w:p w14:paraId="44BCD1E1">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"_Toc123655029" </w:instrText>
      </w:r>
      <w:r>
        <w:fldChar w:fldCharType="separate"/>
      </w:r>
      <w:r>
        <w:rPr>
          <w:rStyle w:val="21"/>
          <w:rFonts w:ascii="Times New Roman" w:hAnsi="Times New Roman" w:eastAsia="方正仿宋_GBK"/>
          <w:sz w:val="32"/>
          <w:szCs w:val="32"/>
        </w:rPr>
        <w:t>第一节 强化天然气供应保障</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_Toc123655029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11</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7285B93A">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"_Toc123655030" </w:instrText>
      </w:r>
      <w:r>
        <w:fldChar w:fldCharType="separate"/>
      </w:r>
      <w:r>
        <w:rPr>
          <w:rStyle w:val="21"/>
          <w:rFonts w:ascii="Times New Roman" w:hAnsi="Times New Roman" w:eastAsia="方正仿宋_GBK"/>
          <w:sz w:val="32"/>
          <w:szCs w:val="32"/>
        </w:rPr>
        <w:t>第二节 强化成品油供应保障</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13</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2E78FD0">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"_Toc123655031" </w:instrText>
      </w:r>
      <w:r>
        <w:fldChar w:fldCharType="separate"/>
      </w:r>
      <w:r>
        <w:rPr>
          <w:rStyle w:val="21"/>
          <w:rFonts w:ascii="Times New Roman" w:hAnsi="Times New Roman" w:eastAsia="方正仿宋_GBK"/>
          <w:sz w:val="32"/>
          <w:szCs w:val="32"/>
        </w:rPr>
        <w:t>第三节 强化电力供应保障</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13</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25A881A">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"_Toc123655032" </w:instrText>
      </w:r>
      <w:r>
        <w:fldChar w:fldCharType="separate"/>
      </w:r>
      <w:r>
        <w:rPr>
          <w:rStyle w:val="21"/>
          <w:rFonts w:ascii="Times New Roman" w:hAnsi="Times New Roman" w:eastAsia="方正仿宋_GBK"/>
          <w:sz w:val="32"/>
          <w:szCs w:val="32"/>
        </w:rPr>
        <w:t>第四节 强化煤炭供应保障</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16</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8B67120">
      <w:pPr>
        <w:pStyle w:val="12"/>
        <w:spacing w:line="640" w:lineRule="exact"/>
        <w:rPr>
          <w:rFonts w:ascii="Times New Roman"/>
          <w:b w:val="0"/>
          <w:kern w:val="2"/>
        </w:rPr>
      </w:pPr>
      <w:r>
        <w:fldChar w:fldCharType="begin"/>
      </w:r>
      <w:r>
        <w:instrText xml:space="preserve"> HYPERLINK \l "_Toc123655033" </w:instrText>
      </w:r>
      <w:r>
        <w:fldChar w:fldCharType="separate"/>
      </w:r>
      <w:r>
        <w:rPr>
          <w:rStyle w:val="21"/>
          <w:rFonts w:ascii="Times New Roman"/>
        </w:rPr>
        <w:t>第四章 构建清洁低碳的能源产业体系</w:t>
      </w:r>
      <w:r>
        <w:rPr>
          <w:rFonts w:ascii="Times New Roman"/>
        </w:rPr>
        <w:tab/>
      </w:r>
      <w:r>
        <w:rPr>
          <w:rFonts w:ascii="Times New Roman"/>
        </w:rPr>
        <w:fldChar w:fldCharType="begin"/>
      </w:r>
      <w:r>
        <w:rPr>
          <w:rFonts w:ascii="Times New Roman"/>
        </w:rPr>
        <w:instrText xml:space="preserve"> PAGEREF _Toc123655033 \h </w:instrText>
      </w:r>
      <w:r>
        <w:rPr>
          <w:rFonts w:ascii="Times New Roman"/>
        </w:rPr>
        <w:fldChar w:fldCharType="separate"/>
      </w:r>
      <w:r>
        <w:rPr>
          <w:rFonts w:ascii="Times New Roman"/>
        </w:rPr>
        <w:t>17</w:t>
      </w:r>
      <w:r>
        <w:rPr>
          <w:rFonts w:ascii="Times New Roman"/>
        </w:rPr>
        <w:fldChar w:fldCharType="end"/>
      </w:r>
      <w:r>
        <w:rPr>
          <w:rFonts w:ascii="Times New Roman"/>
        </w:rPr>
        <w:fldChar w:fldCharType="end"/>
      </w:r>
    </w:p>
    <w:p w14:paraId="43D39F38">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"_Toc123655034" </w:instrText>
      </w:r>
      <w:r>
        <w:fldChar w:fldCharType="separate"/>
      </w:r>
      <w:r>
        <w:rPr>
          <w:rStyle w:val="21"/>
          <w:rFonts w:ascii="Times New Roman" w:hAnsi="Times New Roman" w:eastAsia="方正仿宋_GBK"/>
          <w:sz w:val="32"/>
          <w:szCs w:val="32"/>
        </w:rPr>
        <w:t>第一节 有序发展原料用能产业</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_Toc123655034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17</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827AB5A">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"_Toc123655035" </w:instrText>
      </w:r>
      <w:r>
        <w:fldChar w:fldCharType="separate"/>
      </w:r>
      <w:r>
        <w:rPr>
          <w:rStyle w:val="21"/>
          <w:rFonts w:ascii="Times New Roman" w:hAnsi="Times New Roman" w:eastAsia="方正仿宋_GBK"/>
          <w:sz w:val="32"/>
          <w:szCs w:val="32"/>
        </w:rPr>
        <w:t>第二节 积极发展能源装备产业</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17</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CD84C46">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"_Toc123655036" </w:instrText>
      </w:r>
      <w:r>
        <w:fldChar w:fldCharType="separate"/>
      </w:r>
      <w:r>
        <w:rPr>
          <w:rStyle w:val="21"/>
          <w:rFonts w:ascii="Times New Roman" w:hAnsi="Times New Roman" w:eastAsia="方正仿宋_GBK"/>
          <w:sz w:val="32"/>
          <w:szCs w:val="32"/>
        </w:rPr>
        <w:t>第三节 着力发展智慧能源产业</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18</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7781753C">
      <w:pPr>
        <w:pStyle w:val="12"/>
        <w:spacing w:line="640" w:lineRule="exact"/>
        <w:rPr>
          <w:rFonts w:ascii="Times New Roman"/>
          <w:b w:val="0"/>
          <w:kern w:val="2"/>
        </w:rPr>
      </w:pPr>
      <w:r>
        <w:fldChar w:fldCharType="begin"/>
      </w:r>
      <w:r>
        <w:instrText xml:space="preserve"> HYPERLINK \l "_Toc123655037" </w:instrText>
      </w:r>
      <w:r>
        <w:fldChar w:fldCharType="separate"/>
      </w:r>
      <w:r>
        <w:rPr>
          <w:rStyle w:val="21"/>
          <w:rFonts w:ascii="Times New Roman"/>
        </w:rPr>
        <w:t>第五章 推动能源结构绿色低碳转型</w:t>
      </w:r>
      <w:r>
        <w:rPr>
          <w:rFonts w:ascii="Times New Roman"/>
        </w:rPr>
        <w:tab/>
      </w:r>
      <w:r>
        <w:rPr>
          <w:rFonts w:ascii="Times New Roman"/>
        </w:rPr>
        <w:fldChar w:fldCharType="begin"/>
      </w:r>
      <w:r>
        <w:rPr>
          <w:rFonts w:ascii="Times New Roman"/>
        </w:rPr>
        <w:instrText xml:space="preserve"> PAGEREF _Toc123655037 \h </w:instrText>
      </w:r>
      <w:r>
        <w:rPr>
          <w:rFonts w:ascii="Times New Roman"/>
        </w:rPr>
        <w:fldChar w:fldCharType="separate"/>
      </w:r>
      <w:r>
        <w:rPr>
          <w:rFonts w:ascii="Times New Roman"/>
        </w:rPr>
        <w:t>19</w:t>
      </w:r>
      <w:r>
        <w:rPr>
          <w:rFonts w:ascii="Times New Roman"/>
        </w:rPr>
        <w:fldChar w:fldCharType="end"/>
      </w:r>
      <w:r>
        <w:rPr>
          <w:rFonts w:ascii="Times New Roman"/>
        </w:rPr>
        <w:fldChar w:fldCharType="end"/>
      </w:r>
    </w:p>
    <w:p w14:paraId="209136FB">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"_Toc123655038" </w:instrText>
      </w:r>
      <w:r>
        <w:fldChar w:fldCharType="separate"/>
      </w:r>
      <w:r>
        <w:rPr>
          <w:rStyle w:val="21"/>
          <w:rFonts w:ascii="Times New Roman" w:hAnsi="Times New Roman" w:eastAsia="方正仿宋_GBK"/>
          <w:sz w:val="32"/>
          <w:szCs w:val="32"/>
        </w:rPr>
        <w:t>第一节 积极稳妥推进煤炭消费减量替代</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19</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1856C4F4">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"_Toc123655039" </w:instrText>
      </w:r>
      <w:r>
        <w:fldChar w:fldCharType="separate"/>
      </w:r>
      <w:r>
        <w:rPr>
          <w:rStyle w:val="21"/>
          <w:rFonts w:ascii="Times New Roman" w:hAnsi="Times New Roman" w:eastAsia="方正仿宋_GBK"/>
          <w:sz w:val="32"/>
          <w:szCs w:val="32"/>
        </w:rPr>
        <w:t>第二节 促进重点行业能源消费结构调整</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_Toc123655039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19</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33C044F2">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"_Toc123655040" </w:instrText>
      </w:r>
      <w:r>
        <w:fldChar w:fldCharType="separate"/>
      </w:r>
      <w:r>
        <w:rPr>
          <w:rStyle w:val="21"/>
          <w:rFonts w:ascii="Times New Roman" w:hAnsi="Times New Roman" w:eastAsia="方正仿宋_GBK"/>
          <w:sz w:val="32"/>
          <w:szCs w:val="32"/>
        </w:rPr>
        <w:t>第三节 加快推动终端用能方式转型升级</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20</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23771BC3">
      <w:pPr>
        <w:pStyle w:val="12"/>
        <w:spacing w:line="640" w:lineRule="exact"/>
        <w:rPr>
          <w:rFonts w:ascii="Times New Roman"/>
          <w:b w:val="0"/>
          <w:kern w:val="2"/>
        </w:rPr>
      </w:pPr>
      <w:r>
        <w:fldChar w:fldCharType="begin"/>
      </w:r>
      <w:r>
        <w:instrText xml:space="preserve"> HYPERLINK \l "_Toc123655041" </w:instrText>
      </w:r>
      <w:r>
        <w:fldChar w:fldCharType="separate"/>
      </w:r>
      <w:r>
        <w:rPr>
          <w:rStyle w:val="21"/>
          <w:rFonts w:ascii="Times New Roman"/>
        </w:rPr>
        <w:t>第六章 建立健全现代能源治理体系</w:t>
      </w:r>
      <w:r>
        <w:rPr>
          <w:rFonts w:ascii="Times New Roman"/>
        </w:rPr>
        <w:tab/>
      </w:r>
      <w:r>
        <w:rPr>
          <w:rFonts w:ascii="Times New Roman"/>
        </w:rPr>
        <w:fldChar w:fldCharType="begin"/>
      </w:r>
      <w:r>
        <w:rPr>
          <w:rFonts w:ascii="Times New Roman"/>
        </w:rPr>
        <w:instrText xml:space="preserve"> PAGEREF _Toc123655041 \h </w:instrText>
      </w:r>
      <w:r>
        <w:rPr>
          <w:rFonts w:ascii="Times New Roman"/>
        </w:rPr>
        <w:fldChar w:fldCharType="separate"/>
      </w:r>
      <w:r>
        <w:rPr>
          <w:rFonts w:ascii="Times New Roman"/>
        </w:rPr>
        <w:t>21</w:t>
      </w:r>
      <w:r>
        <w:rPr>
          <w:rFonts w:ascii="Times New Roman"/>
        </w:rPr>
        <w:fldChar w:fldCharType="end"/>
      </w:r>
      <w:r>
        <w:rPr>
          <w:rFonts w:ascii="Times New Roman"/>
        </w:rPr>
        <w:fldChar w:fldCharType="end"/>
      </w:r>
    </w:p>
    <w:p w14:paraId="6B89875E">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"_Toc123655042" </w:instrText>
      </w:r>
      <w:r>
        <w:fldChar w:fldCharType="separate"/>
      </w:r>
      <w:r>
        <w:rPr>
          <w:rStyle w:val="21"/>
          <w:rFonts w:ascii="Times New Roman" w:hAnsi="Times New Roman" w:eastAsia="方正仿宋_GBK"/>
          <w:sz w:val="32"/>
          <w:szCs w:val="32"/>
        </w:rPr>
        <w:t>第一节 配合推进电力体制改革</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21</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5B2E9E44">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"_Toc123655043" </w:instrText>
      </w:r>
      <w:r>
        <w:fldChar w:fldCharType="separate"/>
      </w:r>
      <w:r>
        <w:rPr>
          <w:rStyle w:val="21"/>
          <w:rFonts w:ascii="Times New Roman" w:hAnsi="Times New Roman" w:eastAsia="方正仿宋_GBK"/>
          <w:sz w:val="32"/>
          <w:szCs w:val="32"/>
        </w:rPr>
        <w:t>第二节 优化完善燃气体制改革</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22</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66B4E1D8">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"_Toc123655044" </w:instrText>
      </w:r>
      <w:r>
        <w:fldChar w:fldCharType="separate"/>
      </w:r>
      <w:r>
        <w:rPr>
          <w:rStyle w:val="21"/>
          <w:rFonts w:ascii="Times New Roman" w:hAnsi="Times New Roman" w:eastAsia="方正仿宋_GBK"/>
          <w:sz w:val="32"/>
          <w:szCs w:val="32"/>
        </w:rPr>
        <w:t>第三节 提升能源管理信息化水平</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_Toc123655044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22</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6B13B0C">
      <w:pPr>
        <w:pStyle w:val="12"/>
        <w:spacing w:line="640" w:lineRule="exact"/>
        <w:rPr>
          <w:rFonts w:ascii="Times New Roman"/>
          <w:b w:val="0"/>
          <w:kern w:val="2"/>
        </w:rPr>
      </w:pPr>
      <w:r>
        <w:fldChar w:fldCharType="begin"/>
      </w:r>
      <w:r>
        <w:instrText xml:space="preserve"> HYPERLINK \l "_Toc123655045" </w:instrText>
      </w:r>
      <w:r>
        <w:fldChar w:fldCharType="separate"/>
      </w:r>
      <w:r>
        <w:rPr>
          <w:rStyle w:val="21"/>
          <w:rFonts w:ascii="Times New Roman"/>
        </w:rPr>
        <w:t>第七章 保障措施</w:t>
      </w:r>
      <w:r>
        <w:rPr>
          <w:rFonts w:ascii="Times New Roman"/>
        </w:rPr>
        <w:tab/>
      </w:r>
      <w:r>
        <w:rPr>
          <w:rFonts w:ascii="Times New Roman"/>
        </w:rPr>
        <w:fldChar w:fldCharType="begin"/>
      </w:r>
      <w:r>
        <w:rPr>
          <w:rFonts w:ascii="Times New Roman"/>
        </w:rPr>
        <w:instrText xml:space="preserve"> PAGEREF _Toc123655045 \h </w:instrText>
      </w:r>
      <w:r>
        <w:rPr>
          <w:rFonts w:ascii="Times New Roman"/>
        </w:rPr>
        <w:fldChar w:fldCharType="separate"/>
      </w:r>
      <w:r>
        <w:rPr>
          <w:rFonts w:ascii="Times New Roman"/>
        </w:rPr>
        <w:t>23</w:t>
      </w:r>
      <w:r>
        <w:rPr>
          <w:rFonts w:ascii="Times New Roman"/>
        </w:rPr>
        <w:fldChar w:fldCharType="end"/>
      </w:r>
      <w:r>
        <w:rPr>
          <w:rFonts w:ascii="Times New Roman"/>
        </w:rPr>
        <w:fldChar w:fldCharType="end"/>
      </w:r>
    </w:p>
    <w:p w14:paraId="09581A1E">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"_Toc123655046" </w:instrText>
      </w:r>
      <w:r>
        <w:fldChar w:fldCharType="separate"/>
      </w:r>
      <w:r>
        <w:rPr>
          <w:rStyle w:val="21"/>
          <w:rFonts w:ascii="Times New Roman" w:hAnsi="Times New Roman" w:eastAsia="方正仿宋_GBK"/>
          <w:sz w:val="32"/>
          <w:szCs w:val="32"/>
        </w:rPr>
        <w:t>第一节 加强组织领导</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23</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1B90CD33">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"_Toc123655047" </w:instrText>
      </w:r>
      <w:r>
        <w:fldChar w:fldCharType="separate"/>
      </w:r>
      <w:r>
        <w:rPr>
          <w:rStyle w:val="21"/>
          <w:rFonts w:ascii="Times New Roman" w:hAnsi="Times New Roman" w:eastAsia="方正仿宋_GBK"/>
          <w:sz w:val="32"/>
          <w:szCs w:val="32"/>
        </w:rPr>
        <w:t>第二节 强化规划实施</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23</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0D975A39">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"_Toc123655048" </w:instrText>
      </w:r>
      <w:r>
        <w:fldChar w:fldCharType="separate"/>
      </w:r>
      <w:r>
        <w:rPr>
          <w:rStyle w:val="21"/>
          <w:rFonts w:ascii="Times New Roman" w:hAnsi="Times New Roman" w:eastAsia="方正仿宋_GBK"/>
          <w:sz w:val="32"/>
          <w:szCs w:val="32"/>
        </w:rPr>
        <w:t>第三节 强化安全生产</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24</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7C8ABE53">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"_Toc123655049" </w:instrText>
      </w:r>
      <w:r>
        <w:fldChar w:fldCharType="separate"/>
      </w:r>
      <w:r>
        <w:rPr>
          <w:rStyle w:val="21"/>
          <w:rFonts w:ascii="Times New Roman" w:hAnsi="Times New Roman" w:eastAsia="方正仿宋_GBK"/>
          <w:sz w:val="32"/>
          <w:szCs w:val="32"/>
        </w:rPr>
        <w:t>第四节 加强宣传引导</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_Toc123655049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24</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46E6E852">
      <w:pPr>
        <w:pStyle w:val="12"/>
        <w:spacing w:line="640" w:lineRule="exact"/>
        <w:rPr>
          <w:rFonts w:ascii="Times New Roman"/>
          <w:b w:val="0"/>
          <w:kern w:val="2"/>
        </w:rPr>
      </w:pPr>
      <w:r>
        <w:fldChar w:fldCharType="begin"/>
      </w:r>
      <w:r>
        <w:instrText xml:space="preserve"> HYPERLINK \l "_Toc123655050" </w:instrText>
      </w:r>
      <w:r>
        <w:fldChar w:fldCharType="separate"/>
      </w:r>
      <w:r>
        <w:rPr>
          <w:rStyle w:val="21"/>
          <w:rFonts w:ascii="Times New Roman"/>
        </w:rPr>
        <w:t>第八章 环境影响评价</w:t>
      </w:r>
      <w:r>
        <w:rPr>
          <w:rFonts w:ascii="Times New Roman"/>
        </w:rPr>
        <w:tab/>
      </w:r>
      <w:r>
        <w:rPr>
          <w:rFonts w:ascii="Times New Roman"/>
        </w:rPr>
        <w:fldChar w:fldCharType="begin"/>
      </w:r>
      <w:r>
        <w:rPr>
          <w:rFonts w:ascii="Times New Roman"/>
        </w:rPr>
        <w:instrText xml:space="preserve"> PAGEREF _Toc123655050 \h </w:instrText>
      </w:r>
      <w:r>
        <w:rPr>
          <w:rFonts w:ascii="Times New Roman"/>
        </w:rPr>
        <w:fldChar w:fldCharType="separate"/>
      </w:r>
      <w:r>
        <w:rPr>
          <w:rFonts w:ascii="Times New Roman"/>
        </w:rPr>
        <w:t>24</w:t>
      </w:r>
      <w:r>
        <w:rPr>
          <w:rFonts w:ascii="Times New Roman"/>
        </w:rPr>
        <w:fldChar w:fldCharType="end"/>
      </w:r>
      <w:r>
        <w:rPr>
          <w:rFonts w:ascii="Times New Roman"/>
        </w:rPr>
        <w:fldChar w:fldCharType="end"/>
      </w:r>
    </w:p>
    <w:p w14:paraId="627B81EB">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"_Toc123655051" </w:instrText>
      </w:r>
      <w:r>
        <w:fldChar w:fldCharType="separate"/>
      </w:r>
      <w:r>
        <w:rPr>
          <w:rStyle w:val="21"/>
          <w:rFonts w:ascii="Times New Roman" w:hAnsi="Times New Roman" w:eastAsia="方正仿宋_GBK"/>
          <w:sz w:val="32"/>
          <w:szCs w:val="32"/>
        </w:rPr>
        <w:t>第一节 规划实施的环境影响分析</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_Toc123655051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24</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31DA1905">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"_Toc123655052" </w:instrText>
      </w:r>
      <w:r>
        <w:fldChar w:fldCharType="separate"/>
      </w:r>
      <w:r>
        <w:rPr>
          <w:rStyle w:val="21"/>
          <w:rFonts w:ascii="Times New Roman" w:hAnsi="Times New Roman" w:eastAsia="方正仿宋_GBK"/>
          <w:sz w:val="32"/>
          <w:szCs w:val="32"/>
        </w:rPr>
        <w:t>第二节 规划实施的环境保护措施</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_Toc123655052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25</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4B26D2C2">
      <w:pPr>
        <w:pStyle w:val="13"/>
        <w:tabs>
          <w:tab w:val="right" w:leader="dot" w:pos="8296"/>
        </w:tabs>
        <w:spacing w:line="640" w:lineRule="exact"/>
        <w:rPr>
          <w:rFonts w:ascii="Times New Roman" w:hAnsi="Times New Roman" w:eastAsia="方正仿宋_GBK"/>
          <w:sz w:val="32"/>
          <w:szCs w:val="32"/>
        </w:rPr>
      </w:pPr>
      <w:r>
        <w:fldChar w:fldCharType="begin"/>
      </w:r>
      <w:r>
        <w:instrText xml:space="preserve"> HYPERLINK \l "_Toc123655053" </w:instrText>
      </w:r>
      <w:r>
        <w:fldChar w:fldCharType="separate"/>
      </w:r>
      <w:r>
        <w:rPr>
          <w:rStyle w:val="21"/>
          <w:rFonts w:ascii="Times New Roman" w:hAnsi="Times New Roman" w:eastAsia="方正仿宋_GBK"/>
          <w:sz w:val="32"/>
          <w:szCs w:val="32"/>
        </w:rPr>
        <w:t>第三节 规划实施的环境保护成效</w:t>
      </w:r>
      <w:r>
        <w:rPr>
          <w:rFonts w:ascii="Times New Roman" w:hAnsi="Times New Roman" w:eastAsia="方正仿宋_GBK"/>
          <w:sz w:val="32"/>
          <w:szCs w:val="32"/>
        </w:rPr>
        <w:tab/>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_Toc123655053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26</w:t>
      </w:r>
      <w:r>
        <w:rPr>
          <w:rFonts w:ascii="Times New Roman" w:hAnsi="Times New Roman" w:eastAsia="方正仿宋_GBK"/>
          <w:sz w:val="32"/>
          <w:szCs w:val="32"/>
        </w:rPr>
        <w:fldChar w:fldCharType="end"/>
      </w:r>
      <w:r>
        <w:rPr>
          <w:rFonts w:ascii="Times New Roman" w:hAnsi="Times New Roman" w:eastAsia="方正仿宋_GBK"/>
          <w:sz w:val="32"/>
          <w:szCs w:val="32"/>
        </w:rPr>
        <w:fldChar w:fldCharType="end"/>
      </w:r>
    </w:p>
    <w:p w14:paraId="297BCD9D">
      <w:pPr>
        <w:spacing w:line="600" w:lineRule="exact"/>
        <w:rPr>
          <w:rFonts w:ascii="Times New Roman" w:hAnsi="Times New Roman" w:eastAsia="方正仿宋_GBK"/>
          <w:sz w:val="32"/>
          <w:szCs w:val="32"/>
        </w:rPr>
      </w:pPr>
      <w:r>
        <w:rPr>
          <w:rFonts w:ascii="Times New Roman" w:hAnsi="Times New Roman" w:eastAsia="方正仿宋_GBK"/>
          <w:sz w:val="32"/>
          <w:szCs w:val="32"/>
        </w:rPr>
        <w:fldChar w:fldCharType="end"/>
      </w:r>
    </w:p>
    <w:p w14:paraId="0155288E">
      <w:pPr>
        <w:spacing w:line="600" w:lineRule="exact"/>
        <w:rPr>
          <w:rFonts w:ascii="Times New Roman" w:hAnsi="Times New Roman" w:eastAsia="方正仿宋_GBK"/>
          <w:sz w:val="32"/>
          <w:szCs w:val="32"/>
        </w:rPr>
      </w:pPr>
      <w:r>
        <w:rPr>
          <w:rFonts w:hint="eastAsia" w:ascii="Times New Roman" w:hAnsi="Times New Roman" w:eastAsia="方正仿宋_GBK"/>
          <w:b/>
          <w:sz w:val="32"/>
          <w:szCs w:val="32"/>
        </w:rPr>
        <w:t>附</w:t>
      </w:r>
      <w:r>
        <w:rPr>
          <w:rFonts w:hint="eastAsia" w:ascii="Times New Roman" w:hAnsi="Times New Roman" w:eastAsia="方正仿宋_GBK"/>
          <w:b/>
          <w:sz w:val="32"/>
          <w:szCs w:val="32"/>
          <w:lang w:eastAsia="zh-CN"/>
        </w:rPr>
        <w:t>表</w:t>
      </w:r>
      <w:r>
        <w:rPr>
          <w:rFonts w:hint="eastAsia" w:ascii="Times New Roman" w:hAnsi="Times New Roman" w:eastAsia="方正仿宋_GBK"/>
          <w:b/>
          <w:sz w:val="32"/>
          <w:szCs w:val="32"/>
        </w:rPr>
        <w:t>：</w:t>
      </w:r>
      <w:r>
        <w:rPr>
          <w:rFonts w:hint="eastAsia" w:ascii="Times New Roman" w:hAnsi="Times New Roman" w:eastAsia="方正仿宋_GBK"/>
          <w:sz w:val="32"/>
          <w:szCs w:val="32"/>
        </w:rPr>
        <w:t>重庆市万州区能源发展规划（2021</w:t>
      </w:r>
      <w:r>
        <w:rPr>
          <w:rFonts w:hint="eastAsia" w:ascii="Times New Roman" w:hAnsi="Times New Roman" w:eastAsia="方正仿宋_GBK"/>
          <w:sz w:val="32"/>
          <w:szCs w:val="32"/>
          <w:lang w:val="en-US" w:eastAsia="zh-CN"/>
        </w:rPr>
        <w:t>—</w:t>
      </w:r>
      <w:r>
        <w:rPr>
          <w:rFonts w:hint="eastAsia" w:ascii="Times New Roman" w:hAnsi="Times New Roman" w:eastAsia="方正仿宋_GBK"/>
          <w:sz w:val="32"/>
          <w:szCs w:val="32"/>
        </w:rPr>
        <w:t>2035年）项目表</w:t>
      </w:r>
    </w:p>
    <w:p w14:paraId="12883179">
      <w:pPr>
        <w:spacing w:line="600" w:lineRule="exact"/>
        <w:rPr>
          <w:rFonts w:ascii="Times New Roman" w:hAnsi="Times New Roman" w:eastAsia="方正仿宋_GBK"/>
          <w:sz w:val="32"/>
          <w:szCs w:val="32"/>
        </w:rPr>
      </w:pPr>
      <w:r>
        <w:rPr>
          <w:rFonts w:hint="eastAsia" w:ascii="Times New Roman" w:hAnsi="Times New Roman" w:eastAsia="方正仿宋_GBK"/>
          <w:b/>
          <w:sz w:val="32"/>
          <w:szCs w:val="32"/>
        </w:rPr>
        <w:t>附图：</w:t>
      </w:r>
      <w:r>
        <w:rPr>
          <w:rFonts w:hint="eastAsia" w:ascii="Times New Roman" w:hAnsi="Times New Roman" w:eastAsia="方正仿宋_GBK"/>
          <w:sz w:val="32"/>
          <w:szCs w:val="32"/>
        </w:rPr>
        <w:t>1</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万州全域天然气设施规划图</w:t>
      </w:r>
    </w:p>
    <w:p w14:paraId="01EEFD85">
      <w:pPr>
        <w:spacing w:line="600" w:lineRule="exact"/>
        <w:ind w:firstLine="1024" w:firstLineChars="320"/>
        <w:rPr>
          <w:rFonts w:ascii="Times New Roman" w:hAnsi="Times New Roman" w:eastAsia="方正仿宋_GBK"/>
          <w:sz w:val="32"/>
          <w:szCs w:val="32"/>
        </w:rPr>
      </w:pPr>
      <w:r>
        <w:rPr>
          <w:rFonts w:hint="eastAsia" w:ascii="Times New Roman" w:hAnsi="Times New Roman" w:eastAsia="方正仿宋_GBK"/>
          <w:sz w:val="32"/>
          <w:szCs w:val="32"/>
        </w:rPr>
        <w:t>2</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万州城区天然气设施规划图</w:t>
      </w:r>
    </w:p>
    <w:p w14:paraId="4C87AA36">
      <w:pPr>
        <w:spacing w:line="600" w:lineRule="exact"/>
        <w:ind w:firstLine="1024" w:firstLineChars="320"/>
        <w:rPr>
          <w:rFonts w:ascii="Times New Roman" w:hAnsi="Times New Roman" w:eastAsia="方正仿宋_GBK"/>
          <w:sz w:val="32"/>
          <w:szCs w:val="32"/>
        </w:rPr>
      </w:pPr>
      <w:r>
        <w:rPr>
          <w:rFonts w:hint="eastAsia" w:ascii="Times New Roman" w:hAnsi="Times New Roman" w:eastAsia="方正仿宋_GBK"/>
          <w:sz w:val="32"/>
          <w:szCs w:val="32"/>
        </w:rPr>
        <w:t>3</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万州全域电力设施规划图</w:t>
      </w:r>
    </w:p>
    <w:p w14:paraId="6CF1B051">
      <w:pPr>
        <w:spacing w:line="600" w:lineRule="exact"/>
        <w:ind w:firstLine="1024" w:firstLineChars="320"/>
        <w:rPr>
          <w:rFonts w:ascii="Times New Roman" w:hAnsi="Times New Roman" w:eastAsia="方正仿宋_GBK"/>
          <w:sz w:val="32"/>
          <w:szCs w:val="32"/>
        </w:rPr>
      </w:pPr>
      <w:r>
        <w:rPr>
          <w:rFonts w:hint="eastAsia" w:ascii="Times New Roman" w:hAnsi="Times New Roman" w:eastAsia="方正仿宋_GBK"/>
          <w:sz w:val="32"/>
          <w:szCs w:val="32"/>
        </w:rPr>
        <w:t>4</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万州城区电力设施规划图</w:t>
      </w:r>
    </w:p>
    <w:p w14:paraId="6EFF529E">
      <w:pPr>
        <w:spacing w:line="600" w:lineRule="exact"/>
        <w:ind w:firstLine="1024" w:firstLineChars="320"/>
        <w:rPr>
          <w:rFonts w:ascii="Times New Roman" w:hAnsi="Times New Roman" w:eastAsia="方正仿宋_GBK"/>
          <w:sz w:val="32"/>
          <w:szCs w:val="32"/>
        </w:rPr>
      </w:pPr>
      <w:r>
        <w:rPr>
          <w:rFonts w:hint="eastAsia" w:ascii="Times New Roman" w:hAnsi="Times New Roman" w:eastAsia="方正仿宋_GBK"/>
          <w:sz w:val="32"/>
          <w:szCs w:val="32"/>
        </w:rPr>
        <w:t>5</w:t>
      </w:r>
      <w:r>
        <w:rPr>
          <w:rFonts w:hint="eastAsia" w:ascii="Times New Roman" w:hAnsi="Times New Roman" w:eastAsia="方正仿宋_GBK"/>
          <w:sz w:val="32"/>
          <w:szCs w:val="32"/>
          <w:lang w:val="en-US" w:eastAsia="zh"/>
        </w:rPr>
        <w:t>.</w:t>
      </w:r>
      <w:r>
        <w:rPr>
          <w:rFonts w:hint="eastAsia" w:ascii="Times New Roman" w:hAnsi="Times New Roman" w:eastAsia="方正仿宋_GBK"/>
          <w:sz w:val="32"/>
          <w:szCs w:val="32"/>
        </w:rPr>
        <w:t>万州全域电源点规划图</w:t>
      </w:r>
    </w:p>
    <w:p w14:paraId="1BCB3267">
      <w:pPr>
        <w:spacing w:line="600" w:lineRule="exact"/>
        <w:ind w:firstLine="1024" w:firstLineChars="320"/>
        <w:rPr>
          <w:rFonts w:ascii="Times New Roman" w:hAnsi="Times New Roman" w:eastAsia="方正仿宋_GBK"/>
          <w:sz w:val="32"/>
          <w:szCs w:val="32"/>
        </w:rPr>
        <w:sectPr>
          <w:footerReference r:id="rId6" w:type="default"/>
          <w:pgSz w:w="11906" w:h="16838"/>
          <w:pgMar w:top="1440" w:right="1800" w:bottom="1440" w:left="1800" w:header="851" w:footer="992" w:gutter="0"/>
          <w:pgNumType w:fmt="upperRoman" w:start="1"/>
          <w:cols w:space="425" w:num="1"/>
          <w:docGrid w:type="lines" w:linePitch="312" w:charSpace="0"/>
        </w:sectPr>
      </w:pPr>
    </w:p>
    <w:p w14:paraId="2EB1DF30">
      <w:pPr>
        <w:pStyle w:val="4"/>
        <w:spacing w:before="312" w:beforeLines="100" w:after="156"/>
      </w:pPr>
      <w:bookmarkStart w:id="0" w:name="_Toc123655019"/>
      <w:r>
        <w:t>前</w:t>
      </w:r>
      <w:r>
        <w:rPr>
          <w:rFonts w:hint="eastAsia"/>
        </w:rPr>
        <w:t xml:space="preserve"> </w:t>
      </w:r>
      <w:r>
        <w:t>言</w:t>
      </w:r>
      <w:bookmarkEnd w:id="0"/>
    </w:p>
    <w:p w14:paraId="2CE674C1">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能源是人类社会赖以生存和发展的重要物质基础，是国民经济的战略性资源和基础产业，是驱动经济社会发展、增进人民福祉的动力源泉。“十四五”时期，是我国实现碳达峰的关键期，是推动经济高质量发展和生态环境质量持续改善的攻坚期，也是</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加快建设生态优先、绿色发展示范区的窗口期，立足新发展阶段，完整、准确、全面贯彻新发展理念，积极应对气候变化，贯彻落实“四个革命、一个合作”能源安全新战略，深入推进能源革命，加快能源技术进步和产业升级，着力推动能源生产利用方式变革，推进能源结构低碳转型，提高能源利用效率，</w:t>
      </w:r>
      <w:r>
        <w:rPr>
          <w:rFonts w:ascii="Times New Roman" w:hAnsi="Times New Roman" w:eastAsia="方正仿宋_GBK"/>
          <w:sz w:val="32"/>
          <w:szCs w:val="32"/>
        </w:rPr>
        <w:t>对</w:t>
      </w:r>
      <w:r>
        <w:rPr>
          <w:rFonts w:hint="eastAsia" w:ascii="Times New Roman" w:hAnsi="Times New Roman" w:eastAsia="方正仿宋_GBK"/>
          <w:sz w:val="32"/>
          <w:szCs w:val="32"/>
        </w:rPr>
        <w:t>促进</w:t>
      </w:r>
      <w:r>
        <w:rPr>
          <w:rFonts w:hint="eastAsia" w:ascii="Times New Roman" w:hAnsi="Times New Roman" w:eastAsia="方正仿宋_GBK"/>
          <w:sz w:val="32"/>
          <w:szCs w:val="32"/>
          <w:lang w:eastAsia="zh-CN"/>
        </w:rPr>
        <w:t>全区</w:t>
      </w:r>
      <w:r>
        <w:rPr>
          <w:rFonts w:hint="eastAsia" w:ascii="Times New Roman" w:hAnsi="Times New Roman" w:eastAsia="方正仿宋_GBK"/>
          <w:sz w:val="32"/>
          <w:szCs w:val="32"/>
        </w:rPr>
        <w:t>经济社会持续健康发展</w:t>
      </w:r>
      <w:r>
        <w:rPr>
          <w:rFonts w:ascii="Times New Roman" w:hAnsi="Times New Roman" w:eastAsia="方正仿宋_GBK"/>
          <w:sz w:val="32"/>
          <w:szCs w:val="32"/>
        </w:rPr>
        <w:t>意义重大。</w:t>
      </w:r>
    </w:p>
    <w:p w14:paraId="64317A92">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本规划是《重庆市万州区国民经济和社会发展第十四个五年规划和二〇三五年远景目标纲要》在能源领域的细化和落实，规划综合了</w:t>
      </w:r>
      <w:r>
        <w:rPr>
          <w:rFonts w:hint="eastAsia" w:ascii="Times New Roman" w:hAnsi="Times New Roman" w:eastAsia="方正仿宋_GBK"/>
          <w:sz w:val="32"/>
          <w:szCs w:val="32"/>
          <w:lang w:eastAsia="zh-CN"/>
        </w:rPr>
        <w:t>全区</w:t>
      </w:r>
      <w:r>
        <w:rPr>
          <w:rFonts w:hint="eastAsia" w:ascii="Times New Roman" w:hAnsi="Times New Roman" w:eastAsia="方正仿宋_GBK"/>
          <w:sz w:val="32"/>
          <w:szCs w:val="32"/>
        </w:rPr>
        <w:t>电力、成品油、天然气等各专业领域的行业规划及研究成果，明确了全区能源发展的指导思想、基本原则、发展目标、主要任务和保障措施，是引导全区能源资源配置、重点能源项目建设，构建“清洁、低碳、高效、安全、稳定”多元能源供应体系的总体蓝图和行动纲领。</w:t>
      </w:r>
    </w:p>
    <w:p w14:paraId="14CD5B94">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规划期为2021—20</w:t>
      </w:r>
      <w:r>
        <w:rPr>
          <w:rFonts w:hint="eastAsia" w:ascii="Times New Roman" w:hAnsi="Times New Roman" w:eastAsia="方正仿宋_GBK"/>
          <w:sz w:val="32"/>
          <w:szCs w:val="32"/>
          <w:lang w:val="en-US" w:eastAsia="zh-CN"/>
        </w:rPr>
        <w:t>2</w:t>
      </w:r>
      <w:r>
        <w:rPr>
          <w:rFonts w:hint="eastAsia" w:ascii="Times New Roman" w:hAnsi="Times New Roman" w:eastAsia="方正仿宋_GBK"/>
          <w:sz w:val="32"/>
          <w:szCs w:val="32"/>
        </w:rPr>
        <w:t>5年</w:t>
      </w:r>
      <w:r>
        <w:rPr>
          <w:rFonts w:hint="eastAsia" w:ascii="Times New Roman" w:hAnsi="Times New Roman" w:eastAsia="方正仿宋_GBK"/>
          <w:sz w:val="32"/>
          <w:szCs w:val="32"/>
          <w:lang w:eastAsia="zh-CN"/>
        </w:rPr>
        <w:t>，展望至</w:t>
      </w:r>
      <w:r>
        <w:rPr>
          <w:rFonts w:hint="eastAsia" w:ascii="Times New Roman" w:hAnsi="Times New Roman" w:eastAsia="方正仿宋_GBK"/>
          <w:sz w:val="32"/>
          <w:szCs w:val="32"/>
          <w:lang w:val="en-US" w:eastAsia="zh-CN"/>
        </w:rPr>
        <w:t>2035年</w:t>
      </w:r>
      <w:r>
        <w:rPr>
          <w:rFonts w:hint="eastAsia" w:ascii="Times New Roman" w:hAnsi="Times New Roman" w:eastAsia="方正仿宋_GBK"/>
          <w:sz w:val="32"/>
          <w:szCs w:val="32"/>
        </w:rPr>
        <w:t>。</w:t>
      </w:r>
    </w:p>
    <w:p w14:paraId="34E92F96">
      <w:pPr>
        <w:pStyle w:val="28"/>
        <w:adjustRightInd w:val="0"/>
        <w:snapToGrid w:val="0"/>
        <w:spacing w:line="640" w:lineRule="exact"/>
        <w:ind w:firstLine="640"/>
        <w:rPr>
          <w:rFonts w:ascii="Times New Roman" w:hAnsi="Times New Roman" w:eastAsia="方正仿宋_GBK"/>
          <w:sz w:val="32"/>
          <w:szCs w:val="32"/>
        </w:rPr>
        <w:sectPr>
          <w:pgSz w:w="11906" w:h="16838"/>
          <w:pgMar w:top="1440" w:right="1800" w:bottom="1440" w:left="1800" w:header="851" w:footer="992" w:gutter="0"/>
          <w:pgNumType w:start="1"/>
          <w:cols w:space="425" w:num="1"/>
          <w:docGrid w:type="lines" w:linePitch="312" w:charSpace="0"/>
        </w:sectPr>
      </w:pPr>
    </w:p>
    <w:p w14:paraId="2EF34423">
      <w:pPr>
        <w:pStyle w:val="4"/>
        <w:spacing w:before="312" w:beforeLines="100" w:after="156"/>
      </w:pPr>
      <w:bookmarkStart w:id="1" w:name="_Toc123655020"/>
      <w:r>
        <w:t>第一章</w:t>
      </w:r>
      <w:r>
        <w:rPr>
          <w:rFonts w:hint="eastAsia"/>
        </w:rPr>
        <w:t xml:space="preserve"> 规划</w:t>
      </w:r>
      <w:r>
        <w:t>背景</w:t>
      </w:r>
      <w:bookmarkEnd w:id="1"/>
    </w:p>
    <w:p w14:paraId="3D24549F">
      <w:pPr>
        <w:pStyle w:val="5"/>
        <w:ind w:firstLine="0" w:firstLineChars="0"/>
        <w:jc w:val="center"/>
        <w:rPr>
          <w:rFonts w:ascii="Times New Roman" w:hAnsi="Times New Roman"/>
          <w:sz w:val="36"/>
          <w:szCs w:val="36"/>
        </w:rPr>
      </w:pPr>
      <w:bookmarkStart w:id="2" w:name="_Toc123655021"/>
      <w:r>
        <w:rPr>
          <w:rFonts w:hint="eastAsia" w:ascii="Times New Roman" w:hAnsi="Times New Roman"/>
          <w:sz w:val="36"/>
          <w:szCs w:val="36"/>
        </w:rPr>
        <w:t>第一节 发展</w:t>
      </w:r>
      <w:r>
        <w:rPr>
          <w:rFonts w:ascii="Times New Roman" w:hAnsi="Times New Roman"/>
          <w:sz w:val="36"/>
          <w:szCs w:val="36"/>
        </w:rPr>
        <w:t>基础</w:t>
      </w:r>
      <w:bookmarkEnd w:id="2"/>
    </w:p>
    <w:p w14:paraId="59B8B937">
      <w:pPr>
        <w:spacing w:line="600" w:lineRule="exact"/>
        <w:ind w:firstLine="640" w:firstLineChars="200"/>
        <w:outlineLvl w:val="2"/>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一、能源转型发展明显加快</w:t>
      </w:r>
    </w:p>
    <w:p w14:paraId="3ABE1662">
      <w:pPr>
        <w:pStyle w:val="28"/>
        <w:adjustRightInd w:val="0"/>
        <w:snapToGrid w:val="0"/>
        <w:spacing w:line="640" w:lineRule="exact"/>
        <w:rPr>
          <w:rFonts w:ascii="Times New Roman" w:hAnsi="Times New Roman" w:eastAsia="方正仿宋_GBK"/>
          <w:sz w:val="32"/>
          <w:szCs w:val="32"/>
        </w:rPr>
      </w:pPr>
      <w:r>
        <w:rPr>
          <w:rFonts w:hint="eastAsia" w:ascii="Times New Roman" w:hAnsi="Times New Roman" w:eastAsia="方正仿宋_GBK"/>
          <w:sz w:val="32"/>
          <w:szCs w:val="32"/>
        </w:rPr>
        <w:t>“十三五”期间，</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能源消费结构持续优化，煤炭消费比重稳中有降，成品油消费比重累计下降3.5个百分点，电气消费比重明显提升，占全区能源消费总量的26.36%。清洁能源开发利用稳步推进，蒲叶林风电场一期、二期相继建成投入运营，年发电量2.1亿千瓦时，风电、光伏、水电、火电、生物质发电等多元能源体系基本建立。能源消费总量和强度“双控”成效显著，2020年能源消费总量为326.22万吨标准煤，单位GDP能耗为0.336吨标准煤/万元。</w:t>
      </w:r>
    </w:p>
    <w:p w14:paraId="781177C2">
      <w:pPr>
        <w:pStyle w:val="10"/>
        <w:spacing w:line="580" w:lineRule="exact"/>
        <w:jc w:val="center"/>
        <w:rPr>
          <w:rFonts w:hint="eastAsia" w:ascii="Times New Roman" w:hAnsi="Times New Roman" w:eastAsia="方正黑体_GBK" w:cs="Times New Roman"/>
          <w:sz w:val="28"/>
          <w:szCs w:val="24"/>
        </w:rPr>
      </w:pPr>
      <w:r>
        <w:rPr>
          <w:rFonts w:ascii="Times New Roman" w:hAnsi="Times New Roman"/>
        </w:rPr>
        <w:drawing>
          <wp:anchor distT="0" distB="0" distL="114300" distR="114300" simplePos="0" relativeHeight="251660288" behindDoc="0" locked="0" layoutInCell="1" allowOverlap="1">
            <wp:simplePos x="0" y="0"/>
            <wp:positionH relativeFrom="column">
              <wp:posOffset>2494280</wp:posOffset>
            </wp:positionH>
            <wp:positionV relativeFrom="paragraph">
              <wp:posOffset>233680</wp:posOffset>
            </wp:positionV>
            <wp:extent cx="2736215" cy="14033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215" cy="1403350"/>
                    </a:xfrm>
                    <a:prstGeom prst="rect">
                      <a:avLst/>
                    </a:prstGeom>
                  </pic:spPr>
                </pic:pic>
              </a:graphicData>
            </a:graphic>
          </wp:anchor>
        </w:drawing>
      </w:r>
      <w:r>
        <w:rPr>
          <w:rFonts w:ascii="Times New Roman" w:hAnsi="Times New Roman"/>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233680</wp:posOffset>
            </wp:positionV>
            <wp:extent cx="2306320" cy="139890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6320" cy="1398905"/>
                    </a:xfrm>
                    <a:prstGeom prst="rect">
                      <a:avLst/>
                    </a:prstGeom>
                  </pic:spPr>
                </pic:pic>
              </a:graphicData>
            </a:graphic>
          </wp:anchor>
        </w:drawing>
      </w:r>
      <w:r>
        <w:rPr>
          <w:rFonts w:hint="eastAsia" w:ascii="Times New Roman" w:hAnsi="Times New Roman" w:eastAsia="方正黑体_GBK" w:cs="Times New Roman"/>
          <w:sz w:val="28"/>
          <w:szCs w:val="24"/>
        </w:rPr>
        <w:t xml:space="preserve">图1 </w:t>
      </w:r>
      <w:r>
        <w:rPr>
          <w:rFonts w:hint="eastAsia" w:ascii="Times New Roman" w:hAnsi="Times New Roman" w:eastAsia="方正黑体_GBK" w:cs="Times New Roman"/>
          <w:sz w:val="28"/>
          <w:szCs w:val="24"/>
          <w:lang w:eastAsia="zh-CN"/>
        </w:rPr>
        <w:t>全</w:t>
      </w:r>
      <w:r>
        <w:rPr>
          <w:rFonts w:hint="eastAsia" w:ascii="Times New Roman" w:hAnsi="Times New Roman" w:eastAsia="方正黑体_GBK" w:cs="Times New Roman"/>
          <w:sz w:val="28"/>
          <w:szCs w:val="24"/>
        </w:rPr>
        <w:t>区“十三五”能源消费情况</w:t>
      </w:r>
    </w:p>
    <w:p w14:paraId="31656D0C">
      <w:pPr>
        <w:pStyle w:val="10"/>
        <w:spacing w:line="580" w:lineRule="exact"/>
        <w:jc w:val="center"/>
        <w:rPr>
          <w:rFonts w:hint="eastAsia" w:ascii="Times New Roman" w:hAnsi="Times New Roman" w:eastAsia="方正黑体_GBK" w:cs="Times New Roman"/>
          <w:sz w:val="28"/>
          <w:szCs w:val="24"/>
        </w:rPr>
      </w:pPr>
    </w:p>
    <w:p w14:paraId="24BA4F7E">
      <w:pPr>
        <w:spacing w:line="600" w:lineRule="exact"/>
        <w:ind w:firstLine="640" w:firstLineChars="200"/>
        <w:outlineLvl w:val="2"/>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二、能源供应能力持续稳定</w:t>
      </w:r>
    </w:p>
    <w:p w14:paraId="14D057A7">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“十三五”期间，</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区能源供应保障有力，各能源品类供给平稳有序。2020年，全区电力装机容量达</w:t>
      </w:r>
      <w:r>
        <w:rPr>
          <w:rFonts w:ascii="Times New Roman" w:hAnsi="Times New Roman" w:eastAsia="方正仿宋_GBK"/>
          <w:sz w:val="32"/>
          <w:szCs w:val="32"/>
        </w:rPr>
        <w:t>2</w:t>
      </w:r>
      <w:r>
        <w:rPr>
          <w:rFonts w:hint="eastAsia" w:ascii="Times New Roman" w:hAnsi="Times New Roman" w:eastAsia="方正仿宋_GBK"/>
          <w:sz w:val="32"/>
          <w:szCs w:val="32"/>
        </w:rPr>
        <w:t>4</w:t>
      </w:r>
      <w:r>
        <w:rPr>
          <w:rFonts w:ascii="Times New Roman" w:hAnsi="Times New Roman" w:eastAsia="方正仿宋_GBK"/>
          <w:sz w:val="32"/>
          <w:szCs w:val="32"/>
        </w:rPr>
        <w:t>5</w:t>
      </w:r>
      <w:r>
        <w:rPr>
          <w:rFonts w:hint="eastAsia" w:ascii="Times New Roman" w:hAnsi="Times New Roman" w:eastAsia="方正仿宋_GBK"/>
          <w:sz w:val="32"/>
          <w:szCs w:val="32"/>
        </w:rPr>
        <w:t>万千瓦，全社会用电量达31.45亿千瓦时，年均增长3.96%。南万忠线和建万线设计输气总规模</w:t>
      </w:r>
      <w:r>
        <w:rPr>
          <w:rFonts w:ascii="Times New Roman" w:hAnsi="Times New Roman" w:eastAsia="方正仿宋_GBK"/>
          <w:sz w:val="32"/>
          <w:szCs w:val="32"/>
        </w:rPr>
        <w:t>600</w:t>
      </w:r>
      <w:r>
        <w:rPr>
          <w:rFonts w:hint="eastAsia" w:ascii="Times New Roman" w:hAnsi="Times New Roman" w:eastAsia="方正仿宋_GBK"/>
          <w:sz w:val="32"/>
          <w:szCs w:val="32"/>
        </w:rPr>
        <w:t>万立方米</w:t>
      </w:r>
      <w:r>
        <w:rPr>
          <w:rFonts w:ascii="Times New Roman" w:hAnsi="Times New Roman" w:eastAsia="方正仿宋_GBK"/>
          <w:sz w:val="32"/>
          <w:szCs w:val="32"/>
        </w:rPr>
        <w:t>/</w:t>
      </w:r>
      <w:r>
        <w:rPr>
          <w:rFonts w:hint="eastAsia" w:ascii="Times New Roman" w:hAnsi="Times New Roman" w:eastAsia="方正仿宋_GBK"/>
          <w:sz w:val="32"/>
          <w:szCs w:val="32"/>
        </w:rPr>
        <w:t>天，桐园储配站储气能力32万立方米，2020年保障全区天然气消费2.04亿立方米，较“十二五”末增长了23.57%。全区建有油库3座，设计总库容5.05万立方米，2020年成品油消费量达21.65万吨，成品油货源充足。2020年，规上工业企业煤炭消费量达318.11万吨，主要来源于陕西、山西、新疆</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内蒙古等4个产煤区，供应渠道稳定畅通。</w:t>
      </w:r>
    </w:p>
    <w:p w14:paraId="05F90986">
      <w:pPr>
        <w:spacing w:line="600" w:lineRule="exact"/>
        <w:ind w:firstLine="640" w:firstLineChars="200"/>
        <w:outlineLvl w:val="2"/>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三、能源基础设施更加完善</w:t>
      </w:r>
    </w:p>
    <w:p w14:paraId="1246CA33">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电网建设加快推进，全区已建成500千伏变电站1座、220千伏变电站5座、110千伏变电站22座、35千伏变电站19座，输电线路总长5886公里，最大供电能力达650万千瓦，基本形成了以220千伏为中心、110千伏为骨架、35千伏为延伸的电网新体系。天然气管网设施日趋完善，累计建成天然气集输管道</w:t>
      </w:r>
      <w:r>
        <w:rPr>
          <w:rFonts w:ascii="Times New Roman" w:hAnsi="Times New Roman" w:eastAsia="方正仿宋_GBK"/>
          <w:sz w:val="32"/>
          <w:szCs w:val="32"/>
        </w:rPr>
        <w:t>130</w:t>
      </w:r>
      <w:r>
        <w:rPr>
          <w:rFonts w:hint="eastAsia" w:ascii="Times New Roman" w:hAnsi="Times New Roman" w:eastAsia="方正仿宋_GBK"/>
          <w:sz w:val="32"/>
          <w:szCs w:val="32"/>
        </w:rPr>
        <w:t>公里，长输管道</w:t>
      </w:r>
      <w:r>
        <w:rPr>
          <w:rFonts w:ascii="Times New Roman" w:hAnsi="Times New Roman" w:eastAsia="方正仿宋_GBK"/>
          <w:sz w:val="32"/>
          <w:szCs w:val="32"/>
        </w:rPr>
        <w:t>163</w:t>
      </w:r>
      <w:r>
        <w:rPr>
          <w:rFonts w:hint="eastAsia" w:ascii="Times New Roman" w:hAnsi="Times New Roman" w:eastAsia="方正仿宋_GBK"/>
          <w:sz w:val="32"/>
          <w:szCs w:val="32"/>
        </w:rPr>
        <w:t>公里，城镇燃气管道</w:t>
      </w:r>
      <w:r>
        <w:rPr>
          <w:rFonts w:ascii="Times New Roman" w:hAnsi="Times New Roman" w:eastAsia="方正仿宋_GBK"/>
          <w:sz w:val="32"/>
          <w:szCs w:val="32"/>
        </w:rPr>
        <w:t>2232</w:t>
      </w:r>
      <w:r>
        <w:rPr>
          <w:rFonts w:hint="eastAsia" w:ascii="Times New Roman" w:hAnsi="Times New Roman" w:eastAsia="方正仿宋_GBK"/>
          <w:sz w:val="32"/>
          <w:szCs w:val="32"/>
        </w:rPr>
        <w:t>公里。建有天然气场站</w:t>
      </w:r>
      <w:r>
        <w:rPr>
          <w:rFonts w:ascii="Times New Roman" w:hAnsi="Times New Roman" w:eastAsia="方正仿宋_GBK"/>
          <w:sz w:val="32"/>
          <w:szCs w:val="32"/>
        </w:rPr>
        <w:t>5</w:t>
      </w:r>
      <w:r>
        <w:rPr>
          <w:rFonts w:hint="eastAsia" w:ascii="Times New Roman" w:hAnsi="Times New Roman" w:eastAsia="方正仿宋_GBK"/>
          <w:sz w:val="32"/>
          <w:szCs w:val="32"/>
        </w:rPr>
        <w:t>座，设计日供气能力</w:t>
      </w:r>
      <w:r>
        <w:rPr>
          <w:rFonts w:ascii="Times New Roman" w:hAnsi="Times New Roman" w:eastAsia="方正仿宋_GBK"/>
          <w:sz w:val="32"/>
          <w:szCs w:val="32"/>
        </w:rPr>
        <w:t>155</w:t>
      </w:r>
      <w:r>
        <w:rPr>
          <w:rFonts w:hint="eastAsia" w:ascii="Times New Roman" w:hAnsi="Times New Roman" w:eastAsia="方正仿宋_GBK"/>
          <w:sz w:val="32"/>
          <w:szCs w:val="32"/>
        </w:rPr>
        <w:t>万立方米。全区累计在营加油站103座，竞争有序、功能完善的成品油零售服务网络体系基本建立。</w:t>
      </w:r>
    </w:p>
    <w:p w14:paraId="3DBA9CBA">
      <w:pPr>
        <w:spacing w:line="600" w:lineRule="exact"/>
        <w:ind w:firstLine="640" w:firstLineChars="200"/>
        <w:outlineLvl w:val="2"/>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四、能源服务水平不断提高</w:t>
      </w:r>
    </w:p>
    <w:p w14:paraId="13F73F79">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城市配电网和农村电网改造升级同步推进，配电网供电能力和服务水平明显提高。2</w:t>
      </w:r>
      <w:r>
        <w:rPr>
          <w:rFonts w:ascii="Times New Roman" w:hAnsi="Times New Roman" w:eastAsia="方正仿宋_GBK"/>
          <w:sz w:val="32"/>
          <w:szCs w:val="32"/>
        </w:rPr>
        <w:t>020</w:t>
      </w:r>
      <w:r>
        <w:rPr>
          <w:rFonts w:hint="eastAsia" w:ascii="Times New Roman" w:hAnsi="Times New Roman" w:eastAsia="方正仿宋_GBK"/>
          <w:sz w:val="32"/>
          <w:szCs w:val="32"/>
        </w:rPr>
        <w:t>年，全区居民人均生活用电量达571千瓦时/年，电网供电可靠率达99.22%，综合电压合格率达97.9%，110千伏及以下线损率6%。天然气管网实现乡镇全覆盖，城镇居民天然气普及率达85%，人均用气量约75立方米/年。全区现有CNG加气站5座，LNG加气站1座，设计加气规模约11万方/日。新能源汽车基础设施建设提速推进，已建成投用换电站1座、充电站</w:t>
      </w:r>
      <w:r>
        <w:rPr>
          <w:rFonts w:ascii="Times New Roman" w:hAnsi="Times New Roman" w:eastAsia="方正仿宋_GBK"/>
          <w:sz w:val="32"/>
          <w:szCs w:val="32"/>
        </w:rPr>
        <w:t>30</w:t>
      </w:r>
      <w:r>
        <w:rPr>
          <w:rFonts w:hint="eastAsia" w:ascii="Times New Roman" w:hAnsi="Times New Roman" w:eastAsia="方正仿宋_GBK"/>
          <w:sz w:val="32"/>
          <w:szCs w:val="32"/>
        </w:rPr>
        <w:t>座，城区公共充电服务保障能力进一步提高。</w:t>
      </w:r>
    </w:p>
    <w:p w14:paraId="1BE077C0">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 xml:space="preserve">专栏1 </w:t>
      </w:r>
      <w:r>
        <w:rPr>
          <w:rFonts w:hint="eastAsia" w:ascii="Times New Roman" w:hAnsi="Times New Roman" w:eastAsia="方正黑体_GBK" w:cs="Times New Roman"/>
          <w:sz w:val="28"/>
          <w:szCs w:val="24"/>
          <w:lang w:eastAsia="zh-CN"/>
        </w:rPr>
        <w:t>全</w:t>
      </w:r>
      <w:r>
        <w:rPr>
          <w:rFonts w:hint="eastAsia" w:ascii="Times New Roman" w:hAnsi="Times New Roman" w:eastAsia="方正黑体_GBK" w:cs="Times New Roman"/>
          <w:sz w:val="28"/>
          <w:szCs w:val="24"/>
        </w:rPr>
        <w:t>区“十三五”能源消费情况</w:t>
      </w:r>
    </w:p>
    <w:tbl>
      <w:tblPr>
        <w:tblStyle w:val="16"/>
        <w:tblW w:w="8528" w:type="dxa"/>
        <w:tblInd w:w="0" w:type="dxa"/>
        <w:tblLayout w:type="fixed"/>
        <w:tblCellMar>
          <w:top w:w="0" w:type="dxa"/>
          <w:left w:w="108" w:type="dxa"/>
          <w:bottom w:w="0" w:type="dxa"/>
          <w:right w:w="108" w:type="dxa"/>
        </w:tblCellMar>
      </w:tblPr>
      <w:tblGrid>
        <w:gridCol w:w="1169"/>
        <w:gridCol w:w="2857"/>
        <w:gridCol w:w="1948"/>
        <w:gridCol w:w="1277"/>
        <w:gridCol w:w="1277"/>
      </w:tblGrid>
      <w:tr w14:paraId="50155C56">
        <w:tblPrEx>
          <w:tblCellMar>
            <w:top w:w="0" w:type="dxa"/>
            <w:left w:w="108" w:type="dxa"/>
            <w:bottom w:w="0" w:type="dxa"/>
            <w:right w:w="108" w:type="dxa"/>
          </w:tblCellMar>
        </w:tblPrEx>
        <w:trPr>
          <w:trHeight w:val="369" w:hRule="atLeast"/>
        </w:trPr>
        <w:tc>
          <w:tcPr>
            <w:tcW w:w="11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3A1523">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序号</w:t>
            </w:r>
          </w:p>
        </w:tc>
        <w:tc>
          <w:tcPr>
            <w:tcW w:w="2857" w:type="dxa"/>
            <w:tcBorders>
              <w:top w:val="single" w:color="auto" w:sz="4" w:space="0"/>
              <w:left w:val="nil"/>
              <w:bottom w:val="single" w:color="auto" w:sz="4" w:space="0"/>
              <w:right w:val="single" w:color="auto" w:sz="4" w:space="0"/>
            </w:tcBorders>
            <w:shd w:val="clear" w:color="auto" w:fill="auto"/>
            <w:noWrap/>
            <w:vAlign w:val="center"/>
          </w:tcPr>
          <w:p w14:paraId="28126D31">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指标</w:t>
            </w:r>
          </w:p>
        </w:tc>
        <w:tc>
          <w:tcPr>
            <w:tcW w:w="1948" w:type="dxa"/>
            <w:tcBorders>
              <w:top w:val="single" w:color="auto" w:sz="4" w:space="0"/>
              <w:left w:val="nil"/>
              <w:bottom w:val="single" w:color="auto" w:sz="4" w:space="0"/>
              <w:right w:val="single" w:color="auto" w:sz="4" w:space="0"/>
            </w:tcBorders>
            <w:shd w:val="clear" w:color="auto" w:fill="auto"/>
            <w:noWrap/>
            <w:vAlign w:val="center"/>
          </w:tcPr>
          <w:p w14:paraId="6660B9E2">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单位</w:t>
            </w:r>
          </w:p>
        </w:tc>
        <w:tc>
          <w:tcPr>
            <w:tcW w:w="1277" w:type="dxa"/>
            <w:tcBorders>
              <w:top w:val="single" w:color="auto" w:sz="4" w:space="0"/>
              <w:left w:val="nil"/>
              <w:bottom w:val="single" w:color="auto" w:sz="4" w:space="0"/>
              <w:right w:val="single" w:color="auto" w:sz="4" w:space="0"/>
            </w:tcBorders>
            <w:shd w:val="clear" w:color="auto" w:fill="auto"/>
            <w:noWrap/>
            <w:vAlign w:val="center"/>
          </w:tcPr>
          <w:p w14:paraId="3347DF09">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2015年</w:t>
            </w:r>
          </w:p>
        </w:tc>
        <w:tc>
          <w:tcPr>
            <w:tcW w:w="1277" w:type="dxa"/>
            <w:tcBorders>
              <w:top w:val="single" w:color="auto" w:sz="4" w:space="0"/>
              <w:left w:val="nil"/>
              <w:bottom w:val="single" w:color="auto" w:sz="4" w:space="0"/>
              <w:right w:val="single" w:color="auto" w:sz="4" w:space="0"/>
            </w:tcBorders>
            <w:shd w:val="clear" w:color="auto" w:fill="auto"/>
            <w:noWrap/>
            <w:vAlign w:val="center"/>
          </w:tcPr>
          <w:p w14:paraId="26C7AF66">
            <w:pPr>
              <w:widowControl/>
              <w:spacing w:line="300" w:lineRule="exact"/>
              <w:jc w:val="center"/>
              <w:rPr>
                <w:rFonts w:ascii="Times New Roman" w:hAnsi="Times New Roman" w:eastAsia="方正仿宋_GBK"/>
                <w:b/>
                <w:bCs/>
                <w:kern w:val="0"/>
                <w:sz w:val="24"/>
                <w:szCs w:val="28"/>
              </w:rPr>
            </w:pPr>
            <w:r>
              <w:rPr>
                <w:rFonts w:hint="eastAsia" w:ascii="Times New Roman" w:hAnsi="Times New Roman" w:eastAsia="方正仿宋_GBK"/>
                <w:b/>
                <w:bCs/>
                <w:kern w:val="0"/>
                <w:sz w:val="24"/>
                <w:szCs w:val="28"/>
              </w:rPr>
              <w:t>2020年</w:t>
            </w:r>
          </w:p>
        </w:tc>
      </w:tr>
      <w:tr w14:paraId="4E101776">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38BFEF1F">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1</w:t>
            </w:r>
          </w:p>
        </w:tc>
        <w:tc>
          <w:tcPr>
            <w:tcW w:w="2857" w:type="dxa"/>
            <w:tcBorders>
              <w:top w:val="nil"/>
              <w:left w:val="nil"/>
              <w:bottom w:val="single" w:color="auto" w:sz="4" w:space="0"/>
              <w:right w:val="single" w:color="auto" w:sz="4" w:space="0"/>
            </w:tcBorders>
            <w:shd w:val="clear" w:color="auto" w:fill="auto"/>
            <w:noWrap/>
            <w:vAlign w:val="center"/>
          </w:tcPr>
          <w:p w14:paraId="351BFD68">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天然气消费总量</w:t>
            </w:r>
          </w:p>
        </w:tc>
        <w:tc>
          <w:tcPr>
            <w:tcW w:w="1948" w:type="dxa"/>
            <w:tcBorders>
              <w:top w:val="nil"/>
              <w:left w:val="nil"/>
              <w:bottom w:val="single" w:color="auto" w:sz="4" w:space="0"/>
              <w:right w:val="single" w:color="auto" w:sz="4" w:space="0"/>
            </w:tcBorders>
            <w:shd w:val="clear" w:color="auto" w:fill="auto"/>
            <w:noWrap/>
            <w:vAlign w:val="center"/>
          </w:tcPr>
          <w:p w14:paraId="4412A8CB">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亿立方米</w:t>
            </w:r>
          </w:p>
        </w:tc>
        <w:tc>
          <w:tcPr>
            <w:tcW w:w="1277" w:type="dxa"/>
            <w:tcBorders>
              <w:top w:val="nil"/>
              <w:left w:val="nil"/>
              <w:bottom w:val="single" w:color="auto" w:sz="4" w:space="0"/>
              <w:right w:val="single" w:color="auto" w:sz="4" w:space="0"/>
            </w:tcBorders>
            <w:shd w:val="clear" w:color="auto" w:fill="auto"/>
            <w:noWrap/>
            <w:vAlign w:val="center"/>
          </w:tcPr>
          <w:p w14:paraId="66CB33C8">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1.65</w:t>
            </w:r>
          </w:p>
        </w:tc>
        <w:tc>
          <w:tcPr>
            <w:tcW w:w="1277" w:type="dxa"/>
            <w:tcBorders>
              <w:top w:val="nil"/>
              <w:left w:val="nil"/>
              <w:bottom w:val="single" w:color="auto" w:sz="4" w:space="0"/>
              <w:right w:val="single" w:color="auto" w:sz="4" w:space="0"/>
            </w:tcBorders>
            <w:shd w:val="clear" w:color="auto" w:fill="auto"/>
            <w:noWrap/>
            <w:vAlign w:val="center"/>
          </w:tcPr>
          <w:p w14:paraId="4A840EB2">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2.04</w:t>
            </w:r>
          </w:p>
        </w:tc>
      </w:tr>
      <w:tr w14:paraId="0F670FCA">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142527D4">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w:t>
            </w:r>
          </w:p>
        </w:tc>
        <w:tc>
          <w:tcPr>
            <w:tcW w:w="2857" w:type="dxa"/>
            <w:tcBorders>
              <w:top w:val="nil"/>
              <w:left w:val="nil"/>
              <w:bottom w:val="single" w:color="auto" w:sz="4" w:space="0"/>
              <w:right w:val="single" w:color="auto" w:sz="4" w:space="0"/>
            </w:tcBorders>
            <w:shd w:val="clear" w:color="auto" w:fill="auto"/>
            <w:noWrap/>
            <w:vAlign w:val="center"/>
          </w:tcPr>
          <w:p w14:paraId="1B71C753">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成品油消费总量</w:t>
            </w:r>
          </w:p>
        </w:tc>
        <w:tc>
          <w:tcPr>
            <w:tcW w:w="1948" w:type="dxa"/>
            <w:tcBorders>
              <w:top w:val="nil"/>
              <w:left w:val="nil"/>
              <w:bottom w:val="single" w:color="auto" w:sz="4" w:space="0"/>
              <w:right w:val="single" w:color="auto" w:sz="4" w:space="0"/>
            </w:tcBorders>
            <w:shd w:val="clear" w:color="auto" w:fill="auto"/>
            <w:noWrap/>
            <w:vAlign w:val="center"/>
          </w:tcPr>
          <w:p w14:paraId="372796A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万吨</w:t>
            </w:r>
          </w:p>
        </w:tc>
        <w:tc>
          <w:tcPr>
            <w:tcW w:w="1277" w:type="dxa"/>
            <w:tcBorders>
              <w:top w:val="nil"/>
              <w:left w:val="nil"/>
              <w:bottom w:val="single" w:color="auto" w:sz="4" w:space="0"/>
              <w:right w:val="single" w:color="auto" w:sz="4" w:space="0"/>
            </w:tcBorders>
            <w:shd w:val="clear" w:color="auto" w:fill="auto"/>
            <w:noWrap/>
            <w:vAlign w:val="center"/>
          </w:tcPr>
          <w:p w14:paraId="7014DCBD">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25.78</w:t>
            </w:r>
          </w:p>
        </w:tc>
        <w:tc>
          <w:tcPr>
            <w:tcW w:w="1277" w:type="dxa"/>
            <w:tcBorders>
              <w:top w:val="nil"/>
              <w:left w:val="nil"/>
              <w:bottom w:val="single" w:color="auto" w:sz="4" w:space="0"/>
              <w:right w:val="single" w:color="auto" w:sz="4" w:space="0"/>
            </w:tcBorders>
            <w:shd w:val="clear" w:color="auto" w:fill="auto"/>
            <w:noWrap/>
            <w:vAlign w:val="center"/>
          </w:tcPr>
          <w:p w14:paraId="7034F4E1">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21.65</w:t>
            </w:r>
          </w:p>
        </w:tc>
      </w:tr>
      <w:tr w14:paraId="2396ACA9">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21F067F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w:t>
            </w:r>
          </w:p>
        </w:tc>
        <w:tc>
          <w:tcPr>
            <w:tcW w:w="2857" w:type="dxa"/>
            <w:tcBorders>
              <w:top w:val="nil"/>
              <w:left w:val="nil"/>
              <w:bottom w:val="single" w:color="auto" w:sz="4" w:space="0"/>
              <w:right w:val="single" w:color="auto" w:sz="4" w:space="0"/>
            </w:tcBorders>
            <w:shd w:val="clear" w:color="auto" w:fill="auto"/>
            <w:noWrap/>
            <w:vAlign w:val="center"/>
          </w:tcPr>
          <w:p w14:paraId="2AAFD142">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全社会用电量</w:t>
            </w:r>
          </w:p>
        </w:tc>
        <w:tc>
          <w:tcPr>
            <w:tcW w:w="1948" w:type="dxa"/>
            <w:tcBorders>
              <w:top w:val="nil"/>
              <w:left w:val="nil"/>
              <w:bottom w:val="single" w:color="auto" w:sz="4" w:space="0"/>
              <w:right w:val="single" w:color="auto" w:sz="4" w:space="0"/>
            </w:tcBorders>
            <w:shd w:val="clear" w:color="auto" w:fill="auto"/>
            <w:noWrap/>
            <w:vAlign w:val="center"/>
          </w:tcPr>
          <w:p w14:paraId="0BEB820F">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亿千瓦时</w:t>
            </w:r>
          </w:p>
        </w:tc>
        <w:tc>
          <w:tcPr>
            <w:tcW w:w="1277" w:type="dxa"/>
            <w:tcBorders>
              <w:top w:val="nil"/>
              <w:left w:val="nil"/>
              <w:bottom w:val="single" w:color="auto" w:sz="4" w:space="0"/>
              <w:right w:val="single" w:color="auto" w:sz="4" w:space="0"/>
            </w:tcBorders>
            <w:shd w:val="clear" w:color="auto" w:fill="auto"/>
            <w:noWrap/>
            <w:vAlign w:val="center"/>
          </w:tcPr>
          <w:p w14:paraId="6877034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25.90</w:t>
            </w:r>
          </w:p>
        </w:tc>
        <w:tc>
          <w:tcPr>
            <w:tcW w:w="1277" w:type="dxa"/>
            <w:tcBorders>
              <w:top w:val="nil"/>
              <w:left w:val="nil"/>
              <w:bottom w:val="single" w:color="auto" w:sz="4" w:space="0"/>
              <w:right w:val="single" w:color="auto" w:sz="4" w:space="0"/>
            </w:tcBorders>
            <w:shd w:val="clear" w:color="auto" w:fill="auto"/>
            <w:noWrap/>
            <w:vAlign w:val="center"/>
          </w:tcPr>
          <w:p w14:paraId="457CD264">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31.45</w:t>
            </w:r>
          </w:p>
        </w:tc>
      </w:tr>
      <w:tr w14:paraId="2167F335">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1F1C769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4</w:t>
            </w:r>
          </w:p>
        </w:tc>
        <w:tc>
          <w:tcPr>
            <w:tcW w:w="2857" w:type="dxa"/>
            <w:tcBorders>
              <w:top w:val="nil"/>
              <w:left w:val="nil"/>
              <w:bottom w:val="single" w:color="auto" w:sz="4" w:space="0"/>
              <w:right w:val="single" w:color="auto" w:sz="4" w:space="0"/>
            </w:tcBorders>
            <w:shd w:val="clear" w:color="auto" w:fill="auto"/>
            <w:noWrap/>
            <w:vAlign w:val="center"/>
          </w:tcPr>
          <w:p w14:paraId="53394947">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规上工业企业煤炭消费量</w:t>
            </w:r>
          </w:p>
        </w:tc>
        <w:tc>
          <w:tcPr>
            <w:tcW w:w="1948" w:type="dxa"/>
            <w:tcBorders>
              <w:top w:val="nil"/>
              <w:left w:val="nil"/>
              <w:bottom w:val="single" w:color="auto" w:sz="4" w:space="0"/>
              <w:right w:val="single" w:color="auto" w:sz="4" w:space="0"/>
            </w:tcBorders>
            <w:shd w:val="clear" w:color="auto" w:fill="auto"/>
            <w:noWrap/>
            <w:vAlign w:val="center"/>
          </w:tcPr>
          <w:p w14:paraId="58CF5F59">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万吨</w:t>
            </w:r>
          </w:p>
        </w:tc>
        <w:tc>
          <w:tcPr>
            <w:tcW w:w="1277" w:type="dxa"/>
            <w:tcBorders>
              <w:top w:val="nil"/>
              <w:left w:val="nil"/>
              <w:bottom w:val="single" w:color="auto" w:sz="4" w:space="0"/>
              <w:right w:val="single" w:color="auto" w:sz="4" w:space="0"/>
            </w:tcBorders>
            <w:shd w:val="clear" w:color="auto" w:fill="auto"/>
            <w:noWrap/>
            <w:vAlign w:val="center"/>
          </w:tcPr>
          <w:p w14:paraId="499FEC82">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259.12</w:t>
            </w:r>
          </w:p>
        </w:tc>
        <w:tc>
          <w:tcPr>
            <w:tcW w:w="1277" w:type="dxa"/>
            <w:tcBorders>
              <w:top w:val="nil"/>
              <w:left w:val="nil"/>
              <w:bottom w:val="single" w:color="auto" w:sz="4" w:space="0"/>
              <w:right w:val="single" w:color="auto" w:sz="4" w:space="0"/>
            </w:tcBorders>
            <w:shd w:val="clear" w:color="auto" w:fill="auto"/>
            <w:noWrap/>
            <w:vAlign w:val="center"/>
          </w:tcPr>
          <w:p w14:paraId="6C0CB95A">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318.11</w:t>
            </w:r>
          </w:p>
        </w:tc>
      </w:tr>
      <w:tr w14:paraId="65A8622F">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5715BCD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5</w:t>
            </w:r>
          </w:p>
        </w:tc>
        <w:tc>
          <w:tcPr>
            <w:tcW w:w="2857" w:type="dxa"/>
            <w:tcBorders>
              <w:top w:val="nil"/>
              <w:left w:val="nil"/>
              <w:bottom w:val="single" w:color="auto" w:sz="4" w:space="0"/>
              <w:right w:val="single" w:color="auto" w:sz="4" w:space="0"/>
            </w:tcBorders>
            <w:shd w:val="clear" w:color="auto" w:fill="auto"/>
            <w:noWrap/>
            <w:vAlign w:val="center"/>
          </w:tcPr>
          <w:p w14:paraId="25E96D7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居民人均生活用电量</w:t>
            </w:r>
          </w:p>
        </w:tc>
        <w:tc>
          <w:tcPr>
            <w:tcW w:w="1948" w:type="dxa"/>
            <w:tcBorders>
              <w:top w:val="nil"/>
              <w:left w:val="nil"/>
              <w:bottom w:val="single" w:color="auto" w:sz="4" w:space="0"/>
              <w:right w:val="single" w:color="auto" w:sz="4" w:space="0"/>
            </w:tcBorders>
            <w:shd w:val="clear" w:color="auto" w:fill="auto"/>
            <w:noWrap/>
            <w:vAlign w:val="center"/>
          </w:tcPr>
          <w:p w14:paraId="33B434E0">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千瓦时</w:t>
            </w:r>
          </w:p>
        </w:tc>
        <w:tc>
          <w:tcPr>
            <w:tcW w:w="1277" w:type="dxa"/>
            <w:tcBorders>
              <w:top w:val="nil"/>
              <w:left w:val="nil"/>
              <w:bottom w:val="single" w:color="auto" w:sz="4" w:space="0"/>
              <w:right w:val="single" w:color="auto" w:sz="4" w:space="0"/>
            </w:tcBorders>
            <w:shd w:val="clear" w:color="auto" w:fill="auto"/>
            <w:noWrap/>
            <w:vAlign w:val="center"/>
          </w:tcPr>
          <w:p w14:paraId="4D30D96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426</w:t>
            </w:r>
          </w:p>
        </w:tc>
        <w:tc>
          <w:tcPr>
            <w:tcW w:w="1277" w:type="dxa"/>
            <w:tcBorders>
              <w:top w:val="nil"/>
              <w:left w:val="nil"/>
              <w:bottom w:val="single" w:color="auto" w:sz="4" w:space="0"/>
              <w:right w:val="single" w:color="auto" w:sz="4" w:space="0"/>
            </w:tcBorders>
            <w:shd w:val="clear" w:color="auto" w:fill="auto"/>
            <w:noWrap/>
            <w:vAlign w:val="center"/>
          </w:tcPr>
          <w:p w14:paraId="695474A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571</w:t>
            </w:r>
          </w:p>
        </w:tc>
      </w:tr>
      <w:tr w14:paraId="224FB47E">
        <w:tblPrEx>
          <w:tblCellMar>
            <w:top w:w="0" w:type="dxa"/>
            <w:left w:w="108" w:type="dxa"/>
            <w:bottom w:w="0" w:type="dxa"/>
            <w:right w:w="108" w:type="dxa"/>
          </w:tblCellMar>
        </w:tblPrEx>
        <w:trPr>
          <w:trHeight w:val="369" w:hRule="atLeast"/>
        </w:trPr>
        <w:tc>
          <w:tcPr>
            <w:tcW w:w="1169" w:type="dxa"/>
            <w:tcBorders>
              <w:top w:val="nil"/>
              <w:left w:val="single" w:color="auto" w:sz="4" w:space="0"/>
              <w:bottom w:val="single" w:color="auto" w:sz="4" w:space="0"/>
              <w:right w:val="single" w:color="auto" w:sz="4" w:space="0"/>
            </w:tcBorders>
            <w:shd w:val="clear" w:color="auto" w:fill="auto"/>
            <w:noWrap/>
            <w:vAlign w:val="center"/>
          </w:tcPr>
          <w:p w14:paraId="29F0C8EC">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6</w:t>
            </w:r>
          </w:p>
        </w:tc>
        <w:tc>
          <w:tcPr>
            <w:tcW w:w="2857" w:type="dxa"/>
            <w:tcBorders>
              <w:top w:val="nil"/>
              <w:left w:val="nil"/>
              <w:bottom w:val="single" w:color="auto" w:sz="4" w:space="0"/>
              <w:right w:val="single" w:color="auto" w:sz="4" w:space="0"/>
            </w:tcBorders>
            <w:shd w:val="clear" w:color="auto" w:fill="auto"/>
            <w:noWrap/>
            <w:vAlign w:val="center"/>
          </w:tcPr>
          <w:p w14:paraId="1E917F9E">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能源消费总量</w:t>
            </w:r>
          </w:p>
        </w:tc>
        <w:tc>
          <w:tcPr>
            <w:tcW w:w="1948" w:type="dxa"/>
            <w:tcBorders>
              <w:top w:val="nil"/>
              <w:left w:val="nil"/>
              <w:bottom w:val="single" w:color="auto" w:sz="4" w:space="0"/>
              <w:right w:val="single" w:color="auto" w:sz="4" w:space="0"/>
            </w:tcBorders>
            <w:shd w:val="clear" w:color="auto" w:fill="auto"/>
            <w:noWrap/>
            <w:vAlign w:val="center"/>
          </w:tcPr>
          <w:p w14:paraId="54221B21">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万吨标准煤</w:t>
            </w:r>
          </w:p>
        </w:tc>
        <w:tc>
          <w:tcPr>
            <w:tcW w:w="1277" w:type="dxa"/>
            <w:tcBorders>
              <w:top w:val="nil"/>
              <w:left w:val="nil"/>
              <w:bottom w:val="single" w:color="auto" w:sz="4" w:space="0"/>
              <w:right w:val="single" w:color="auto" w:sz="4" w:space="0"/>
            </w:tcBorders>
            <w:shd w:val="clear" w:color="auto" w:fill="auto"/>
            <w:noWrap/>
            <w:vAlign w:val="center"/>
          </w:tcPr>
          <w:p w14:paraId="00CE83C2">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300.28</w:t>
            </w:r>
          </w:p>
        </w:tc>
        <w:tc>
          <w:tcPr>
            <w:tcW w:w="1277" w:type="dxa"/>
            <w:tcBorders>
              <w:top w:val="nil"/>
              <w:left w:val="nil"/>
              <w:bottom w:val="single" w:color="auto" w:sz="4" w:space="0"/>
              <w:right w:val="single" w:color="auto" w:sz="4" w:space="0"/>
            </w:tcBorders>
            <w:shd w:val="clear" w:color="auto" w:fill="auto"/>
            <w:noWrap/>
            <w:vAlign w:val="center"/>
          </w:tcPr>
          <w:p w14:paraId="36B87809">
            <w:pPr>
              <w:widowControl/>
              <w:spacing w:line="300" w:lineRule="exact"/>
              <w:jc w:val="center"/>
              <w:rPr>
                <w:rFonts w:ascii="Times New Roman" w:hAnsi="Times New Roman" w:eastAsia="方正仿宋_GBK"/>
                <w:bCs/>
                <w:kern w:val="0"/>
                <w:sz w:val="24"/>
                <w:szCs w:val="28"/>
              </w:rPr>
            </w:pPr>
            <w:r>
              <w:rPr>
                <w:rFonts w:hint="eastAsia" w:ascii="Times New Roman" w:hAnsi="Times New Roman" w:eastAsia="方正仿宋_GBK"/>
                <w:bCs/>
                <w:kern w:val="0"/>
                <w:sz w:val="24"/>
                <w:szCs w:val="28"/>
              </w:rPr>
              <w:t>326.22</w:t>
            </w:r>
          </w:p>
        </w:tc>
      </w:tr>
    </w:tbl>
    <w:p w14:paraId="152517EA">
      <w:pPr>
        <w:pStyle w:val="28"/>
        <w:adjustRightInd w:val="0"/>
        <w:snapToGrid w:val="0"/>
        <w:spacing w:line="640" w:lineRule="exact"/>
        <w:ind w:firstLine="640"/>
        <w:rPr>
          <w:rFonts w:ascii="Times New Roman" w:hAnsi="Times New Roman" w:eastAsia="方正仿宋_GBK"/>
          <w:sz w:val="32"/>
          <w:szCs w:val="32"/>
        </w:rPr>
      </w:pPr>
    </w:p>
    <w:p w14:paraId="7DDFD5C1">
      <w:pPr>
        <w:pStyle w:val="5"/>
        <w:ind w:firstLine="0" w:firstLineChars="0"/>
        <w:jc w:val="center"/>
        <w:rPr>
          <w:rFonts w:ascii="Times New Roman" w:hAnsi="Times New Roman"/>
          <w:sz w:val="36"/>
          <w:szCs w:val="36"/>
        </w:rPr>
      </w:pPr>
      <w:bookmarkStart w:id="3" w:name="_Toc123655022"/>
      <w:r>
        <w:rPr>
          <w:rFonts w:hint="eastAsia" w:ascii="Times New Roman" w:hAnsi="Times New Roman"/>
          <w:sz w:val="36"/>
          <w:szCs w:val="36"/>
        </w:rPr>
        <w:t>第二节 需求预测</w:t>
      </w:r>
      <w:bookmarkEnd w:id="3"/>
    </w:p>
    <w:p w14:paraId="54F91212">
      <w:pPr>
        <w:spacing w:line="600" w:lineRule="exact"/>
        <w:ind w:firstLine="640" w:firstLineChars="200"/>
        <w:outlineLvl w:val="2"/>
        <w:rPr>
          <w:rFonts w:ascii="Times New Roman" w:hAnsi="Times New Roman" w:eastAsia="方正仿宋_GBK"/>
          <w:b/>
          <w:sz w:val="32"/>
          <w:szCs w:val="32"/>
        </w:rPr>
      </w:pPr>
      <w:r>
        <w:rPr>
          <w:rFonts w:ascii="Times New Roman" w:hAnsi="Times New Roman" w:eastAsia="方正仿宋_GBK"/>
          <w:b/>
          <w:sz w:val="32"/>
          <w:szCs w:val="32"/>
        </w:rPr>
        <w:t>一</w:t>
      </w:r>
      <w:r>
        <w:rPr>
          <w:rFonts w:hint="eastAsia" w:ascii="Times New Roman" w:hAnsi="Times New Roman" w:eastAsia="方正仿宋_GBK"/>
          <w:b/>
          <w:sz w:val="32"/>
          <w:szCs w:val="32"/>
        </w:rPr>
        <w:t>、天然气</w:t>
      </w:r>
      <w:r>
        <w:rPr>
          <w:rFonts w:ascii="Times New Roman" w:hAnsi="Times New Roman" w:eastAsia="方正仿宋_GBK"/>
          <w:b/>
          <w:sz w:val="32"/>
          <w:szCs w:val="32"/>
        </w:rPr>
        <w:t>需求预测</w:t>
      </w:r>
    </w:p>
    <w:p w14:paraId="1FA1BAC2">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通过对全区居民用户、采暖用户、天然气汽车、天然气轮船、公用建筑及商业用户等用气量趋势分析，综合考虑九龙万博特铝新材料项目</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一、二期</w:t>
      </w:r>
      <w:r>
        <w:rPr>
          <w:rFonts w:hint="eastAsia" w:ascii="Times New Roman" w:hAnsi="Times New Roman" w:eastAsia="方正仿宋_GBK"/>
          <w:sz w:val="32"/>
          <w:szCs w:val="32"/>
          <w:lang w:eastAsia="zh-CN"/>
        </w:rPr>
        <w:t>工程）</w:t>
      </w:r>
      <w:r>
        <w:rPr>
          <w:rFonts w:hint="eastAsia" w:ascii="Times New Roman" w:hAnsi="Times New Roman" w:eastAsia="方正仿宋_GBK"/>
          <w:sz w:val="32"/>
          <w:szCs w:val="32"/>
        </w:rPr>
        <w:t>、三峡水利</w:t>
      </w:r>
      <w:r>
        <w:rPr>
          <w:rFonts w:hint="eastAsia" w:ascii="Times New Roman" w:hAnsi="Times New Roman" w:eastAsia="方正仿宋_GBK"/>
          <w:sz w:val="32"/>
          <w:szCs w:val="32"/>
          <w:lang w:eastAsia="zh-CN"/>
        </w:rPr>
        <w:t>万州</w:t>
      </w:r>
      <w:r>
        <w:rPr>
          <w:rFonts w:hint="eastAsia" w:ascii="Times New Roman" w:hAnsi="Times New Roman" w:eastAsia="方正仿宋_GBK"/>
          <w:sz w:val="32"/>
          <w:szCs w:val="32"/>
        </w:rPr>
        <w:t>燃气发电项目、长岭化工园天然气化工项目等工业用户用气量需求，经测算，</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区2025年天然气市场需求量约10.89亿立方米，2035年天然气市场需求量约25.00亿立方米。</w:t>
      </w:r>
    </w:p>
    <w:p w14:paraId="6291D2F4">
      <w:pPr>
        <w:spacing w:line="600" w:lineRule="exact"/>
        <w:ind w:firstLine="640" w:firstLineChars="200"/>
        <w:outlineLvl w:val="2"/>
        <w:rPr>
          <w:rFonts w:ascii="Times New Roman" w:hAnsi="Times New Roman" w:eastAsia="方正仿宋_GBK"/>
          <w:b/>
          <w:sz w:val="32"/>
          <w:szCs w:val="32"/>
        </w:rPr>
      </w:pPr>
      <w:r>
        <w:rPr>
          <w:rFonts w:hint="eastAsia" w:ascii="Times New Roman" w:hAnsi="Times New Roman" w:eastAsia="方正仿宋_GBK"/>
          <w:b/>
          <w:sz w:val="32"/>
          <w:szCs w:val="32"/>
        </w:rPr>
        <w:t>二、成品油</w:t>
      </w:r>
      <w:r>
        <w:rPr>
          <w:rFonts w:ascii="Times New Roman" w:hAnsi="Times New Roman" w:eastAsia="方正仿宋_GBK"/>
          <w:b/>
          <w:sz w:val="32"/>
          <w:szCs w:val="32"/>
        </w:rPr>
        <w:t>需求预测</w:t>
      </w:r>
    </w:p>
    <w:p w14:paraId="7D3538DD">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随着新能源汽车的快速发展，油品消费增速将呈现稳中有降态势。根据“十三五”期间全区GDP增长势头和相应的成品油消费弹性系数推算，预测到2025年，</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区成品油消费总量将达到25.</w:t>
      </w:r>
      <w:r>
        <w:rPr>
          <w:rFonts w:ascii="Times New Roman" w:hAnsi="Times New Roman" w:eastAsia="方正仿宋_GBK"/>
          <w:sz w:val="32"/>
          <w:szCs w:val="32"/>
        </w:rPr>
        <w:t>1</w:t>
      </w:r>
      <w:r>
        <w:rPr>
          <w:rFonts w:hint="eastAsia" w:ascii="Times New Roman" w:hAnsi="Times New Roman" w:eastAsia="方正仿宋_GBK"/>
          <w:sz w:val="32"/>
          <w:szCs w:val="32"/>
        </w:rPr>
        <w:t>万吨，到2035年，成品油消费总量将达到3</w:t>
      </w:r>
      <w:r>
        <w:rPr>
          <w:rFonts w:ascii="Times New Roman" w:hAnsi="Times New Roman" w:eastAsia="方正仿宋_GBK"/>
          <w:sz w:val="32"/>
          <w:szCs w:val="32"/>
        </w:rPr>
        <w:t>0.60</w:t>
      </w:r>
      <w:r>
        <w:rPr>
          <w:rFonts w:hint="eastAsia" w:ascii="Times New Roman" w:hAnsi="Times New Roman" w:eastAsia="方正仿宋_GBK"/>
          <w:sz w:val="32"/>
          <w:szCs w:val="32"/>
        </w:rPr>
        <w:t>万吨。</w:t>
      </w:r>
    </w:p>
    <w:p w14:paraId="2493FAA5">
      <w:pPr>
        <w:spacing w:line="600" w:lineRule="exact"/>
        <w:ind w:firstLine="640" w:firstLineChars="200"/>
        <w:outlineLvl w:val="2"/>
        <w:rPr>
          <w:rFonts w:ascii="Times New Roman" w:hAnsi="Times New Roman" w:eastAsia="方正仿宋_GBK"/>
          <w:b/>
          <w:sz w:val="32"/>
          <w:szCs w:val="32"/>
        </w:rPr>
      </w:pPr>
      <w:r>
        <w:rPr>
          <w:rFonts w:hint="eastAsia" w:ascii="Times New Roman" w:hAnsi="Times New Roman" w:eastAsia="方正仿宋_GBK"/>
          <w:b/>
          <w:sz w:val="32"/>
          <w:szCs w:val="32"/>
        </w:rPr>
        <w:t>三、电力</w:t>
      </w:r>
      <w:r>
        <w:rPr>
          <w:rFonts w:ascii="Times New Roman" w:hAnsi="Times New Roman" w:eastAsia="方正仿宋_GBK"/>
          <w:b/>
          <w:sz w:val="32"/>
          <w:szCs w:val="32"/>
        </w:rPr>
        <w:t>需求预测</w:t>
      </w:r>
    </w:p>
    <w:p w14:paraId="69966942">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通过采用回归模型法、年均增长法和灰色模型法3种方法预测</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区电网自然用户电量，将自然用户电量预测结果与大用户电量预测结果相加，通过对比分析，测算出</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区2025年全社会用电量为57.39亿千瓦时，2035年全社会用电量为100.19亿千瓦时。</w:t>
      </w:r>
    </w:p>
    <w:p w14:paraId="290A1656">
      <w:pPr>
        <w:spacing w:line="600" w:lineRule="exact"/>
        <w:ind w:firstLine="640" w:firstLineChars="200"/>
        <w:outlineLvl w:val="2"/>
        <w:rPr>
          <w:rFonts w:ascii="Times New Roman" w:hAnsi="Times New Roman" w:eastAsia="方正仿宋_GBK"/>
          <w:b/>
          <w:sz w:val="32"/>
          <w:szCs w:val="32"/>
        </w:rPr>
      </w:pPr>
      <w:r>
        <w:rPr>
          <w:rFonts w:hint="eastAsia" w:ascii="Times New Roman" w:hAnsi="Times New Roman" w:eastAsia="方正仿宋_GBK"/>
          <w:b/>
          <w:sz w:val="32"/>
          <w:szCs w:val="32"/>
        </w:rPr>
        <w:t>四、煤炭</w:t>
      </w:r>
      <w:r>
        <w:rPr>
          <w:rFonts w:ascii="Times New Roman" w:hAnsi="Times New Roman" w:eastAsia="方正仿宋_GBK"/>
          <w:b/>
          <w:sz w:val="32"/>
          <w:szCs w:val="32"/>
        </w:rPr>
        <w:t>需求预测</w:t>
      </w:r>
    </w:p>
    <w:p w14:paraId="1CBDE6AE">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根据工业园区企业入驻情况和招商引资进程，综合考虑</w:t>
      </w:r>
      <w:r>
        <w:rPr>
          <w:rFonts w:hint="eastAsia" w:ascii="Times New Roman" w:hAnsi="Times New Roman" w:eastAsia="方正仿宋_GBK"/>
          <w:sz w:val="32"/>
          <w:szCs w:val="32"/>
          <w:lang w:eastAsia="zh-CN"/>
        </w:rPr>
        <w:t>万州经开区</w:t>
      </w:r>
      <w:r>
        <w:rPr>
          <w:rFonts w:hint="eastAsia" w:ascii="Times New Roman" w:hAnsi="Times New Roman" w:eastAsia="方正仿宋_GBK"/>
          <w:sz w:val="32"/>
          <w:szCs w:val="32"/>
        </w:rPr>
        <w:t>九龙园热电联产项目、国能万州电厂（二期）200万千瓦装机火力发电项目、焦炭热电铬铁不锈钢一体化项目等用煤需求，经测算，</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区2025年煤炭消费总量将达到896.39万吨，2035年煤炭消费总量将达到1228.5万吨。</w:t>
      </w:r>
    </w:p>
    <w:p w14:paraId="19D0E02C">
      <w:pPr>
        <w:pStyle w:val="5"/>
        <w:spacing w:before="176" w:beforeLines="56"/>
        <w:ind w:firstLine="0" w:firstLineChars="0"/>
        <w:jc w:val="center"/>
        <w:rPr>
          <w:rFonts w:ascii="Times New Roman" w:hAnsi="Times New Roman"/>
          <w:sz w:val="36"/>
          <w:szCs w:val="36"/>
        </w:rPr>
      </w:pPr>
      <w:bookmarkStart w:id="4" w:name="_Toc123655023"/>
      <w:r>
        <w:rPr>
          <w:rFonts w:hint="eastAsia" w:ascii="Times New Roman" w:hAnsi="Times New Roman"/>
          <w:sz w:val="36"/>
          <w:szCs w:val="36"/>
        </w:rPr>
        <w:t>第三节 面临形势</w:t>
      </w:r>
      <w:bookmarkEnd w:id="4"/>
    </w:p>
    <w:p w14:paraId="5593B166">
      <w:pPr>
        <w:spacing w:line="600" w:lineRule="exact"/>
        <w:ind w:firstLine="640" w:firstLineChars="200"/>
        <w:outlineLvl w:val="2"/>
        <w:rPr>
          <w:rFonts w:ascii="Times New Roman" w:hAnsi="Times New Roman" w:eastAsia="方正仿宋_GBK"/>
          <w:b/>
          <w:sz w:val="32"/>
          <w:szCs w:val="32"/>
        </w:rPr>
      </w:pPr>
      <w:r>
        <w:rPr>
          <w:rFonts w:ascii="Times New Roman" w:hAnsi="Times New Roman" w:eastAsia="方正仿宋_GBK"/>
          <w:b/>
          <w:sz w:val="32"/>
          <w:szCs w:val="32"/>
        </w:rPr>
        <w:t>一</w:t>
      </w:r>
      <w:r>
        <w:rPr>
          <w:rFonts w:hint="eastAsia" w:ascii="Times New Roman" w:hAnsi="Times New Roman" w:eastAsia="方正仿宋_GBK"/>
          <w:b/>
          <w:sz w:val="32"/>
          <w:szCs w:val="32"/>
        </w:rPr>
        <w:t>、存在问题</w:t>
      </w:r>
    </w:p>
    <w:p w14:paraId="72BAC256">
      <w:pPr>
        <w:pStyle w:val="28"/>
        <w:adjustRightInd w:val="0"/>
        <w:snapToGrid w:val="0"/>
        <w:spacing w:line="640" w:lineRule="exact"/>
        <w:ind w:firstLine="643"/>
        <w:rPr>
          <w:rFonts w:ascii="Times New Roman" w:hAnsi="Times New Roman" w:eastAsia="方正仿宋_GBK"/>
          <w:sz w:val="32"/>
          <w:szCs w:val="32"/>
          <w:highlight w:val="yellow"/>
        </w:rPr>
      </w:pPr>
      <w:r>
        <w:rPr>
          <w:rFonts w:hint="eastAsia" w:ascii="Times New Roman" w:hAnsi="Times New Roman" w:eastAsia="方正仿宋_GBK"/>
          <w:b/>
          <w:sz w:val="32"/>
          <w:szCs w:val="32"/>
        </w:rPr>
        <w:t>能源保障能力有待提高。</w:t>
      </w:r>
      <w:r>
        <w:rPr>
          <w:rFonts w:hint="eastAsia" w:ascii="Times New Roman" w:hAnsi="Times New Roman" w:eastAsia="方正仿宋_GBK"/>
          <w:sz w:val="32"/>
          <w:szCs w:val="32"/>
        </w:rPr>
        <w:t>全区天然气供应主体多且性质复杂，燃气管网未进行统一规划布置，管网错综复杂，未形成互联互通的环网结构，缺乏天然气应急储配设施，迎峰度冬期间区内自我调峰能力较弱。全区加油站（点）布局不合理，成品油储运体系尚不完备。</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区两家供电企业电网还未实现更高电压等级、更大输电容量的联网，全区</w:t>
      </w:r>
      <w:r>
        <w:rPr>
          <w:rFonts w:ascii="Times New Roman" w:hAnsi="Times New Roman" w:eastAsia="方正仿宋_GBK"/>
          <w:sz w:val="32"/>
          <w:szCs w:val="32"/>
        </w:rPr>
        <w:t>220</w:t>
      </w:r>
      <w:r>
        <w:rPr>
          <w:rFonts w:hint="eastAsia" w:ascii="Times New Roman" w:hAnsi="Times New Roman" w:eastAsia="方正仿宋_GBK"/>
          <w:sz w:val="32"/>
          <w:szCs w:val="32"/>
        </w:rPr>
        <w:t>千伏网络骨干网架尚未建成，</w:t>
      </w:r>
      <w:r>
        <w:rPr>
          <w:rFonts w:ascii="Times New Roman" w:hAnsi="Times New Roman" w:eastAsia="方正仿宋_GBK"/>
          <w:sz w:val="32"/>
          <w:szCs w:val="32"/>
        </w:rPr>
        <w:t>110</w:t>
      </w:r>
      <w:r>
        <w:rPr>
          <w:rFonts w:hint="eastAsia" w:ascii="Times New Roman" w:hAnsi="Times New Roman" w:eastAsia="方正仿宋_GBK"/>
          <w:sz w:val="32"/>
          <w:szCs w:val="32"/>
        </w:rPr>
        <w:t>千伏和</w:t>
      </w:r>
      <w:r>
        <w:rPr>
          <w:rFonts w:ascii="Times New Roman" w:hAnsi="Times New Roman" w:eastAsia="方正仿宋_GBK"/>
          <w:sz w:val="32"/>
          <w:szCs w:val="32"/>
        </w:rPr>
        <w:t>35</w:t>
      </w:r>
      <w:r>
        <w:rPr>
          <w:rFonts w:hint="eastAsia" w:ascii="Times New Roman" w:hAnsi="Times New Roman" w:eastAsia="方正仿宋_GBK"/>
          <w:sz w:val="32"/>
          <w:szCs w:val="32"/>
        </w:rPr>
        <w:t>千伏网络供电能力不足，重载或超载线路较多，供电可靠性有待提高。煤炭方面，缺乏规模化储煤基地，在煤炭市场供应短缺的情况下，生产用煤量难以保障。</w:t>
      </w:r>
    </w:p>
    <w:p w14:paraId="633D1B33">
      <w:pPr>
        <w:pStyle w:val="28"/>
        <w:adjustRightInd w:val="0"/>
        <w:snapToGrid w:val="0"/>
        <w:spacing w:line="640" w:lineRule="exact"/>
        <w:ind w:firstLine="643"/>
        <w:rPr>
          <w:rFonts w:ascii="Times New Roman" w:hAnsi="Times New Roman" w:eastAsia="方正仿宋_GBK"/>
          <w:sz w:val="32"/>
          <w:szCs w:val="32"/>
        </w:rPr>
      </w:pPr>
      <w:r>
        <w:rPr>
          <w:rFonts w:hint="eastAsia" w:ascii="Times New Roman" w:hAnsi="Times New Roman" w:eastAsia="方正仿宋_GBK"/>
          <w:b/>
          <w:sz w:val="32"/>
          <w:szCs w:val="32"/>
        </w:rPr>
        <w:t>清洁能源开发利用率低。</w:t>
      </w:r>
      <w:r>
        <w:rPr>
          <w:rFonts w:hint="eastAsia" w:ascii="Times New Roman" w:hAnsi="Times New Roman" w:eastAsia="方正仿宋_GBK"/>
          <w:sz w:val="32"/>
          <w:szCs w:val="32"/>
        </w:rPr>
        <w:t>截</w:t>
      </w:r>
      <w:r>
        <w:rPr>
          <w:rFonts w:hint="eastAsia" w:ascii="Times New Roman" w:hAnsi="Times New Roman" w:eastAsia="方正仿宋_GBK"/>
          <w:sz w:val="32"/>
          <w:szCs w:val="32"/>
          <w:lang w:eastAsia="zh-CN"/>
        </w:rPr>
        <w:t>至</w:t>
      </w:r>
      <w:r>
        <w:rPr>
          <w:rFonts w:hint="eastAsia" w:ascii="Times New Roman" w:hAnsi="Times New Roman" w:eastAsia="方正仿宋_GBK"/>
          <w:sz w:val="32"/>
          <w:szCs w:val="32"/>
        </w:rPr>
        <w:t>2020年，全区电力装机容量约</w:t>
      </w:r>
      <w:r>
        <w:rPr>
          <w:rFonts w:ascii="Times New Roman" w:hAnsi="Times New Roman" w:eastAsia="方正仿宋_GBK"/>
          <w:sz w:val="32"/>
          <w:szCs w:val="32"/>
        </w:rPr>
        <w:t>2</w:t>
      </w:r>
      <w:r>
        <w:rPr>
          <w:rFonts w:hint="eastAsia" w:ascii="Times New Roman" w:hAnsi="Times New Roman" w:eastAsia="方正仿宋_GBK"/>
          <w:sz w:val="32"/>
          <w:szCs w:val="32"/>
        </w:rPr>
        <w:t>45万千瓦，其中水电、风电、光伏、垃圾发电等清洁能源装机容量约28.79万千瓦，仅占11.75%。小水电开发受政策限制，目前基本处于停滞状态。风能、太阳能资源禀赋较差，且已开发量较小，鹿鸣垭、李家坪等风电场尚未启动建设，集中式光伏电站项目仍在选址论证阶段，太阳能多元化利用探索还有待进一步加强。</w:t>
      </w:r>
    </w:p>
    <w:p w14:paraId="422C7FD6">
      <w:pPr>
        <w:pStyle w:val="28"/>
        <w:adjustRightInd w:val="0"/>
        <w:snapToGrid w:val="0"/>
        <w:spacing w:line="640" w:lineRule="exact"/>
        <w:ind w:firstLine="643"/>
        <w:rPr>
          <w:rFonts w:ascii="Times New Roman" w:hAnsi="Times New Roman" w:eastAsia="方正仿宋_GBK"/>
          <w:sz w:val="32"/>
          <w:szCs w:val="32"/>
        </w:rPr>
      </w:pPr>
      <w:r>
        <w:rPr>
          <w:rFonts w:hint="eastAsia" w:ascii="Times New Roman" w:hAnsi="Times New Roman" w:eastAsia="方正仿宋_GBK"/>
          <w:b/>
          <w:sz w:val="32"/>
          <w:szCs w:val="32"/>
        </w:rPr>
        <w:t>节能减排压力较大。</w:t>
      </w:r>
      <w:r>
        <w:rPr>
          <w:rFonts w:hint="eastAsia" w:ascii="Times New Roman" w:hAnsi="Times New Roman" w:eastAsia="方正仿宋_GBK"/>
          <w:sz w:val="32"/>
          <w:szCs w:val="32"/>
          <w:lang w:eastAsia="zh-CN"/>
        </w:rPr>
        <w:t>全</w:t>
      </w:r>
      <w:r>
        <w:rPr>
          <w:rFonts w:hint="eastAsia" w:ascii="Times New Roman" w:hAnsi="Times New Roman" w:eastAsia="方正仿宋_GBK"/>
          <w:sz w:val="32"/>
          <w:szCs w:val="32"/>
        </w:rPr>
        <w:t>区煤炭、成品油、天然气等消费量占能源消费总量的83.85%，化石能源消费比重过大，能源消费结构短时间内难以转变。电力、建材、化工等传统高能耗行业亟待实施技改，余能有待充分利用，低碳园区、零碳园区的开发和建设需进一步加快。新型储能、充</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换</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电、加气、加氢等配套基础设施建设不完善，新能源汽车推广缓慢。“双碳”目标下，全区在能源结构调整、能源利用率提升、推进绿色生产、低碳生活等方面仍面临较大挑战。</w:t>
      </w:r>
    </w:p>
    <w:p w14:paraId="69821F4B">
      <w:pPr>
        <w:spacing w:line="600" w:lineRule="exact"/>
        <w:ind w:firstLine="640" w:firstLineChars="200"/>
        <w:outlineLvl w:val="2"/>
        <w:rPr>
          <w:rFonts w:ascii="Times New Roman" w:hAnsi="Times New Roman" w:eastAsia="方正仿宋_GBK"/>
          <w:b/>
          <w:sz w:val="32"/>
          <w:szCs w:val="32"/>
        </w:rPr>
      </w:pPr>
      <w:r>
        <w:rPr>
          <w:rFonts w:hint="eastAsia" w:ascii="Times New Roman" w:hAnsi="Times New Roman" w:eastAsia="方正仿宋_GBK"/>
          <w:b/>
          <w:sz w:val="32"/>
          <w:szCs w:val="32"/>
        </w:rPr>
        <w:t>二、发展机遇</w:t>
      </w:r>
    </w:p>
    <w:p w14:paraId="4B057A6F">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全球应对气候变化开启新征程，世界能源结构加速调整，主要经济体积极推动经济绿色复苏，清洁低碳能源发展迎来新机遇。我国步入构建现代能源体系的新阶段，能源低碳转型进入碳达峰关键期，能源发展从总量扩张向提质增效转变，呈现能源消费增速放缓、结构加速优化、增长动力转换等新特征，油气替代煤炭、非化石能源替代化石能源的双重替代步伐加快。重庆市紧扣碳达峰碳中和目标，着力提高能源产业现代化水平，推动能源清洁高效开发、能源生产低碳转型发展，加快构建多元安全的能源供给体系和创新引领的能源产业体系，为我区能源高质量发展指明了方向。</w:t>
      </w:r>
    </w:p>
    <w:p w14:paraId="27151673">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lang w:eastAsia="zh-CN"/>
        </w:rPr>
        <w:t>我</w:t>
      </w:r>
      <w:r>
        <w:rPr>
          <w:rFonts w:hint="eastAsia" w:ascii="Times New Roman" w:hAnsi="Times New Roman" w:eastAsia="方正仿宋_GBK"/>
          <w:sz w:val="32"/>
          <w:szCs w:val="32"/>
        </w:rPr>
        <w:t>区能源发展要坚持从全局谋划一域，以一域服务全局，深刻把握新时代新特征新要求，抢抓发展新机遇，以清洁低碳为重点，以提升系统经济性为目标，以智能化升级为手段，固根基、扬优势、补短板、强弱项，推动能源产业加快发展，提升能源供应保障能力，加快构建清洁低碳、安全高效的现代能源体系，有力支撑经济社会高质量发展。</w:t>
      </w:r>
    </w:p>
    <w:p w14:paraId="7A4F4EE8">
      <w:pPr>
        <w:pStyle w:val="4"/>
        <w:spacing w:before="312" w:beforeLines="100" w:after="156"/>
      </w:pPr>
      <w:bookmarkStart w:id="5" w:name="_Toc123655024"/>
      <w:r>
        <w:t>第</w:t>
      </w:r>
      <w:r>
        <w:rPr>
          <w:rFonts w:hint="eastAsia"/>
        </w:rPr>
        <w:t>二</w:t>
      </w:r>
      <w:r>
        <w:t>章</w:t>
      </w:r>
      <w:r>
        <w:rPr>
          <w:rFonts w:hint="eastAsia"/>
        </w:rPr>
        <w:t xml:space="preserve"> 总体</w:t>
      </w:r>
      <w:r>
        <w:t>要求</w:t>
      </w:r>
      <w:bookmarkEnd w:id="5"/>
    </w:p>
    <w:p w14:paraId="59D0D43B">
      <w:pPr>
        <w:pStyle w:val="5"/>
        <w:ind w:firstLine="0" w:firstLineChars="0"/>
        <w:jc w:val="center"/>
        <w:rPr>
          <w:rFonts w:ascii="Times New Roman" w:hAnsi="Times New Roman"/>
          <w:sz w:val="36"/>
          <w:szCs w:val="36"/>
        </w:rPr>
      </w:pPr>
      <w:bookmarkStart w:id="6" w:name="_Toc123655025"/>
      <w:r>
        <w:rPr>
          <w:rFonts w:hint="eastAsia" w:ascii="Times New Roman" w:hAnsi="Times New Roman"/>
          <w:sz w:val="36"/>
          <w:szCs w:val="36"/>
        </w:rPr>
        <w:t>第一节 指导思想</w:t>
      </w:r>
      <w:bookmarkEnd w:id="6"/>
    </w:p>
    <w:p w14:paraId="08CBB8AB">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以习近平新时代中国特色社会主义思想为指导，深入贯彻党的二十大及二十届二中全会精神，全面落实习近平总书记对重庆</w:t>
      </w:r>
      <w:r>
        <w:rPr>
          <w:rFonts w:hint="eastAsia" w:ascii="Times New Roman" w:hAnsi="Times New Roman" w:eastAsia="方正仿宋_GBK"/>
          <w:sz w:val="32"/>
          <w:szCs w:val="32"/>
          <w:lang w:eastAsia="zh-CN"/>
        </w:rPr>
        <w:t>所</w:t>
      </w:r>
      <w:r>
        <w:rPr>
          <w:rFonts w:hint="eastAsia" w:ascii="Times New Roman" w:hAnsi="Times New Roman" w:eastAsia="方正仿宋_GBK"/>
          <w:sz w:val="32"/>
          <w:szCs w:val="32"/>
        </w:rPr>
        <w:t>作</w:t>
      </w:r>
      <w:r>
        <w:rPr>
          <w:rFonts w:hint="eastAsia" w:ascii="Times New Roman" w:hAnsi="Times New Roman" w:eastAsia="方正仿宋_GBK"/>
          <w:sz w:val="32"/>
          <w:szCs w:val="32"/>
          <w:lang w:eastAsia="zh-CN"/>
        </w:rPr>
        <w:t>重要讲话和</w:t>
      </w:r>
      <w:r>
        <w:rPr>
          <w:rFonts w:hint="eastAsia" w:ascii="Times New Roman" w:hAnsi="Times New Roman" w:eastAsia="方正仿宋_GBK"/>
          <w:sz w:val="32"/>
          <w:szCs w:val="32"/>
        </w:rPr>
        <w:t>系列重要指示批示</w:t>
      </w:r>
      <w:r>
        <w:rPr>
          <w:rFonts w:hint="eastAsia" w:ascii="Times New Roman" w:hAnsi="Times New Roman" w:eastAsia="方正仿宋_GBK"/>
          <w:sz w:val="32"/>
          <w:szCs w:val="32"/>
          <w:lang w:eastAsia="zh-CN"/>
        </w:rPr>
        <w:t>精神</w:t>
      </w:r>
      <w:r>
        <w:rPr>
          <w:rFonts w:hint="eastAsia" w:ascii="Times New Roman" w:hAnsi="Times New Roman" w:eastAsia="方正仿宋_GBK"/>
          <w:sz w:val="32"/>
          <w:szCs w:val="32"/>
        </w:rPr>
        <w:t>，准确把握新发展阶段，完整、准确、全面贯彻新发展理念，积极</w:t>
      </w:r>
      <w:r>
        <w:rPr>
          <w:rFonts w:hint="eastAsia" w:ascii="Times New Roman" w:hAnsi="Times New Roman" w:eastAsia="方正仿宋_GBK"/>
          <w:sz w:val="32"/>
          <w:szCs w:val="32"/>
          <w:lang w:eastAsia="zh-CN"/>
        </w:rPr>
        <w:t>服务和</w:t>
      </w:r>
      <w:r>
        <w:rPr>
          <w:rFonts w:hint="eastAsia" w:ascii="Times New Roman" w:hAnsi="Times New Roman" w:eastAsia="方正仿宋_GBK"/>
          <w:sz w:val="32"/>
          <w:szCs w:val="32"/>
        </w:rPr>
        <w:t>融入新发展格局，以推动高质量发展为主题，以改革创新为根本动力，以满足人民日益增长的美好生活需要为根本目的，坚持和完善能耗“双控”制度，提升能源安全保障能力、加快绿色转型发展并重，增强能源供应链安全性和稳定性，提升能源产业链现代化水平，加快构建清洁低碳、安全高效的现代能源体系，为谋划实现碳达峰碳中和目标、建成生态优先绿色发展示范区提供强劲驱动力。</w:t>
      </w:r>
    </w:p>
    <w:p w14:paraId="51FE9E02">
      <w:pPr>
        <w:pStyle w:val="5"/>
        <w:ind w:firstLine="0" w:firstLineChars="0"/>
        <w:jc w:val="center"/>
        <w:rPr>
          <w:rFonts w:ascii="Times New Roman" w:hAnsi="Times New Roman"/>
          <w:sz w:val="36"/>
          <w:szCs w:val="36"/>
        </w:rPr>
      </w:pPr>
      <w:bookmarkStart w:id="7" w:name="_Toc123655026"/>
      <w:r>
        <w:rPr>
          <w:rFonts w:hint="eastAsia" w:ascii="Times New Roman" w:hAnsi="Times New Roman"/>
          <w:sz w:val="36"/>
          <w:szCs w:val="36"/>
        </w:rPr>
        <w:t>第二节 基本原则</w:t>
      </w:r>
      <w:bookmarkEnd w:id="7"/>
    </w:p>
    <w:p w14:paraId="3C60DDEA">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坚持生态优先，绿色低碳。围绕碳达峰碳中和目标，推动能源清洁高效开发、能源生产低碳转型发展，推动能源利用和消费方式根本性转变。</w:t>
      </w:r>
    </w:p>
    <w:p w14:paraId="331BE134">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坚持系统优化，安全高效。把握能源的整体性、系统性特点，统筹处理好局部和全局、当前和长远、主要与次要的关系，统筹产供储销各环节，增强系统运行和资源配置效率。</w:t>
      </w:r>
    </w:p>
    <w:p w14:paraId="5764F6FD">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创新驱动，智慧融合。把创新作为推动能源发展的第一动力，着力提升能源科技创新能力，加快能源产业数字化和智能化升级，加快能源领域关键核心技术攻关和成熟先进技术的产业化推广应用，提升能源产业现代化水平。</w:t>
      </w:r>
    </w:p>
    <w:p w14:paraId="0CC969CA">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深化改革，扩大开放。加快重点领域和关键环节改革步伐，充分发挥市场在资源配置中的决定性作用，更好发挥政府作用，破除制约能源高质量发展的体制机制障碍，实施更大范围、更宽领域、更深层次的对外开放和区域合作。</w:t>
      </w:r>
    </w:p>
    <w:p w14:paraId="22820F70">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坚持服务民生，共享发展。坚持以人民为中心，有效提升能源普遍服务水平。强化能源民生保障，推动能源发展成果更多更好满足人民日益增长的美好生活需要，助力城市建设和乡村振兴，提升发展共享水平。</w:t>
      </w:r>
    </w:p>
    <w:p w14:paraId="011AE0F5">
      <w:pPr>
        <w:pStyle w:val="5"/>
        <w:ind w:firstLine="0" w:firstLineChars="0"/>
        <w:jc w:val="center"/>
        <w:rPr>
          <w:rFonts w:ascii="Times New Roman" w:hAnsi="Times New Roman"/>
          <w:sz w:val="36"/>
          <w:szCs w:val="36"/>
        </w:rPr>
      </w:pPr>
      <w:bookmarkStart w:id="8" w:name="_Toc123655027"/>
      <w:r>
        <w:rPr>
          <w:rFonts w:hint="eastAsia" w:ascii="Times New Roman" w:hAnsi="Times New Roman"/>
          <w:sz w:val="36"/>
          <w:szCs w:val="36"/>
        </w:rPr>
        <w:t>第三节 发展目标</w:t>
      </w:r>
      <w:bookmarkEnd w:id="8"/>
    </w:p>
    <w:p w14:paraId="03618B62">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能源保障安全有力。到2025年，全区电力装机容量达340万千瓦，天然气产量达到10亿立方米，天然气储备能力达64万立方米，成品油储备能力超过10万吨，储煤能力达到150万吨，能源储备体系进一步完善，应急保供能力进一步增强。</w:t>
      </w:r>
    </w:p>
    <w:p w14:paraId="3C740A09">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能源绿色转型成效显著。到2025年，清洁能源开发利用水平进一步提高，光伏、风电发电总装机达到</w:t>
      </w:r>
      <w:r>
        <w:rPr>
          <w:rFonts w:ascii="Times New Roman" w:hAnsi="Times New Roman" w:eastAsia="方正仿宋_GBK"/>
          <w:sz w:val="32"/>
          <w:szCs w:val="32"/>
        </w:rPr>
        <w:t>4</w:t>
      </w:r>
      <w:r>
        <w:rPr>
          <w:rFonts w:hint="eastAsia" w:ascii="Times New Roman" w:hAnsi="Times New Roman" w:eastAsia="方正仿宋_GBK"/>
          <w:sz w:val="32"/>
          <w:szCs w:val="32"/>
        </w:rPr>
        <w:t>0万千瓦，可再生能源装机占比提高到</w:t>
      </w:r>
      <w:r>
        <w:rPr>
          <w:rFonts w:ascii="Times New Roman" w:hAnsi="Times New Roman" w:eastAsia="方正仿宋_GBK"/>
          <w:sz w:val="32"/>
          <w:szCs w:val="32"/>
        </w:rPr>
        <w:t>2</w:t>
      </w:r>
      <w:r>
        <w:rPr>
          <w:rFonts w:hint="eastAsia" w:ascii="Times New Roman" w:hAnsi="Times New Roman" w:eastAsia="方正仿宋_GBK"/>
          <w:sz w:val="32"/>
          <w:szCs w:val="32"/>
        </w:rPr>
        <w:t>0</w:t>
      </w:r>
      <w:r>
        <w:rPr>
          <w:rFonts w:ascii="Times New Roman" w:hAnsi="Times New Roman" w:eastAsia="方正仿宋_GBK"/>
          <w:sz w:val="32"/>
          <w:szCs w:val="32"/>
        </w:rPr>
        <w:t>%</w:t>
      </w:r>
      <w:r>
        <w:rPr>
          <w:rFonts w:hint="eastAsia" w:ascii="Times New Roman" w:hAnsi="Times New Roman" w:eastAsia="方正仿宋_GBK"/>
          <w:sz w:val="32"/>
          <w:szCs w:val="32"/>
        </w:rPr>
        <w:t>。全区单位地区生产总值能耗下降率和单位地区生产总值二氧化碳排放下降率达到重庆市下达指标要求。</w:t>
      </w:r>
    </w:p>
    <w:p w14:paraId="6A6F1E37">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普遍服务水平持续提升。城乡居民生产生活用能保障能力进一步增强，电、气、冷、热等多样化能源可获得率显著提升，居民人均生活用电达到1000千瓦时以上。城乡供能基础设施均衡发展，电网、油气管网等基础设施加快建设，能源输送网络更加高效、智能和安全。</w:t>
      </w:r>
    </w:p>
    <w:p w14:paraId="0BFE76B6">
      <w:pPr>
        <w:pStyle w:val="10"/>
        <w:spacing w:line="580" w:lineRule="exact"/>
        <w:jc w:val="center"/>
        <w:rPr>
          <w:rFonts w:ascii="Times New Roman" w:hAnsi="Times New Roman" w:eastAsia="方正黑体_GBK"/>
          <w:sz w:val="32"/>
          <w:szCs w:val="32"/>
        </w:rPr>
      </w:pPr>
      <w:r>
        <w:rPr>
          <w:rFonts w:hint="eastAsia" w:ascii="Times New Roman" w:hAnsi="Times New Roman" w:eastAsia="方正黑体_GBK" w:cs="Times New Roman"/>
          <w:sz w:val="28"/>
          <w:szCs w:val="24"/>
        </w:rPr>
        <w:t xml:space="preserve">专栏2 </w:t>
      </w:r>
      <w:r>
        <w:rPr>
          <w:rFonts w:hint="eastAsia" w:ascii="Times New Roman" w:hAnsi="Times New Roman" w:eastAsia="方正黑体_GBK" w:cs="Times New Roman"/>
          <w:sz w:val="28"/>
          <w:szCs w:val="24"/>
          <w:lang w:eastAsia="zh-CN"/>
        </w:rPr>
        <w:t>全</w:t>
      </w:r>
      <w:r>
        <w:rPr>
          <w:rFonts w:hint="eastAsia" w:ascii="Times New Roman" w:hAnsi="Times New Roman" w:eastAsia="方正黑体_GBK" w:cs="Times New Roman"/>
          <w:sz w:val="28"/>
          <w:szCs w:val="24"/>
        </w:rPr>
        <w:t>区“十四五”时期能源发展主要指标</w:t>
      </w:r>
    </w:p>
    <w:tbl>
      <w:tblPr>
        <w:tblStyle w:val="16"/>
        <w:tblW w:w="9171" w:type="dxa"/>
        <w:jc w:val="center"/>
        <w:tblLayout w:type="fixed"/>
        <w:tblCellMar>
          <w:top w:w="0" w:type="dxa"/>
          <w:left w:w="108" w:type="dxa"/>
          <w:bottom w:w="0" w:type="dxa"/>
          <w:right w:w="108" w:type="dxa"/>
        </w:tblCellMar>
      </w:tblPr>
      <w:tblGrid>
        <w:gridCol w:w="714"/>
        <w:gridCol w:w="2693"/>
        <w:gridCol w:w="1276"/>
        <w:gridCol w:w="992"/>
        <w:gridCol w:w="1276"/>
        <w:gridCol w:w="1189"/>
        <w:gridCol w:w="1031"/>
      </w:tblGrid>
      <w:tr w14:paraId="148A7753">
        <w:tblPrEx>
          <w:tblCellMar>
            <w:top w:w="0" w:type="dxa"/>
            <w:left w:w="108" w:type="dxa"/>
            <w:bottom w:w="0" w:type="dxa"/>
            <w:right w:w="108" w:type="dxa"/>
          </w:tblCellMar>
        </w:tblPrEx>
        <w:trPr>
          <w:trHeight w:val="369" w:hRule="atLeast"/>
          <w:jc w:val="center"/>
        </w:trPr>
        <w:tc>
          <w:tcPr>
            <w:tcW w:w="34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949B0E">
            <w:pPr>
              <w:widowControl/>
              <w:spacing w:line="300" w:lineRule="exact"/>
              <w:jc w:val="center"/>
              <w:rPr>
                <w:rFonts w:ascii="Times New Roman" w:hAnsi="Times New Roman" w:eastAsia="方正仿宋_GBK" w:cs="宋体"/>
                <w:b/>
                <w:bCs/>
                <w:kern w:val="0"/>
                <w:sz w:val="24"/>
                <w:szCs w:val="24"/>
              </w:rPr>
            </w:pPr>
            <w:r>
              <w:rPr>
                <w:rFonts w:hint="eastAsia" w:ascii="Times New Roman" w:hAnsi="Times New Roman" w:eastAsia="方正仿宋_GBK" w:cs="宋体"/>
                <w:b/>
                <w:bCs/>
                <w:kern w:val="0"/>
                <w:sz w:val="24"/>
                <w:szCs w:val="24"/>
              </w:rPr>
              <w:t>指标名称</w:t>
            </w:r>
          </w:p>
        </w:tc>
        <w:tc>
          <w:tcPr>
            <w:tcW w:w="1276" w:type="dxa"/>
            <w:tcBorders>
              <w:top w:val="single" w:color="auto" w:sz="4" w:space="0"/>
              <w:left w:val="nil"/>
              <w:bottom w:val="single" w:color="auto" w:sz="4" w:space="0"/>
              <w:right w:val="single" w:color="auto" w:sz="4" w:space="0"/>
            </w:tcBorders>
            <w:shd w:val="clear" w:color="auto" w:fill="auto"/>
            <w:vAlign w:val="center"/>
          </w:tcPr>
          <w:p w14:paraId="6A80693A">
            <w:pPr>
              <w:widowControl/>
              <w:spacing w:line="300" w:lineRule="exact"/>
              <w:jc w:val="center"/>
              <w:rPr>
                <w:rFonts w:ascii="Times New Roman" w:hAnsi="Times New Roman" w:eastAsia="方正仿宋_GBK" w:cs="宋体"/>
                <w:b/>
                <w:bCs/>
                <w:kern w:val="0"/>
                <w:sz w:val="24"/>
                <w:szCs w:val="24"/>
              </w:rPr>
            </w:pPr>
            <w:r>
              <w:rPr>
                <w:rFonts w:hint="eastAsia" w:ascii="Times New Roman" w:hAnsi="Times New Roman" w:eastAsia="方正仿宋_GBK" w:cs="宋体"/>
                <w:b/>
                <w:bCs/>
                <w:kern w:val="0"/>
                <w:sz w:val="24"/>
                <w:szCs w:val="24"/>
              </w:rPr>
              <w:t>单位</w:t>
            </w:r>
          </w:p>
        </w:tc>
        <w:tc>
          <w:tcPr>
            <w:tcW w:w="992" w:type="dxa"/>
            <w:tcBorders>
              <w:top w:val="single" w:color="auto" w:sz="4" w:space="0"/>
              <w:left w:val="nil"/>
              <w:bottom w:val="single" w:color="auto" w:sz="4" w:space="0"/>
              <w:right w:val="single" w:color="auto" w:sz="4" w:space="0"/>
            </w:tcBorders>
            <w:shd w:val="clear" w:color="auto" w:fill="auto"/>
            <w:vAlign w:val="center"/>
          </w:tcPr>
          <w:p w14:paraId="3DFC9567">
            <w:pPr>
              <w:widowControl/>
              <w:spacing w:line="300" w:lineRule="exact"/>
              <w:jc w:val="center"/>
              <w:rPr>
                <w:rFonts w:ascii="Times New Roman" w:hAnsi="Times New Roman"/>
                <w:b/>
                <w:bCs/>
                <w:kern w:val="0"/>
                <w:sz w:val="24"/>
                <w:szCs w:val="24"/>
              </w:rPr>
            </w:pPr>
            <w:r>
              <w:rPr>
                <w:rFonts w:ascii="Times New Roman" w:hAnsi="Times New Roman"/>
                <w:b/>
                <w:bCs/>
                <w:kern w:val="0"/>
                <w:sz w:val="24"/>
                <w:szCs w:val="24"/>
              </w:rPr>
              <w:t>2020</w:t>
            </w:r>
            <w:r>
              <w:rPr>
                <w:rFonts w:hint="eastAsia" w:ascii="Times New Roman" w:hAnsi="Times New Roman" w:eastAsia="方正仿宋_GBK"/>
                <w:b/>
                <w:bCs/>
                <w:kern w:val="0"/>
                <w:sz w:val="24"/>
                <w:szCs w:val="24"/>
              </w:rPr>
              <w:t>年现状</w:t>
            </w:r>
          </w:p>
        </w:tc>
        <w:tc>
          <w:tcPr>
            <w:tcW w:w="1276" w:type="dxa"/>
            <w:tcBorders>
              <w:top w:val="single" w:color="auto" w:sz="4" w:space="0"/>
              <w:left w:val="nil"/>
              <w:bottom w:val="single" w:color="auto" w:sz="4" w:space="0"/>
              <w:right w:val="single" w:color="auto" w:sz="4" w:space="0"/>
            </w:tcBorders>
            <w:shd w:val="clear" w:color="auto" w:fill="auto"/>
            <w:vAlign w:val="center"/>
          </w:tcPr>
          <w:p w14:paraId="35835522">
            <w:pPr>
              <w:widowControl/>
              <w:spacing w:line="300" w:lineRule="exact"/>
              <w:jc w:val="center"/>
              <w:rPr>
                <w:rFonts w:ascii="Times New Roman" w:hAnsi="Times New Roman" w:eastAsia="方正仿宋_GBK"/>
                <w:b/>
                <w:bCs/>
                <w:kern w:val="0"/>
                <w:sz w:val="24"/>
                <w:szCs w:val="24"/>
              </w:rPr>
            </w:pPr>
            <w:r>
              <w:rPr>
                <w:rFonts w:ascii="Times New Roman" w:hAnsi="Times New Roman"/>
                <w:b/>
                <w:bCs/>
                <w:kern w:val="0"/>
                <w:sz w:val="24"/>
                <w:szCs w:val="24"/>
              </w:rPr>
              <w:t>2025</w:t>
            </w:r>
            <w:r>
              <w:rPr>
                <w:rFonts w:hint="eastAsia" w:ascii="Times New Roman" w:hAnsi="Times New Roman" w:eastAsia="方正仿宋_GBK"/>
                <w:b/>
                <w:bCs/>
                <w:kern w:val="0"/>
                <w:sz w:val="24"/>
                <w:szCs w:val="24"/>
              </w:rPr>
              <w:t>年</w:t>
            </w:r>
          </w:p>
          <w:p w14:paraId="60BB8533">
            <w:pPr>
              <w:widowControl/>
              <w:spacing w:line="300" w:lineRule="exact"/>
              <w:jc w:val="center"/>
              <w:rPr>
                <w:rFonts w:ascii="Times New Roman" w:hAnsi="Times New Roman"/>
                <w:b/>
                <w:bCs/>
                <w:kern w:val="0"/>
                <w:sz w:val="24"/>
                <w:szCs w:val="24"/>
              </w:rPr>
            </w:pPr>
            <w:r>
              <w:rPr>
                <w:rFonts w:hint="eastAsia" w:ascii="Times New Roman" w:hAnsi="Times New Roman" w:eastAsia="方正仿宋_GBK"/>
                <w:b/>
                <w:bCs/>
                <w:kern w:val="0"/>
                <w:sz w:val="24"/>
                <w:szCs w:val="24"/>
              </w:rPr>
              <w:t>目标</w:t>
            </w:r>
          </w:p>
        </w:tc>
        <w:tc>
          <w:tcPr>
            <w:tcW w:w="1189" w:type="dxa"/>
            <w:tcBorders>
              <w:top w:val="single" w:color="auto" w:sz="4" w:space="0"/>
              <w:left w:val="nil"/>
              <w:bottom w:val="single" w:color="auto" w:sz="4" w:space="0"/>
              <w:right w:val="single" w:color="auto" w:sz="4" w:space="0"/>
            </w:tcBorders>
            <w:shd w:val="clear" w:color="auto" w:fill="auto"/>
            <w:vAlign w:val="center"/>
          </w:tcPr>
          <w:p w14:paraId="1CAAB8EB">
            <w:pPr>
              <w:widowControl/>
              <w:spacing w:line="300" w:lineRule="exact"/>
              <w:jc w:val="center"/>
              <w:rPr>
                <w:rFonts w:ascii="Times New Roman" w:hAnsi="Times New Roman" w:eastAsia="方正仿宋_GBK"/>
                <w:b/>
                <w:bCs/>
                <w:kern w:val="0"/>
                <w:sz w:val="24"/>
                <w:szCs w:val="24"/>
              </w:rPr>
            </w:pPr>
            <w:r>
              <w:rPr>
                <w:rFonts w:ascii="Times New Roman" w:hAnsi="Times New Roman"/>
                <w:b/>
                <w:bCs/>
                <w:kern w:val="0"/>
                <w:sz w:val="24"/>
                <w:szCs w:val="24"/>
              </w:rPr>
              <w:t>2035</w:t>
            </w:r>
            <w:r>
              <w:rPr>
                <w:rFonts w:hint="eastAsia" w:ascii="Times New Roman" w:hAnsi="Times New Roman" w:eastAsia="方正仿宋_GBK"/>
                <w:b/>
                <w:bCs/>
                <w:kern w:val="0"/>
                <w:sz w:val="24"/>
                <w:szCs w:val="24"/>
              </w:rPr>
              <w:t>年</w:t>
            </w:r>
          </w:p>
          <w:p w14:paraId="1162D48C">
            <w:pPr>
              <w:widowControl/>
              <w:spacing w:line="300" w:lineRule="exact"/>
              <w:jc w:val="center"/>
              <w:rPr>
                <w:rFonts w:ascii="Times New Roman" w:hAnsi="Times New Roman"/>
                <w:b/>
                <w:bCs/>
                <w:kern w:val="0"/>
                <w:sz w:val="24"/>
                <w:szCs w:val="24"/>
              </w:rPr>
            </w:pPr>
            <w:r>
              <w:rPr>
                <w:rFonts w:hint="eastAsia" w:ascii="Times New Roman" w:hAnsi="Times New Roman" w:eastAsia="方正仿宋_GBK"/>
                <w:b/>
                <w:bCs/>
                <w:kern w:val="0"/>
                <w:sz w:val="24"/>
                <w:szCs w:val="24"/>
              </w:rPr>
              <w:t>目标</w:t>
            </w:r>
          </w:p>
        </w:tc>
        <w:tc>
          <w:tcPr>
            <w:tcW w:w="1031" w:type="dxa"/>
            <w:tcBorders>
              <w:top w:val="single" w:color="auto" w:sz="4" w:space="0"/>
              <w:left w:val="nil"/>
              <w:bottom w:val="single" w:color="auto" w:sz="4" w:space="0"/>
              <w:right w:val="single" w:color="auto" w:sz="4" w:space="0"/>
            </w:tcBorders>
            <w:shd w:val="clear" w:color="auto" w:fill="auto"/>
            <w:vAlign w:val="center"/>
          </w:tcPr>
          <w:p w14:paraId="4D116DDB">
            <w:pPr>
              <w:widowControl/>
              <w:spacing w:line="300" w:lineRule="exact"/>
              <w:jc w:val="center"/>
              <w:rPr>
                <w:rFonts w:ascii="Times New Roman" w:hAnsi="Times New Roman" w:eastAsia="方正仿宋_GBK" w:cs="宋体"/>
                <w:b/>
                <w:bCs/>
                <w:kern w:val="0"/>
                <w:sz w:val="24"/>
                <w:szCs w:val="24"/>
              </w:rPr>
            </w:pPr>
            <w:r>
              <w:rPr>
                <w:rFonts w:hint="eastAsia" w:ascii="Times New Roman" w:hAnsi="Times New Roman" w:eastAsia="方正仿宋_GBK" w:cs="宋体"/>
                <w:b/>
                <w:bCs/>
                <w:kern w:val="0"/>
                <w:sz w:val="24"/>
                <w:szCs w:val="24"/>
              </w:rPr>
              <w:t>指标</w:t>
            </w:r>
          </w:p>
          <w:p w14:paraId="324BC173">
            <w:pPr>
              <w:widowControl/>
              <w:spacing w:line="300" w:lineRule="exact"/>
              <w:jc w:val="center"/>
              <w:rPr>
                <w:rFonts w:ascii="Times New Roman" w:hAnsi="Times New Roman" w:eastAsia="方正仿宋_GBK" w:cs="宋体"/>
                <w:b/>
                <w:bCs/>
                <w:kern w:val="0"/>
                <w:sz w:val="24"/>
                <w:szCs w:val="24"/>
              </w:rPr>
            </w:pPr>
            <w:r>
              <w:rPr>
                <w:rFonts w:hint="eastAsia" w:ascii="Times New Roman" w:hAnsi="Times New Roman" w:eastAsia="方正仿宋_GBK" w:cs="宋体"/>
                <w:b/>
                <w:bCs/>
                <w:kern w:val="0"/>
                <w:sz w:val="24"/>
                <w:szCs w:val="24"/>
              </w:rPr>
              <w:t>属性</w:t>
            </w:r>
          </w:p>
        </w:tc>
      </w:tr>
      <w:tr w14:paraId="00A160E8">
        <w:tblPrEx>
          <w:tblCellMar>
            <w:top w:w="0" w:type="dxa"/>
            <w:left w:w="108" w:type="dxa"/>
            <w:bottom w:w="0" w:type="dxa"/>
            <w:right w:w="108" w:type="dxa"/>
          </w:tblCellMar>
        </w:tblPrEx>
        <w:trPr>
          <w:trHeight w:val="369" w:hRule="atLeast"/>
          <w:jc w:val="center"/>
        </w:trPr>
        <w:tc>
          <w:tcPr>
            <w:tcW w:w="714" w:type="dxa"/>
            <w:vMerge w:val="restart"/>
            <w:tcBorders>
              <w:top w:val="nil"/>
              <w:left w:val="single" w:color="auto" w:sz="4" w:space="0"/>
              <w:bottom w:val="single" w:color="auto" w:sz="4" w:space="0"/>
              <w:right w:val="single" w:color="auto" w:sz="4" w:space="0"/>
            </w:tcBorders>
            <w:shd w:val="clear" w:color="auto" w:fill="auto"/>
            <w:vAlign w:val="center"/>
          </w:tcPr>
          <w:p w14:paraId="16CE5D85">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能源保障安全有力</w:t>
            </w:r>
          </w:p>
        </w:tc>
        <w:tc>
          <w:tcPr>
            <w:tcW w:w="2693" w:type="dxa"/>
            <w:tcBorders>
              <w:top w:val="nil"/>
              <w:left w:val="nil"/>
              <w:bottom w:val="single" w:color="auto" w:sz="4" w:space="0"/>
              <w:right w:val="single" w:color="auto" w:sz="4" w:space="0"/>
            </w:tcBorders>
            <w:shd w:val="clear" w:color="auto" w:fill="auto"/>
            <w:vAlign w:val="center"/>
          </w:tcPr>
          <w:p w14:paraId="1EEE8899">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电力装机总量</w:t>
            </w:r>
          </w:p>
        </w:tc>
        <w:tc>
          <w:tcPr>
            <w:tcW w:w="1276" w:type="dxa"/>
            <w:tcBorders>
              <w:top w:val="nil"/>
              <w:left w:val="nil"/>
              <w:bottom w:val="single" w:color="auto" w:sz="4" w:space="0"/>
              <w:right w:val="single" w:color="auto" w:sz="4" w:space="0"/>
            </w:tcBorders>
            <w:shd w:val="clear" w:color="auto" w:fill="auto"/>
            <w:vAlign w:val="center"/>
          </w:tcPr>
          <w:p w14:paraId="05FDC833">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万千瓦</w:t>
            </w:r>
          </w:p>
        </w:tc>
        <w:tc>
          <w:tcPr>
            <w:tcW w:w="992" w:type="dxa"/>
            <w:tcBorders>
              <w:top w:val="nil"/>
              <w:left w:val="nil"/>
              <w:bottom w:val="single" w:color="auto" w:sz="4" w:space="0"/>
              <w:right w:val="single" w:color="auto" w:sz="4" w:space="0"/>
            </w:tcBorders>
            <w:shd w:val="clear" w:color="auto" w:fill="auto"/>
            <w:vAlign w:val="center"/>
          </w:tcPr>
          <w:p w14:paraId="1E608921">
            <w:pPr>
              <w:widowControl/>
              <w:spacing w:line="300" w:lineRule="exact"/>
              <w:jc w:val="center"/>
              <w:rPr>
                <w:rFonts w:ascii="Times New Roman" w:hAnsi="Times New Roman"/>
                <w:kern w:val="0"/>
                <w:sz w:val="24"/>
                <w:szCs w:val="24"/>
              </w:rPr>
            </w:pPr>
            <w:r>
              <w:rPr>
                <w:rFonts w:ascii="Times New Roman" w:hAnsi="Times New Roman"/>
                <w:kern w:val="0"/>
                <w:sz w:val="24"/>
                <w:szCs w:val="24"/>
              </w:rPr>
              <w:t>2</w:t>
            </w:r>
            <w:r>
              <w:rPr>
                <w:rFonts w:hint="eastAsia" w:ascii="Times New Roman" w:hAnsi="Times New Roman"/>
                <w:kern w:val="0"/>
                <w:sz w:val="24"/>
                <w:szCs w:val="24"/>
              </w:rPr>
              <w:t>4</w:t>
            </w:r>
            <w:r>
              <w:rPr>
                <w:rFonts w:ascii="Times New Roman" w:hAnsi="Times New Roman"/>
                <w:kern w:val="0"/>
                <w:sz w:val="24"/>
                <w:szCs w:val="24"/>
              </w:rPr>
              <w:t>5</w:t>
            </w:r>
          </w:p>
        </w:tc>
        <w:tc>
          <w:tcPr>
            <w:tcW w:w="1276" w:type="dxa"/>
            <w:tcBorders>
              <w:top w:val="nil"/>
              <w:left w:val="nil"/>
              <w:bottom w:val="single" w:color="auto" w:sz="4" w:space="0"/>
              <w:right w:val="single" w:color="auto" w:sz="4" w:space="0"/>
            </w:tcBorders>
            <w:shd w:val="clear" w:color="auto" w:fill="auto"/>
            <w:vAlign w:val="center"/>
          </w:tcPr>
          <w:p w14:paraId="6646BCD6">
            <w:pPr>
              <w:widowControl/>
              <w:spacing w:line="300" w:lineRule="exact"/>
              <w:jc w:val="center"/>
              <w:rPr>
                <w:rFonts w:ascii="Times New Roman" w:hAnsi="Times New Roman"/>
                <w:kern w:val="0"/>
                <w:sz w:val="24"/>
                <w:szCs w:val="24"/>
              </w:rPr>
            </w:pPr>
            <w:r>
              <w:rPr>
                <w:rFonts w:ascii="Times New Roman" w:hAnsi="Times New Roman"/>
                <w:kern w:val="0"/>
                <w:sz w:val="24"/>
                <w:szCs w:val="24"/>
              </w:rPr>
              <w:t>340</w:t>
            </w:r>
          </w:p>
        </w:tc>
        <w:tc>
          <w:tcPr>
            <w:tcW w:w="1189" w:type="dxa"/>
            <w:tcBorders>
              <w:top w:val="nil"/>
              <w:left w:val="nil"/>
              <w:bottom w:val="single" w:color="auto" w:sz="4" w:space="0"/>
              <w:right w:val="single" w:color="auto" w:sz="4" w:space="0"/>
            </w:tcBorders>
            <w:shd w:val="clear" w:color="auto" w:fill="auto"/>
            <w:vAlign w:val="center"/>
          </w:tcPr>
          <w:p w14:paraId="05AFC5EE">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800</w:t>
            </w:r>
          </w:p>
        </w:tc>
        <w:tc>
          <w:tcPr>
            <w:tcW w:w="1031" w:type="dxa"/>
            <w:tcBorders>
              <w:top w:val="nil"/>
              <w:left w:val="nil"/>
              <w:bottom w:val="single" w:color="auto" w:sz="4" w:space="0"/>
              <w:right w:val="single" w:color="auto" w:sz="4" w:space="0"/>
            </w:tcBorders>
            <w:shd w:val="clear" w:color="auto" w:fill="auto"/>
            <w:vAlign w:val="center"/>
          </w:tcPr>
          <w:p w14:paraId="53B90BD7">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044B16C0">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419F1FC1">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28AB0D73">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全社会用电量</w:t>
            </w:r>
          </w:p>
        </w:tc>
        <w:tc>
          <w:tcPr>
            <w:tcW w:w="1276" w:type="dxa"/>
            <w:tcBorders>
              <w:top w:val="nil"/>
              <w:left w:val="nil"/>
              <w:bottom w:val="single" w:color="auto" w:sz="4" w:space="0"/>
              <w:right w:val="single" w:color="auto" w:sz="4" w:space="0"/>
            </w:tcBorders>
            <w:shd w:val="clear" w:color="auto" w:fill="auto"/>
            <w:vAlign w:val="center"/>
          </w:tcPr>
          <w:p w14:paraId="38F4401E">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亿千瓦时</w:t>
            </w:r>
          </w:p>
        </w:tc>
        <w:tc>
          <w:tcPr>
            <w:tcW w:w="992" w:type="dxa"/>
            <w:tcBorders>
              <w:top w:val="nil"/>
              <w:left w:val="nil"/>
              <w:bottom w:val="single" w:color="auto" w:sz="4" w:space="0"/>
              <w:right w:val="single" w:color="auto" w:sz="4" w:space="0"/>
            </w:tcBorders>
            <w:shd w:val="clear" w:color="auto" w:fill="auto"/>
            <w:vAlign w:val="center"/>
          </w:tcPr>
          <w:p w14:paraId="2A14B713">
            <w:pPr>
              <w:widowControl/>
              <w:spacing w:line="300" w:lineRule="exact"/>
              <w:jc w:val="center"/>
              <w:rPr>
                <w:rFonts w:ascii="Times New Roman" w:hAnsi="Times New Roman"/>
                <w:kern w:val="0"/>
                <w:sz w:val="24"/>
                <w:szCs w:val="24"/>
              </w:rPr>
            </w:pPr>
            <w:r>
              <w:rPr>
                <w:rFonts w:ascii="Times New Roman" w:hAnsi="Times New Roman"/>
                <w:kern w:val="0"/>
                <w:sz w:val="24"/>
                <w:szCs w:val="24"/>
              </w:rPr>
              <w:t>31.45</w:t>
            </w:r>
          </w:p>
        </w:tc>
        <w:tc>
          <w:tcPr>
            <w:tcW w:w="1276" w:type="dxa"/>
            <w:tcBorders>
              <w:top w:val="nil"/>
              <w:left w:val="nil"/>
              <w:bottom w:val="single" w:color="auto" w:sz="4" w:space="0"/>
              <w:right w:val="single" w:color="auto" w:sz="4" w:space="0"/>
            </w:tcBorders>
            <w:shd w:val="clear" w:color="auto" w:fill="auto"/>
            <w:vAlign w:val="center"/>
          </w:tcPr>
          <w:p w14:paraId="7C9543B7">
            <w:pPr>
              <w:widowControl/>
              <w:spacing w:line="300" w:lineRule="exact"/>
              <w:jc w:val="center"/>
              <w:rPr>
                <w:rFonts w:ascii="Times New Roman" w:hAnsi="Times New Roman"/>
                <w:kern w:val="0"/>
                <w:sz w:val="24"/>
                <w:szCs w:val="24"/>
              </w:rPr>
            </w:pPr>
            <w:r>
              <w:rPr>
                <w:rFonts w:ascii="Times New Roman" w:hAnsi="Times New Roman"/>
                <w:kern w:val="0"/>
                <w:sz w:val="24"/>
                <w:szCs w:val="24"/>
              </w:rPr>
              <w:t>57.39</w:t>
            </w:r>
          </w:p>
        </w:tc>
        <w:tc>
          <w:tcPr>
            <w:tcW w:w="1189" w:type="dxa"/>
            <w:tcBorders>
              <w:top w:val="nil"/>
              <w:left w:val="nil"/>
              <w:bottom w:val="single" w:color="auto" w:sz="4" w:space="0"/>
              <w:right w:val="single" w:color="auto" w:sz="4" w:space="0"/>
            </w:tcBorders>
            <w:shd w:val="clear" w:color="auto" w:fill="auto"/>
            <w:vAlign w:val="center"/>
          </w:tcPr>
          <w:p w14:paraId="336C6ACA">
            <w:pPr>
              <w:widowControl/>
              <w:spacing w:line="300" w:lineRule="exact"/>
              <w:jc w:val="center"/>
              <w:rPr>
                <w:rFonts w:ascii="Times New Roman" w:hAnsi="Times New Roman"/>
                <w:kern w:val="0"/>
                <w:sz w:val="24"/>
                <w:szCs w:val="24"/>
              </w:rPr>
            </w:pPr>
            <w:r>
              <w:rPr>
                <w:rFonts w:ascii="Times New Roman" w:hAnsi="Times New Roman"/>
                <w:kern w:val="0"/>
                <w:sz w:val="24"/>
                <w:szCs w:val="24"/>
              </w:rPr>
              <w:t>100.19</w:t>
            </w:r>
          </w:p>
        </w:tc>
        <w:tc>
          <w:tcPr>
            <w:tcW w:w="1031" w:type="dxa"/>
            <w:tcBorders>
              <w:top w:val="nil"/>
              <w:left w:val="nil"/>
              <w:bottom w:val="single" w:color="auto" w:sz="4" w:space="0"/>
              <w:right w:val="single" w:color="auto" w:sz="4" w:space="0"/>
            </w:tcBorders>
            <w:shd w:val="clear" w:color="auto" w:fill="auto"/>
            <w:vAlign w:val="center"/>
          </w:tcPr>
          <w:p w14:paraId="0431E698">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2360C43A">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2E4E60E3">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14BF4672">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天然气产量</w:t>
            </w:r>
          </w:p>
        </w:tc>
        <w:tc>
          <w:tcPr>
            <w:tcW w:w="1276" w:type="dxa"/>
            <w:tcBorders>
              <w:top w:val="nil"/>
              <w:left w:val="nil"/>
              <w:bottom w:val="single" w:color="auto" w:sz="4" w:space="0"/>
              <w:right w:val="single" w:color="auto" w:sz="4" w:space="0"/>
            </w:tcBorders>
            <w:shd w:val="clear" w:color="auto" w:fill="auto"/>
            <w:vAlign w:val="center"/>
          </w:tcPr>
          <w:p w14:paraId="261E4C3E">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亿立方米</w:t>
            </w:r>
          </w:p>
        </w:tc>
        <w:tc>
          <w:tcPr>
            <w:tcW w:w="992" w:type="dxa"/>
            <w:tcBorders>
              <w:top w:val="nil"/>
              <w:left w:val="nil"/>
              <w:bottom w:val="single" w:color="auto" w:sz="4" w:space="0"/>
              <w:right w:val="single" w:color="auto" w:sz="4" w:space="0"/>
            </w:tcBorders>
            <w:shd w:val="clear" w:color="auto" w:fill="auto"/>
            <w:vAlign w:val="center"/>
          </w:tcPr>
          <w:p w14:paraId="0A0C3718">
            <w:pPr>
              <w:widowControl/>
              <w:spacing w:line="300" w:lineRule="exact"/>
              <w:jc w:val="center"/>
              <w:rPr>
                <w:rFonts w:ascii="Times New Roman" w:hAnsi="Times New Roman"/>
                <w:kern w:val="0"/>
                <w:sz w:val="24"/>
                <w:szCs w:val="24"/>
              </w:rPr>
            </w:pPr>
            <w:r>
              <w:rPr>
                <w:rFonts w:ascii="Times New Roman" w:hAnsi="Times New Roman"/>
                <w:kern w:val="0"/>
                <w:sz w:val="24"/>
                <w:szCs w:val="24"/>
              </w:rPr>
              <w:t>6.48</w:t>
            </w:r>
          </w:p>
        </w:tc>
        <w:tc>
          <w:tcPr>
            <w:tcW w:w="1276" w:type="dxa"/>
            <w:tcBorders>
              <w:top w:val="nil"/>
              <w:left w:val="nil"/>
              <w:bottom w:val="single" w:color="auto" w:sz="4" w:space="0"/>
              <w:right w:val="single" w:color="auto" w:sz="4" w:space="0"/>
            </w:tcBorders>
            <w:shd w:val="clear" w:color="auto" w:fill="auto"/>
            <w:vAlign w:val="center"/>
          </w:tcPr>
          <w:p w14:paraId="5EC48C8C">
            <w:pPr>
              <w:widowControl/>
              <w:spacing w:line="300" w:lineRule="exact"/>
              <w:jc w:val="center"/>
              <w:rPr>
                <w:rFonts w:ascii="Times New Roman" w:hAnsi="Times New Roman"/>
                <w:kern w:val="0"/>
                <w:sz w:val="24"/>
                <w:szCs w:val="24"/>
              </w:rPr>
            </w:pPr>
            <w:r>
              <w:rPr>
                <w:rFonts w:ascii="Times New Roman" w:hAnsi="Times New Roman"/>
                <w:kern w:val="0"/>
                <w:sz w:val="24"/>
                <w:szCs w:val="24"/>
              </w:rPr>
              <w:t>10</w:t>
            </w:r>
          </w:p>
        </w:tc>
        <w:tc>
          <w:tcPr>
            <w:tcW w:w="1189" w:type="dxa"/>
            <w:tcBorders>
              <w:top w:val="nil"/>
              <w:left w:val="nil"/>
              <w:bottom w:val="single" w:color="auto" w:sz="4" w:space="0"/>
              <w:right w:val="single" w:color="auto" w:sz="4" w:space="0"/>
            </w:tcBorders>
            <w:shd w:val="clear" w:color="auto" w:fill="auto"/>
            <w:vAlign w:val="center"/>
          </w:tcPr>
          <w:p w14:paraId="3B5FBE42">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20</w:t>
            </w:r>
          </w:p>
        </w:tc>
        <w:tc>
          <w:tcPr>
            <w:tcW w:w="1031" w:type="dxa"/>
            <w:tcBorders>
              <w:top w:val="nil"/>
              <w:left w:val="nil"/>
              <w:bottom w:val="single" w:color="auto" w:sz="4" w:space="0"/>
              <w:right w:val="single" w:color="auto" w:sz="4" w:space="0"/>
            </w:tcBorders>
            <w:shd w:val="clear" w:color="auto" w:fill="auto"/>
            <w:vAlign w:val="center"/>
          </w:tcPr>
          <w:p w14:paraId="226EA6F4">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371C08F6">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530F29D3">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61F37626">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天然气消费量</w:t>
            </w:r>
          </w:p>
        </w:tc>
        <w:tc>
          <w:tcPr>
            <w:tcW w:w="1276" w:type="dxa"/>
            <w:tcBorders>
              <w:top w:val="nil"/>
              <w:left w:val="nil"/>
              <w:bottom w:val="single" w:color="auto" w:sz="4" w:space="0"/>
              <w:right w:val="single" w:color="auto" w:sz="4" w:space="0"/>
            </w:tcBorders>
            <w:shd w:val="clear" w:color="auto" w:fill="auto"/>
            <w:vAlign w:val="center"/>
          </w:tcPr>
          <w:p w14:paraId="6B8A7C90">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亿立方米</w:t>
            </w:r>
          </w:p>
        </w:tc>
        <w:tc>
          <w:tcPr>
            <w:tcW w:w="992" w:type="dxa"/>
            <w:tcBorders>
              <w:top w:val="nil"/>
              <w:left w:val="nil"/>
              <w:bottom w:val="single" w:color="auto" w:sz="4" w:space="0"/>
              <w:right w:val="single" w:color="auto" w:sz="4" w:space="0"/>
            </w:tcBorders>
            <w:shd w:val="clear" w:color="auto" w:fill="auto"/>
            <w:vAlign w:val="center"/>
          </w:tcPr>
          <w:p w14:paraId="79DEC2E0">
            <w:pPr>
              <w:widowControl/>
              <w:spacing w:line="300" w:lineRule="exact"/>
              <w:jc w:val="center"/>
              <w:rPr>
                <w:rFonts w:ascii="Times New Roman" w:hAnsi="Times New Roman"/>
                <w:kern w:val="0"/>
                <w:sz w:val="24"/>
                <w:szCs w:val="24"/>
              </w:rPr>
            </w:pPr>
            <w:r>
              <w:rPr>
                <w:rFonts w:ascii="Times New Roman" w:hAnsi="Times New Roman"/>
                <w:kern w:val="0"/>
                <w:sz w:val="24"/>
                <w:szCs w:val="24"/>
              </w:rPr>
              <w:t>2.04</w:t>
            </w:r>
          </w:p>
        </w:tc>
        <w:tc>
          <w:tcPr>
            <w:tcW w:w="1276" w:type="dxa"/>
            <w:tcBorders>
              <w:top w:val="nil"/>
              <w:left w:val="nil"/>
              <w:bottom w:val="single" w:color="auto" w:sz="4" w:space="0"/>
              <w:right w:val="single" w:color="auto" w:sz="4" w:space="0"/>
            </w:tcBorders>
            <w:shd w:val="clear" w:color="auto" w:fill="auto"/>
            <w:vAlign w:val="center"/>
          </w:tcPr>
          <w:p w14:paraId="45B4ECFD">
            <w:pPr>
              <w:widowControl/>
              <w:spacing w:line="300" w:lineRule="exact"/>
              <w:jc w:val="center"/>
              <w:rPr>
                <w:rFonts w:ascii="Times New Roman" w:hAnsi="Times New Roman"/>
                <w:kern w:val="0"/>
                <w:sz w:val="24"/>
                <w:szCs w:val="24"/>
              </w:rPr>
            </w:pPr>
            <w:r>
              <w:rPr>
                <w:rFonts w:ascii="Times New Roman" w:hAnsi="Times New Roman"/>
                <w:kern w:val="0"/>
                <w:sz w:val="24"/>
                <w:szCs w:val="24"/>
              </w:rPr>
              <w:t>10.89</w:t>
            </w:r>
          </w:p>
        </w:tc>
        <w:tc>
          <w:tcPr>
            <w:tcW w:w="1189" w:type="dxa"/>
            <w:tcBorders>
              <w:top w:val="nil"/>
              <w:left w:val="nil"/>
              <w:bottom w:val="single" w:color="auto" w:sz="4" w:space="0"/>
              <w:right w:val="single" w:color="auto" w:sz="4" w:space="0"/>
            </w:tcBorders>
            <w:shd w:val="clear" w:color="auto" w:fill="auto"/>
            <w:vAlign w:val="center"/>
          </w:tcPr>
          <w:p w14:paraId="77BF4EB1">
            <w:pPr>
              <w:widowControl/>
              <w:spacing w:line="300" w:lineRule="exact"/>
              <w:jc w:val="center"/>
              <w:rPr>
                <w:rFonts w:ascii="Times New Roman" w:hAnsi="Times New Roman"/>
                <w:kern w:val="0"/>
                <w:sz w:val="24"/>
                <w:szCs w:val="24"/>
              </w:rPr>
            </w:pPr>
            <w:r>
              <w:rPr>
                <w:rFonts w:ascii="Times New Roman" w:hAnsi="Times New Roman"/>
                <w:kern w:val="0"/>
                <w:sz w:val="24"/>
                <w:szCs w:val="24"/>
              </w:rPr>
              <w:t>25</w:t>
            </w:r>
          </w:p>
        </w:tc>
        <w:tc>
          <w:tcPr>
            <w:tcW w:w="1031" w:type="dxa"/>
            <w:tcBorders>
              <w:top w:val="nil"/>
              <w:left w:val="nil"/>
              <w:bottom w:val="single" w:color="auto" w:sz="4" w:space="0"/>
              <w:right w:val="single" w:color="auto" w:sz="4" w:space="0"/>
            </w:tcBorders>
            <w:shd w:val="clear" w:color="auto" w:fill="auto"/>
            <w:vAlign w:val="center"/>
          </w:tcPr>
          <w:p w14:paraId="1A23E2D4">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22B81C40">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29FD14E2">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7F359912">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成品油消费量</w:t>
            </w:r>
          </w:p>
        </w:tc>
        <w:tc>
          <w:tcPr>
            <w:tcW w:w="1276" w:type="dxa"/>
            <w:tcBorders>
              <w:top w:val="nil"/>
              <w:left w:val="nil"/>
              <w:bottom w:val="single" w:color="auto" w:sz="4" w:space="0"/>
              <w:right w:val="single" w:color="auto" w:sz="4" w:space="0"/>
            </w:tcBorders>
            <w:shd w:val="clear" w:color="auto" w:fill="auto"/>
            <w:vAlign w:val="center"/>
          </w:tcPr>
          <w:p w14:paraId="7E079BDC">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万吨</w:t>
            </w:r>
          </w:p>
        </w:tc>
        <w:tc>
          <w:tcPr>
            <w:tcW w:w="992" w:type="dxa"/>
            <w:tcBorders>
              <w:top w:val="nil"/>
              <w:left w:val="nil"/>
              <w:bottom w:val="single" w:color="auto" w:sz="4" w:space="0"/>
              <w:right w:val="single" w:color="auto" w:sz="4" w:space="0"/>
            </w:tcBorders>
            <w:shd w:val="clear" w:color="auto" w:fill="auto"/>
            <w:vAlign w:val="center"/>
          </w:tcPr>
          <w:p w14:paraId="5D535E1E">
            <w:pPr>
              <w:widowControl/>
              <w:spacing w:line="300" w:lineRule="exact"/>
              <w:jc w:val="center"/>
              <w:rPr>
                <w:rFonts w:ascii="Times New Roman" w:hAnsi="Times New Roman"/>
                <w:kern w:val="0"/>
                <w:sz w:val="24"/>
                <w:szCs w:val="24"/>
              </w:rPr>
            </w:pPr>
            <w:r>
              <w:rPr>
                <w:rFonts w:ascii="Times New Roman" w:hAnsi="Times New Roman"/>
                <w:kern w:val="0"/>
                <w:sz w:val="24"/>
                <w:szCs w:val="24"/>
              </w:rPr>
              <w:t>21.65</w:t>
            </w:r>
          </w:p>
        </w:tc>
        <w:tc>
          <w:tcPr>
            <w:tcW w:w="1276" w:type="dxa"/>
            <w:tcBorders>
              <w:top w:val="nil"/>
              <w:left w:val="nil"/>
              <w:bottom w:val="single" w:color="auto" w:sz="4" w:space="0"/>
              <w:right w:val="single" w:color="auto" w:sz="4" w:space="0"/>
            </w:tcBorders>
            <w:shd w:val="clear" w:color="auto" w:fill="auto"/>
            <w:vAlign w:val="center"/>
          </w:tcPr>
          <w:p w14:paraId="4E48B061">
            <w:pPr>
              <w:widowControl/>
              <w:spacing w:line="300" w:lineRule="exact"/>
              <w:jc w:val="center"/>
              <w:rPr>
                <w:rFonts w:ascii="Times New Roman" w:hAnsi="Times New Roman"/>
                <w:kern w:val="0"/>
                <w:sz w:val="24"/>
                <w:szCs w:val="24"/>
              </w:rPr>
            </w:pPr>
            <w:r>
              <w:rPr>
                <w:rFonts w:ascii="Times New Roman" w:hAnsi="Times New Roman"/>
                <w:kern w:val="0"/>
                <w:sz w:val="24"/>
                <w:szCs w:val="24"/>
              </w:rPr>
              <w:t>25.1</w:t>
            </w:r>
          </w:p>
        </w:tc>
        <w:tc>
          <w:tcPr>
            <w:tcW w:w="1189" w:type="dxa"/>
            <w:tcBorders>
              <w:top w:val="nil"/>
              <w:left w:val="nil"/>
              <w:bottom w:val="single" w:color="auto" w:sz="4" w:space="0"/>
              <w:right w:val="single" w:color="auto" w:sz="4" w:space="0"/>
            </w:tcBorders>
            <w:shd w:val="clear" w:color="auto" w:fill="auto"/>
            <w:vAlign w:val="center"/>
          </w:tcPr>
          <w:p w14:paraId="24DD9F9A">
            <w:pPr>
              <w:widowControl/>
              <w:spacing w:line="300" w:lineRule="exact"/>
              <w:jc w:val="center"/>
              <w:rPr>
                <w:rFonts w:ascii="Times New Roman" w:hAnsi="Times New Roman"/>
                <w:kern w:val="0"/>
                <w:sz w:val="24"/>
                <w:szCs w:val="24"/>
              </w:rPr>
            </w:pPr>
            <w:r>
              <w:rPr>
                <w:rFonts w:ascii="Times New Roman" w:hAnsi="Times New Roman"/>
                <w:kern w:val="0"/>
                <w:sz w:val="24"/>
                <w:szCs w:val="24"/>
              </w:rPr>
              <w:t>30.6</w:t>
            </w:r>
          </w:p>
        </w:tc>
        <w:tc>
          <w:tcPr>
            <w:tcW w:w="1031" w:type="dxa"/>
            <w:tcBorders>
              <w:top w:val="nil"/>
              <w:left w:val="nil"/>
              <w:bottom w:val="single" w:color="auto" w:sz="4" w:space="0"/>
              <w:right w:val="single" w:color="auto" w:sz="4" w:space="0"/>
            </w:tcBorders>
            <w:shd w:val="clear" w:color="auto" w:fill="auto"/>
            <w:vAlign w:val="center"/>
          </w:tcPr>
          <w:p w14:paraId="146DBDF0">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01161FB8">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4D98EF74">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714AAE29">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煤炭消费量</w:t>
            </w:r>
          </w:p>
        </w:tc>
        <w:tc>
          <w:tcPr>
            <w:tcW w:w="1276" w:type="dxa"/>
            <w:tcBorders>
              <w:top w:val="nil"/>
              <w:left w:val="nil"/>
              <w:bottom w:val="single" w:color="auto" w:sz="4" w:space="0"/>
              <w:right w:val="single" w:color="auto" w:sz="4" w:space="0"/>
            </w:tcBorders>
            <w:shd w:val="clear" w:color="auto" w:fill="auto"/>
            <w:vAlign w:val="center"/>
          </w:tcPr>
          <w:p w14:paraId="3671D0FD">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万吨</w:t>
            </w:r>
          </w:p>
        </w:tc>
        <w:tc>
          <w:tcPr>
            <w:tcW w:w="992" w:type="dxa"/>
            <w:tcBorders>
              <w:top w:val="nil"/>
              <w:left w:val="nil"/>
              <w:bottom w:val="single" w:color="auto" w:sz="4" w:space="0"/>
              <w:right w:val="single" w:color="auto" w:sz="4" w:space="0"/>
            </w:tcBorders>
            <w:shd w:val="clear" w:color="auto" w:fill="auto"/>
            <w:vAlign w:val="center"/>
          </w:tcPr>
          <w:p w14:paraId="0A3BDB2E">
            <w:pPr>
              <w:widowControl/>
              <w:spacing w:line="300" w:lineRule="exact"/>
              <w:jc w:val="center"/>
              <w:rPr>
                <w:rFonts w:ascii="Times New Roman" w:hAnsi="Times New Roman"/>
                <w:kern w:val="0"/>
                <w:sz w:val="24"/>
                <w:szCs w:val="24"/>
              </w:rPr>
            </w:pPr>
            <w:r>
              <w:rPr>
                <w:rFonts w:ascii="Times New Roman" w:hAnsi="Times New Roman"/>
                <w:kern w:val="0"/>
                <w:sz w:val="24"/>
                <w:szCs w:val="24"/>
              </w:rPr>
              <w:t>355.28</w:t>
            </w:r>
          </w:p>
        </w:tc>
        <w:tc>
          <w:tcPr>
            <w:tcW w:w="1276" w:type="dxa"/>
            <w:tcBorders>
              <w:top w:val="nil"/>
              <w:left w:val="nil"/>
              <w:bottom w:val="single" w:color="auto" w:sz="4" w:space="0"/>
              <w:right w:val="single" w:color="auto" w:sz="4" w:space="0"/>
            </w:tcBorders>
            <w:shd w:val="clear" w:color="auto" w:fill="auto"/>
            <w:vAlign w:val="center"/>
          </w:tcPr>
          <w:p w14:paraId="02AB0C87">
            <w:pPr>
              <w:widowControl/>
              <w:spacing w:line="300" w:lineRule="exact"/>
              <w:jc w:val="center"/>
              <w:rPr>
                <w:rFonts w:ascii="Times New Roman" w:hAnsi="Times New Roman"/>
                <w:kern w:val="0"/>
                <w:sz w:val="24"/>
                <w:szCs w:val="24"/>
              </w:rPr>
            </w:pPr>
            <w:r>
              <w:rPr>
                <w:rFonts w:ascii="Times New Roman" w:hAnsi="Times New Roman"/>
                <w:kern w:val="0"/>
                <w:sz w:val="24"/>
                <w:szCs w:val="24"/>
              </w:rPr>
              <w:t>896.39</w:t>
            </w:r>
          </w:p>
        </w:tc>
        <w:tc>
          <w:tcPr>
            <w:tcW w:w="1189" w:type="dxa"/>
            <w:tcBorders>
              <w:top w:val="nil"/>
              <w:left w:val="nil"/>
              <w:bottom w:val="single" w:color="auto" w:sz="4" w:space="0"/>
              <w:right w:val="single" w:color="auto" w:sz="4" w:space="0"/>
            </w:tcBorders>
            <w:shd w:val="clear" w:color="auto" w:fill="auto"/>
            <w:vAlign w:val="center"/>
          </w:tcPr>
          <w:p w14:paraId="1A360E80">
            <w:pPr>
              <w:widowControl/>
              <w:spacing w:line="300" w:lineRule="exact"/>
              <w:jc w:val="center"/>
              <w:rPr>
                <w:rFonts w:ascii="Times New Roman" w:hAnsi="Times New Roman"/>
                <w:kern w:val="0"/>
                <w:sz w:val="24"/>
                <w:szCs w:val="24"/>
              </w:rPr>
            </w:pPr>
            <w:r>
              <w:rPr>
                <w:rFonts w:ascii="Times New Roman" w:hAnsi="Times New Roman"/>
                <w:kern w:val="0"/>
                <w:sz w:val="24"/>
                <w:szCs w:val="24"/>
              </w:rPr>
              <w:t>1228.5</w:t>
            </w:r>
          </w:p>
        </w:tc>
        <w:tc>
          <w:tcPr>
            <w:tcW w:w="1031" w:type="dxa"/>
            <w:tcBorders>
              <w:top w:val="nil"/>
              <w:left w:val="nil"/>
              <w:bottom w:val="single" w:color="auto" w:sz="4" w:space="0"/>
              <w:right w:val="single" w:color="auto" w:sz="4" w:space="0"/>
            </w:tcBorders>
            <w:shd w:val="clear" w:color="auto" w:fill="auto"/>
            <w:vAlign w:val="center"/>
          </w:tcPr>
          <w:p w14:paraId="06A3C9B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6F111160">
        <w:tblPrEx>
          <w:tblCellMar>
            <w:top w:w="0" w:type="dxa"/>
            <w:left w:w="108" w:type="dxa"/>
            <w:bottom w:w="0" w:type="dxa"/>
            <w:right w:w="108" w:type="dxa"/>
          </w:tblCellMar>
        </w:tblPrEx>
        <w:trPr>
          <w:trHeight w:val="369" w:hRule="atLeast"/>
          <w:jc w:val="center"/>
        </w:trPr>
        <w:tc>
          <w:tcPr>
            <w:tcW w:w="714" w:type="dxa"/>
            <w:vMerge w:val="restart"/>
            <w:tcBorders>
              <w:top w:val="nil"/>
              <w:left w:val="single" w:color="auto" w:sz="4" w:space="0"/>
              <w:bottom w:val="single" w:color="auto" w:sz="4" w:space="0"/>
              <w:right w:val="single" w:color="auto" w:sz="4" w:space="0"/>
            </w:tcBorders>
            <w:shd w:val="clear" w:color="auto" w:fill="auto"/>
            <w:vAlign w:val="center"/>
          </w:tcPr>
          <w:p w14:paraId="6A320800">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能源绿色转型成效显著</w:t>
            </w:r>
          </w:p>
        </w:tc>
        <w:tc>
          <w:tcPr>
            <w:tcW w:w="2693" w:type="dxa"/>
            <w:tcBorders>
              <w:top w:val="nil"/>
              <w:left w:val="nil"/>
              <w:bottom w:val="single" w:color="auto" w:sz="4" w:space="0"/>
              <w:right w:val="single" w:color="auto" w:sz="4" w:space="0"/>
            </w:tcBorders>
            <w:shd w:val="clear" w:color="auto" w:fill="auto"/>
            <w:vAlign w:val="center"/>
          </w:tcPr>
          <w:p w14:paraId="195F50F3">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可再生能源发电装机</w:t>
            </w:r>
          </w:p>
          <w:p w14:paraId="4506643D">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比重</w:t>
            </w:r>
          </w:p>
        </w:tc>
        <w:tc>
          <w:tcPr>
            <w:tcW w:w="1276" w:type="dxa"/>
            <w:tcBorders>
              <w:top w:val="nil"/>
              <w:left w:val="nil"/>
              <w:bottom w:val="single" w:color="auto" w:sz="4" w:space="0"/>
              <w:right w:val="single" w:color="auto" w:sz="4" w:space="0"/>
            </w:tcBorders>
            <w:shd w:val="clear" w:color="auto" w:fill="auto"/>
            <w:vAlign w:val="center"/>
          </w:tcPr>
          <w:p w14:paraId="069F07D6">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42D65B6B">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11.75</w:t>
            </w:r>
          </w:p>
        </w:tc>
        <w:tc>
          <w:tcPr>
            <w:tcW w:w="1276" w:type="dxa"/>
            <w:tcBorders>
              <w:top w:val="nil"/>
              <w:left w:val="nil"/>
              <w:bottom w:val="single" w:color="auto" w:sz="4" w:space="0"/>
              <w:right w:val="single" w:color="auto" w:sz="4" w:space="0"/>
            </w:tcBorders>
            <w:shd w:val="clear" w:color="auto" w:fill="auto"/>
            <w:vAlign w:val="center"/>
          </w:tcPr>
          <w:p w14:paraId="4AEBD3A6">
            <w:pPr>
              <w:widowControl/>
              <w:spacing w:line="300" w:lineRule="exact"/>
              <w:jc w:val="center"/>
              <w:rPr>
                <w:rFonts w:ascii="Times New Roman" w:hAnsi="Times New Roman"/>
                <w:kern w:val="0"/>
                <w:sz w:val="24"/>
                <w:szCs w:val="24"/>
              </w:rPr>
            </w:pPr>
            <w:r>
              <w:rPr>
                <w:rFonts w:ascii="Times New Roman" w:hAnsi="Times New Roman"/>
                <w:kern w:val="0"/>
                <w:sz w:val="24"/>
                <w:szCs w:val="24"/>
              </w:rPr>
              <w:t>20</w:t>
            </w:r>
          </w:p>
        </w:tc>
        <w:tc>
          <w:tcPr>
            <w:tcW w:w="1189" w:type="dxa"/>
            <w:tcBorders>
              <w:top w:val="nil"/>
              <w:left w:val="nil"/>
              <w:bottom w:val="single" w:color="auto" w:sz="4" w:space="0"/>
              <w:right w:val="single" w:color="auto" w:sz="4" w:space="0"/>
            </w:tcBorders>
            <w:shd w:val="clear" w:color="auto" w:fill="auto"/>
            <w:vAlign w:val="center"/>
          </w:tcPr>
          <w:p w14:paraId="1206F7EA">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34.75</w:t>
            </w:r>
          </w:p>
        </w:tc>
        <w:tc>
          <w:tcPr>
            <w:tcW w:w="1031" w:type="dxa"/>
            <w:tcBorders>
              <w:top w:val="nil"/>
              <w:left w:val="nil"/>
              <w:bottom w:val="single" w:color="auto" w:sz="4" w:space="0"/>
              <w:right w:val="single" w:color="auto" w:sz="4" w:space="0"/>
            </w:tcBorders>
            <w:shd w:val="clear" w:color="auto" w:fill="auto"/>
            <w:vAlign w:val="center"/>
          </w:tcPr>
          <w:p w14:paraId="4099301A">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08AD22E9">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0B54ABAD">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39221FE8">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单位</w:t>
            </w:r>
            <w:r>
              <w:rPr>
                <w:rFonts w:ascii="Times New Roman" w:hAnsi="Times New Roman" w:eastAsia="方正仿宋_GBK"/>
                <w:kern w:val="0"/>
                <w:sz w:val="24"/>
                <w:szCs w:val="24"/>
              </w:rPr>
              <w:t>GDP</w:t>
            </w:r>
            <w:r>
              <w:rPr>
                <w:rFonts w:hint="eastAsia" w:ascii="Times New Roman" w:hAnsi="Times New Roman" w:eastAsia="方正仿宋_GBK" w:cs="宋体"/>
                <w:kern w:val="0"/>
                <w:sz w:val="24"/>
                <w:szCs w:val="24"/>
              </w:rPr>
              <w:t>能耗下降率</w:t>
            </w:r>
          </w:p>
        </w:tc>
        <w:tc>
          <w:tcPr>
            <w:tcW w:w="1276" w:type="dxa"/>
            <w:tcBorders>
              <w:top w:val="nil"/>
              <w:left w:val="nil"/>
              <w:bottom w:val="single" w:color="auto" w:sz="4" w:space="0"/>
              <w:right w:val="single" w:color="auto" w:sz="4" w:space="0"/>
            </w:tcBorders>
            <w:shd w:val="clear" w:color="auto" w:fill="auto"/>
            <w:vAlign w:val="center"/>
          </w:tcPr>
          <w:p w14:paraId="559EF0B3">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5D07721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w:t>
            </w:r>
          </w:p>
        </w:tc>
        <w:tc>
          <w:tcPr>
            <w:tcW w:w="1276" w:type="dxa"/>
            <w:tcBorders>
              <w:top w:val="nil"/>
              <w:left w:val="nil"/>
              <w:bottom w:val="single" w:color="auto" w:sz="4" w:space="0"/>
              <w:right w:val="single" w:color="auto" w:sz="4" w:space="0"/>
            </w:tcBorders>
            <w:shd w:val="clear" w:color="auto" w:fill="auto"/>
            <w:vAlign w:val="center"/>
          </w:tcPr>
          <w:p w14:paraId="59CC4D49">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以上级下达为准</w:t>
            </w:r>
          </w:p>
        </w:tc>
        <w:tc>
          <w:tcPr>
            <w:tcW w:w="1189" w:type="dxa"/>
            <w:tcBorders>
              <w:top w:val="nil"/>
              <w:left w:val="nil"/>
              <w:bottom w:val="single" w:color="auto" w:sz="4" w:space="0"/>
              <w:right w:val="single" w:color="auto" w:sz="4" w:space="0"/>
            </w:tcBorders>
            <w:shd w:val="clear" w:color="auto" w:fill="auto"/>
            <w:vAlign w:val="center"/>
          </w:tcPr>
          <w:p w14:paraId="49CBF2AD">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以上级下达为准</w:t>
            </w:r>
          </w:p>
        </w:tc>
        <w:tc>
          <w:tcPr>
            <w:tcW w:w="1031" w:type="dxa"/>
            <w:tcBorders>
              <w:top w:val="nil"/>
              <w:left w:val="nil"/>
              <w:bottom w:val="single" w:color="auto" w:sz="4" w:space="0"/>
              <w:right w:val="single" w:color="auto" w:sz="4" w:space="0"/>
            </w:tcBorders>
            <w:shd w:val="clear" w:color="auto" w:fill="auto"/>
            <w:vAlign w:val="center"/>
          </w:tcPr>
          <w:p w14:paraId="2B3ACCF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约束性</w:t>
            </w:r>
          </w:p>
        </w:tc>
      </w:tr>
      <w:tr w14:paraId="74479FCC">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26FA0165">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37978720">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单位</w:t>
            </w:r>
            <w:r>
              <w:rPr>
                <w:rFonts w:ascii="Times New Roman" w:hAnsi="Times New Roman" w:eastAsia="方正仿宋_GBK"/>
                <w:kern w:val="0"/>
                <w:sz w:val="24"/>
                <w:szCs w:val="24"/>
              </w:rPr>
              <w:t>GDP</w:t>
            </w:r>
            <w:r>
              <w:rPr>
                <w:rFonts w:hint="eastAsia" w:ascii="Times New Roman" w:hAnsi="Times New Roman" w:eastAsia="方正仿宋_GBK" w:cs="宋体"/>
                <w:kern w:val="0"/>
                <w:sz w:val="24"/>
                <w:szCs w:val="24"/>
              </w:rPr>
              <w:t>二氧化碳排放下降率</w:t>
            </w:r>
          </w:p>
        </w:tc>
        <w:tc>
          <w:tcPr>
            <w:tcW w:w="1276" w:type="dxa"/>
            <w:tcBorders>
              <w:top w:val="nil"/>
              <w:left w:val="nil"/>
              <w:bottom w:val="single" w:color="auto" w:sz="4" w:space="0"/>
              <w:right w:val="single" w:color="auto" w:sz="4" w:space="0"/>
            </w:tcBorders>
            <w:shd w:val="clear" w:color="auto" w:fill="auto"/>
            <w:vAlign w:val="center"/>
          </w:tcPr>
          <w:p w14:paraId="3AAA4E3F">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6D9DDE15">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w:t>
            </w:r>
          </w:p>
        </w:tc>
        <w:tc>
          <w:tcPr>
            <w:tcW w:w="1276" w:type="dxa"/>
            <w:tcBorders>
              <w:top w:val="nil"/>
              <w:left w:val="nil"/>
              <w:bottom w:val="single" w:color="auto" w:sz="4" w:space="0"/>
              <w:right w:val="single" w:color="auto" w:sz="4" w:space="0"/>
            </w:tcBorders>
            <w:shd w:val="clear" w:color="auto" w:fill="auto"/>
            <w:vAlign w:val="center"/>
          </w:tcPr>
          <w:p w14:paraId="79B7823C">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以上级下达为准</w:t>
            </w:r>
          </w:p>
        </w:tc>
        <w:tc>
          <w:tcPr>
            <w:tcW w:w="1189" w:type="dxa"/>
            <w:tcBorders>
              <w:top w:val="nil"/>
              <w:left w:val="nil"/>
              <w:bottom w:val="single" w:color="auto" w:sz="4" w:space="0"/>
              <w:right w:val="single" w:color="auto" w:sz="4" w:space="0"/>
            </w:tcBorders>
            <w:shd w:val="clear" w:color="auto" w:fill="auto"/>
            <w:vAlign w:val="center"/>
          </w:tcPr>
          <w:p w14:paraId="3A561A4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以上级下达为准</w:t>
            </w:r>
          </w:p>
        </w:tc>
        <w:tc>
          <w:tcPr>
            <w:tcW w:w="1031" w:type="dxa"/>
            <w:tcBorders>
              <w:top w:val="nil"/>
              <w:left w:val="nil"/>
              <w:bottom w:val="single" w:color="auto" w:sz="4" w:space="0"/>
              <w:right w:val="single" w:color="auto" w:sz="4" w:space="0"/>
            </w:tcBorders>
            <w:shd w:val="clear" w:color="auto" w:fill="auto"/>
            <w:vAlign w:val="center"/>
          </w:tcPr>
          <w:p w14:paraId="292E3AD4">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约束性</w:t>
            </w:r>
          </w:p>
        </w:tc>
      </w:tr>
      <w:tr w14:paraId="06850A76">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51BF52C9">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4E778F6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煤电供电煤耗</w:t>
            </w:r>
          </w:p>
        </w:tc>
        <w:tc>
          <w:tcPr>
            <w:tcW w:w="1276" w:type="dxa"/>
            <w:tcBorders>
              <w:top w:val="nil"/>
              <w:left w:val="nil"/>
              <w:bottom w:val="single" w:color="auto" w:sz="4" w:space="0"/>
              <w:right w:val="single" w:color="auto" w:sz="4" w:space="0"/>
            </w:tcBorders>
            <w:shd w:val="clear" w:color="auto" w:fill="auto"/>
            <w:vAlign w:val="center"/>
          </w:tcPr>
          <w:p w14:paraId="73358D96">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克</w:t>
            </w:r>
            <w:r>
              <w:rPr>
                <w:rFonts w:ascii="Times New Roman" w:hAnsi="Times New Roman" w:eastAsia="方正仿宋_GBK"/>
                <w:kern w:val="0"/>
                <w:sz w:val="24"/>
                <w:szCs w:val="24"/>
              </w:rPr>
              <w:t>/</w:t>
            </w:r>
            <w:r>
              <w:rPr>
                <w:rFonts w:hint="eastAsia" w:ascii="Times New Roman" w:hAnsi="Times New Roman" w:eastAsia="方正仿宋_GBK" w:cs="宋体"/>
                <w:kern w:val="0"/>
                <w:sz w:val="24"/>
                <w:szCs w:val="24"/>
              </w:rPr>
              <w:t>千瓦时</w:t>
            </w:r>
          </w:p>
        </w:tc>
        <w:tc>
          <w:tcPr>
            <w:tcW w:w="992" w:type="dxa"/>
            <w:tcBorders>
              <w:top w:val="nil"/>
              <w:left w:val="nil"/>
              <w:bottom w:val="single" w:color="auto" w:sz="4" w:space="0"/>
              <w:right w:val="single" w:color="auto" w:sz="4" w:space="0"/>
            </w:tcBorders>
            <w:shd w:val="clear" w:color="auto" w:fill="auto"/>
            <w:vAlign w:val="center"/>
          </w:tcPr>
          <w:p w14:paraId="056D18B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　</w:t>
            </w:r>
          </w:p>
        </w:tc>
        <w:tc>
          <w:tcPr>
            <w:tcW w:w="1276" w:type="dxa"/>
            <w:tcBorders>
              <w:top w:val="nil"/>
              <w:left w:val="nil"/>
              <w:bottom w:val="single" w:color="auto" w:sz="4" w:space="0"/>
              <w:right w:val="single" w:color="auto" w:sz="4" w:space="0"/>
            </w:tcBorders>
            <w:shd w:val="clear" w:color="auto" w:fill="auto"/>
            <w:vAlign w:val="center"/>
          </w:tcPr>
          <w:p w14:paraId="4EA317C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w:t>
            </w:r>
            <w:r>
              <w:rPr>
                <w:rFonts w:ascii="Times New Roman" w:hAnsi="Times New Roman" w:eastAsia="方正仿宋_GBK"/>
                <w:kern w:val="0"/>
                <w:sz w:val="24"/>
                <w:szCs w:val="24"/>
              </w:rPr>
              <w:t>300</w:t>
            </w:r>
          </w:p>
        </w:tc>
        <w:tc>
          <w:tcPr>
            <w:tcW w:w="1189" w:type="dxa"/>
            <w:tcBorders>
              <w:top w:val="nil"/>
              <w:left w:val="nil"/>
              <w:bottom w:val="single" w:color="auto" w:sz="4" w:space="0"/>
              <w:right w:val="single" w:color="auto" w:sz="4" w:space="0"/>
            </w:tcBorders>
            <w:shd w:val="clear" w:color="auto" w:fill="auto"/>
            <w:vAlign w:val="center"/>
          </w:tcPr>
          <w:p w14:paraId="410853A1">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r>
              <w:rPr>
                <w:rFonts w:hint="eastAsia" w:ascii="Times New Roman" w:hAnsi="Times New Roman"/>
                <w:kern w:val="0"/>
                <w:sz w:val="24"/>
                <w:szCs w:val="24"/>
              </w:rPr>
              <w:t>280</w:t>
            </w:r>
          </w:p>
        </w:tc>
        <w:tc>
          <w:tcPr>
            <w:tcW w:w="1031" w:type="dxa"/>
            <w:tcBorders>
              <w:top w:val="nil"/>
              <w:left w:val="nil"/>
              <w:bottom w:val="single" w:color="auto" w:sz="4" w:space="0"/>
              <w:right w:val="single" w:color="auto" w:sz="4" w:space="0"/>
            </w:tcBorders>
            <w:shd w:val="clear" w:color="auto" w:fill="auto"/>
            <w:vAlign w:val="center"/>
          </w:tcPr>
          <w:p w14:paraId="73178F22">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6D676E8C">
        <w:tblPrEx>
          <w:tblCellMar>
            <w:top w:w="0" w:type="dxa"/>
            <w:left w:w="108" w:type="dxa"/>
            <w:bottom w:w="0" w:type="dxa"/>
            <w:right w:w="108" w:type="dxa"/>
          </w:tblCellMar>
        </w:tblPrEx>
        <w:trPr>
          <w:trHeight w:val="369" w:hRule="atLeast"/>
          <w:jc w:val="center"/>
        </w:trPr>
        <w:tc>
          <w:tcPr>
            <w:tcW w:w="714" w:type="dxa"/>
            <w:vMerge w:val="restart"/>
            <w:tcBorders>
              <w:top w:val="nil"/>
              <w:left w:val="single" w:color="auto" w:sz="4" w:space="0"/>
              <w:bottom w:val="single" w:color="auto" w:sz="4" w:space="0"/>
              <w:right w:val="single" w:color="auto" w:sz="4" w:space="0"/>
            </w:tcBorders>
            <w:shd w:val="clear" w:color="auto" w:fill="auto"/>
            <w:vAlign w:val="center"/>
          </w:tcPr>
          <w:p w14:paraId="00FED50A">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普遍服务水平持续提升</w:t>
            </w:r>
          </w:p>
        </w:tc>
        <w:tc>
          <w:tcPr>
            <w:tcW w:w="2693" w:type="dxa"/>
            <w:tcBorders>
              <w:top w:val="nil"/>
              <w:left w:val="nil"/>
              <w:bottom w:val="single" w:color="auto" w:sz="4" w:space="0"/>
              <w:right w:val="single" w:color="auto" w:sz="4" w:space="0"/>
            </w:tcBorders>
            <w:shd w:val="clear" w:color="auto" w:fill="auto"/>
            <w:vAlign w:val="center"/>
          </w:tcPr>
          <w:p w14:paraId="6F224008">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电网综合线损率</w:t>
            </w:r>
          </w:p>
        </w:tc>
        <w:tc>
          <w:tcPr>
            <w:tcW w:w="1276" w:type="dxa"/>
            <w:tcBorders>
              <w:top w:val="nil"/>
              <w:left w:val="nil"/>
              <w:bottom w:val="single" w:color="auto" w:sz="4" w:space="0"/>
              <w:right w:val="single" w:color="auto" w:sz="4" w:space="0"/>
            </w:tcBorders>
            <w:shd w:val="clear" w:color="auto" w:fill="auto"/>
            <w:vAlign w:val="center"/>
          </w:tcPr>
          <w:p w14:paraId="36D5E015">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13635D71">
            <w:pPr>
              <w:widowControl/>
              <w:spacing w:line="300" w:lineRule="exact"/>
              <w:jc w:val="center"/>
              <w:rPr>
                <w:rFonts w:ascii="Times New Roman" w:hAnsi="Times New Roman"/>
                <w:kern w:val="0"/>
                <w:sz w:val="24"/>
                <w:szCs w:val="24"/>
              </w:rPr>
            </w:pPr>
            <w:r>
              <w:rPr>
                <w:rFonts w:ascii="Times New Roman" w:hAnsi="Times New Roman"/>
                <w:kern w:val="0"/>
                <w:sz w:val="24"/>
                <w:szCs w:val="24"/>
              </w:rPr>
              <w:t>6</w:t>
            </w:r>
          </w:p>
        </w:tc>
        <w:tc>
          <w:tcPr>
            <w:tcW w:w="1276" w:type="dxa"/>
            <w:tcBorders>
              <w:top w:val="nil"/>
              <w:left w:val="nil"/>
              <w:bottom w:val="single" w:color="auto" w:sz="4" w:space="0"/>
              <w:right w:val="single" w:color="auto" w:sz="4" w:space="0"/>
            </w:tcBorders>
            <w:shd w:val="clear" w:color="auto" w:fill="auto"/>
            <w:vAlign w:val="center"/>
          </w:tcPr>
          <w:p w14:paraId="53360D6C">
            <w:pPr>
              <w:widowControl/>
              <w:spacing w:line="300" w:lineRule="exact"/>
              <w:jc w:val="center"/>
              <w:rPr>
                <w:rFonts w:ascii="Times New Roman" w:hAnsi="Times New Roman"/>
                <w:kern w:val="0"/>
                <w:sz w:val="24"/>
                <w:szCs w:val="24"/>
              </w:rPr>
            </w:pPr>
            <w:r>
              <w:rPr>
                <w:rFonts w:ascii="Times New Roman" w:hAnsi="Times New Roman"/>
                <w:kern w:val="0"/>
                <w:sz w:val="24"/>
                <w:szCs w:val="24"/>
              </w:rPr>
              <w:t>5.88</w:t>
            </w:r>
          </w:p>
        </w:tc>
        <w:tc>
          <w:tcPr>
            <w:tcW w:w="1189" w:type="dxa"/>
            <w:tcBorders>
              <w:top w:val="nil"/>
              <w:left w:val="nil"/>
              <w:bottom w:val="single" w:color="auto" w:sz="4" w:space="0"/>
              <w:right w:val="single" w:color="auto" w:sz="4" w:space="0"/>
            </w:tcBorders>
            <w:shd w:val="clear" w:color="auto" w:fill="auto"/>
            <w:vAlign w:val="center"/>
          </w:tcPr>
          <w:p w14:paraId="77EDB853">
            <w:pPr>
              <w:widowControl/>
              <w:spacing w:line="300" w:lineRule="exact"/>
              <w:jc w:val="center"/>
              <w:rPr>
                <w:rFonts w:ascii="Times New Roman" w:hAnsi="Times New Roman"/>
                <w:kern w:val="0"/>
                <w:sz w:val="24"/>
                <w:szCs w:val="24"/>
              </w:rPr>
            </w:pPr>
            <w:r>
              <w:rPr>
                <w:rFonts w:ascii="Times New Roman" w:hAnsi="Times New Roman"/>
                <w:kern w:val="0"/>
                <w:sz w:val="24"/>
                <w:szCs w:val="24"/>
              </w:rPr>
              <w:t>5.75</w:t>
            </w:r>
          </w:p>
        </w:tc>
        <w:tc>
          <w:tcPr>
            <w:tcW w:w="1031" w:type="dxa"/>
            <w:tcBorders>
              <w:top w:val="nil"/>
              <w:left w:val="nil"/>
              <w:bottom w:val="single" w:color="auto" w:sz="4" w:space="0"/>
              <w:right w:val="single" w:color="auto" w:sz="4" w:space="0"/>
            </w:tcBorders>
            <w:shd w:val="clear" w:color="auto" w:fill="auto"/>
            <w:vAlign w:val="center"/>
          </w:tcPr>
          <w:p w14:paraId="55CEE7DB">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5A7218C3">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73657B9D">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71FB3D77">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配电网供电可靠率</w:t>
            </w:r>
          </w:p>
        </w:tc>
        <w:tc>
          <w:tcPr>
            <w:tcW w:w="1276" w:type="dxa"/>
            <w:tcBorders>
              <w:top w:val="nil"/>
              <w:left w:val="nil"/>
              <w:bottom w:val="single" w:color="auto" w:sz="4" w:space="0"/>
              <w:right w:val="single" w:color="auto" w:sz="4" w:space="0"/>
            </w:tcBorders>
            <w:shd w:val="clear" w:color="auto" w:fill="auto"/>
            <w:vAlign w:val="center"/>
          </w:tcPr>
          <w:p w14:paraId="30F15348">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62A4FBBF">
            <w:pPr>
              <w:widowControl/>
              <w:spacing w:line="300" w:lineRule="exact"/>
              <w:jc w:val="center"/>
              <w:rPr>
                <w:rFonts w:ascii="Times New Roman" w:hAnsi="Times New Roman"/>
                <w:kern w:val="0"/>
                <w:sz w:val="24"/>
                <w:szCs w:val="24"/>
              </w:rPr>
            </w:pPr>
            <w:r>
              <w:rPr>
                <w:rFonts w:ascii="Times New Roman" w:hAnsi="Times New Roman"/>
                <w:kern w:val="0"/>
                <w:sz w:val="24"/>
                <w:szCs w:val="24"/>
              </w:rPr>
              <w:t>99.22</w:t>
            </w:r>
          </w:p>
        </w:tc>
        <w:tc>
          <w:tcPr>
            <w:tcW w:w="1276" w:type="dxa"/>
            <w:tcBorders>
              <w:top w:val="nil"/>
              <w:left w:val="nil"/>
              <w:bottom w:val="single" w:color="auto" w:sz="4" w:space="0"/>
              <w:right w:val="single" w:color="auto" w:sz="4" w:space="0"/>
            </w:tcBorders>
            <w:shd w:val="clear" w:color="auto" w:fill="auto"/>
            <w:vAlign w:val="center"/>
          </w:tcPr>
          <w:p w14:paraId="12F4C396">
            <w:pPr>
              <w:widowControl/>
              <w:spacing w:line="300" w:lineRule="exact"/>
              <w:jc w:val="center"/>
              <w:rPr>
                <w:rFonts w:ascii="Times New Roman" w:hAnsi="Times New Roman"/>
                <w:kern w:val="0"/>
                <w:sz w:val="24"/>
                <w:szCs w:val="24"/>
              </w:rPr>
            </w:pPr>
            <w:r>
              <w:rPr>
                <w:rFonts w:ascii="Times New Roman" w:hAnsi="Times New Roman"/>
                <w:kern w:val="0"/>
                <w:sz w:val="24"/>
                <w:szCs w:val="24"/>
              </w:rPr>
              <w:t>99.8</w:t>
            </w:r>
          </w:p>
        </w:tc>
        <w:tc>
          <w:tcPr>
            <w:tcW w:w="1189" w:type="dxa"/>
            <w:tcBorders>
              <w:top w:val="nil"/>
              <w:left w:val="nil"/>
              <w:bottom w:val="single" w:color="auto" w:sz="4" w:space="0"/>
              <w:right w:val="single" w:color="auto" w:sz="4" w:space="0"/>
            </w:tcBorders>
            <w:shd w:val="clear" w:color="auto" w:fill="auto"/>
            <w:vAlign w:val="center"/>
          </w:tcPr>
          <w:p w14:paraId="085090E5">
            <w:pPr>
              <w:widowControl/>
              <w:spacing w:line="300" w:lineRule="exact"/>
              <w:jc w:val="center"/>
              <w:rPr>
                <w:rFonts w:ascii="Times New Roman" w:hAnsi="Times New Roman"/>
                <w:kern w:val="0"/>
                <w:sz w:val="24"/>
                <w:szCs w:val="24"/>
              </w:rPr>
            </w:pPr>
            <w:r>
              <w:rPr>
                <w:rFonts w:ascii="Times New Roman" w:hAnsi="Times New Roman"/>
                <w:kern w:val="0"/>
                <w:sz w:val="24"/>
                <w:szCs w:val="24"/>
              </w:rPr>
              <w:t>99.99</w:t>
            </w:r>
          </w:p>
        </w:tc>
        <w:tc>
          <w:tcPr>
            <w:tcW w:w="1031" w:type="dxa"/>
            <w:tcBorders>
              <w:top w:val="nil"/>
              <w:left w:val="nil"/>
              <w:bottom w:val="single" w:color="auto" w:sz="4" w:space="0"/>
              <w:right w:val="single" w:color="auto" w:sz="4" w:space="0"/>
            </w:tcBorders>
            <w:shd w:val="clear" w:color="auto" w:fill="auto"/>
            <w:vAlign w:val="center"/>
          </w:tcPr>
          <w:p w14:paraId="5035A22E">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60B2AF25">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498015A2">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1A0FCA9A">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综合电压合格率</w:t>
            </w:r>
          </w:p>
        </w:tc>
        <w:tc>
          <w:tcPr>
            <w:tcW w:w="1276" w:type="dxa"/>
            <w:tcBorders>
              <w:top w:val="nil"/>
              <w:left w:val="nil"/>
              <w:bottom w:val="single" w:color="auto" w:sz="4" w:space="0"/>
              <w:right w:val="single" w:color="auto" w:sz="4" w:space="0"/>
            </w:tcBorders>
            <w:shd w:val="clear" w:color="auto" w:fill="auto"/>
            <w:vAlign w:val="center"/>
          </w:tcPr>
          <w:p w14:paraId="2C38F1A9">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70F0AB89">
            <w:pPr>
              <w:widowControl/>
              <w:spacing w:line="300" w:lineRule="exact"/>
              <w:jc w:val="center"/>
              <w:rPr>
                <w:rFonts w:ascii="Times New Roman" w:hAnsi="Times New Roman"/>
                <w:kern w:val="0"/>
                <w:sz w:val="24"/>
                <w:szCs w:val="24"/>
              </w:rPr>
            </w:pPr>
            <w:r>
              <w:rPr>
                <w:rFonts w:ascii="Times New Roman" w:hAnsi="Times New Roman"/>
                <w:kern w:val="0"/>
                <w:sz w:val="24"/>
                <w:szCs w:val="24"/>
              </w:rPr>
              <w:t>97.9</w:t>
            </w:r>
          </w:p>
        </w:tc>
        <w:tc>
          <w:tcPr>
            <w:tcW w:w="1276" w:type="dxa"/>
            <w:tcBorders>
              <w:top w:val="nil"/>
              <w:left w:val="nil"/>
              <w:bottom w:val="single" w:color="auto" w:sz="4" w:space="0"/>
              <w:right w:val="single" w:color="auto" w:sz="4" w:space="0"/>
            </w:tcBorders>
            <w:shd w:val="clear" w:color="auto" w:fill="auto"/>
            <w:vAlign w:val="center"/>
          </w:tcPr>
          <w:p w14:paraId="6CAA6690">
            <w:pPr>
              <w:widowControl/>
              <w:spacing w:line="300" w:lineRule="exact"/>
              <w:jc w:val="center"/>
              <w:rPr>
                <w:rFonts w:ascii="Times New Roman" w:hAnsi="Times New Roman"/>
                <w:kern w:val="0"/>
                <w:sz w:val="24"/>
                <w:szCs w:val="24"/>
              </w:rPr>
            </w:pPr>
            <w:r>
              <w:rPr>
                <w:rFonts w:ascii="Times New Roman" w:hAnsi="Times New Roman"/>
                <w:kern w:val="0"/>
                <w:sz w:val="24"/>
                <w:szCs w:val="24"/>
              </w:rPr>
              <w:t>99.43</w:t>
            </w:r>
          </w:p>
        </w:tc>
        <w:tc>
          <w:tcPr>
            <w:tcW w:w="1189" w:type="dxa"/>
            <w:tcBorders>
              <w:top w:val="nil"/>
              <w:left w:val="nil"/>
              <w:bottom w:val="single" w:color="auto" w:sz="4" w:space="0"/>
              <w:right w:val="single" w:color="auto" w:sz="4" w:space="0"/>
            </w:tcBorders>
            <w:shd w:val="clear" w:color="auto" w:fill="auto"/>
            <w:vAlign w:val="center"/>
          </w:tcPr>
          <w:p w14:paraId="4D0792D6">
            <w:pPr>
              <w:widowControl/>
              <w:spacing w:line="300" w:lineRule="exact"/>
              <w:jc w:val="center"/>
              <w:rPr>
                <w:rFonts w:ascii="Times New Roman" w:hAnsi="Times New Roman"/>
                <w:kern w:val="0"/>
                <w:sz w:val="24"/>
                <w:szCs w:val="24"/>
              </w:rPr>
            </w:pPr>
            <w:r>
              <w:rPr>
                <w:rFonts w:ascii="Times New Roman" w:hAnsi="Times New Roman"/>
                <w:kern w:val="0"/>
                <w:sz w:val="24"/>
                <w:szCs w:val="24"/>
              </w:rPr>
              <w:t>99.8</w:t>
            </w:r>
          </w:p>
        </w:tc>
        <w:tc>
          <w:tcPr>
            <w:tcW w:w="1031" w:type="dxa"/>
            <w:tcBorders>
              <w:top w:val="nil"/>
              <w:left w:val="nil"/>
              <w:bottom w:val="single" w:color="auto" w:sz="4" w:space="0"/>
              <w:right w:val="single" w:color="auto" w:sz="4" w:space="0"/>
            </w:tcBorders>
            <w:shd w:val="clear" w:color="auto" w:fill="auto"/>
            <w:vAlign w:val="center"/>
          </w:tcPr>
          <w:p w14:paraId="31476184">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191F46E2">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27A7EB36">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3F81F247">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居民人均生活用电量</w:t>
            </w:r>
          </w:p>
        </w:tc>
        <w:tc>
          <w:tcPr>
            <w:tcW w:w="1276" w:type="dxa"/>
            <w:tcBorders>
              <w:top w:val="nil"/>
              <w:left w:val="nil"/>
              <w:bottom w:val="single" w:color="auto" w:sz="4" w:space="0"/>
              <w:right w:val="single" w:color="auto" w:sz="4" w:space="0"/>
            </w:tcBorders>
            <w:shd w:val="clear" w:color="auto" w:fill="auto"/>
            <w:vAlign w:val="center"/>
          </w:tcPr>
          <w:p w14:paraId="26E94937">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千瓦时</w:t>
            </w:r>
          </w:p>
        </w:tc>
        <w:tc>
          <w:tcPr>
            <w:tcW w:w="992" w:type="dxa"/>
            <w:tcBorders>
              <w:top w:val="nil"/>
              <w:left w:val="nil"/>
              <w:bottom w:val="single" w:color="auto" w:sz="4" w:space="0"/>
              <w:right w:val="single" w:color="auto" w:sz="4" w:space="0"/>
            </w:tcBorders>
            <w:shd w:val="clear" w:color="auto" w:fill="auto"/>
            <w:vAlign w:val="center"/>
          </w:tcPr>
          <w:p w14:paraId="7582513A">
            <w:pPr>
              <w:widowControl/>
              <w:spacing w:line="300" w:lineRule="exact"/>
              <w:jc w:val="center"/>
              <w:rPr>
                <w:rFonts w:ascii="Times New Roman" w:hAnsi="Times New Roman"/>
                <w:kern w:val="0"/>
                <w:sz w:val="24"/>
                <w:szCs w:val="24"/>
              </w:rPr>
            </w:pPr>
            <w:r>
              <w:rPr>
                <w:rFonts w:ascii="Times New Roman" w:hAnsi="Times New Roman"/>
                <w:kern w:val="0"/>
                <w:sz w:val="24"/>
                <w:szCs w:val="24"/>
              </w:rPr>
              <w:t>571</w:t>
            </w:r>
          </w:p>
        </w:tc>
        <w:tc>
          <w:tcPr>
            <w:tcW w:w="1276" w:type="dxa"/>
            <w:tcBorders>
              <w:top w:val="nil"/>
              <w:left w:val="nil"/>
              <w:bottom w:val="single" w:color="auto" w:sz="4" w:space="0"/>
              <w:right w:val="single" w:color="auto" w:sz="4" w:space="0"/>
            </w:tcBorders>
            <w:shd w:val="clear" w:color="auto" w:fill="auto"/>
            <w:vAlign w:val="center"/>
          </w:tcPr>
          <w:p w14:paraId="114A4330">
            <w:pPr>
              <w:widowControl/>
              <w:spacing w:line="300" w:lineRule="exact"/>
              <w:jc w:val="center"/>
              <w:rPr>
                <w:rFonts w:ascii="Times New Roman" w:hAnsi="Times New Roman"/>
                <w:kern w:val="0"/>
                <w:sz w:val="24"/>
                <w:szCs w:val="24"/>
              </w:rPr>
            </w:pPr>
            <w:r>
              <w:rPr>
                <w:rFonts w:ascii="Times New Roman" w:hAnsi="Times New Roman"/>
                <w:kern w:val="0"/>
                <w:sz w:val="24"/>
                <w:szCs w:val="24"/>
              </w:rPr>
              <w:t>1000</w:t>
            </w:r>
          </w:p>
        </w:tc>
        <w:tc>
          <w:tcPr>
            <w:tcW w:w="1189" w:type="dxa"/>
            <w:tcBorders>
              <w:top w:val="nil"/>
              <w:left w:val="nil"/>
              <w:bottom w:val="single" w:color="auto" w:sz="4" w:space="0"/>
              <w:right w:val="single" w:color="auto" w:sz="4" w:space="0"/>
            </w:tcBorders>
            <w:shd w:val="clear" w:color="auto" w:fill="auto"/>
            <w:vAlign w:val="center"/>
          </w:tcPr>
          <w:p w14:paraId="55EE1BDF">
            <w:pPr>
              <w:widowControl/>
              <w:spacing w:line="300" w:lineRule="exact"/>
              <w:jc w:val="center"/>
              <w:rPr>
                <w:rFonts w:ascii="Times New Roman" w:hAnsi="Times New Roman"/>
                <w:kern w:val="0"/>
                <w:sz w:val="24"/>
                <w:szCs w:val="24"/>
              </w:rPr>
            </w:pPr>
            <w:r>
              <w:rPr>
                <w:rFonts w:ascii="Times New Roman" w:hAnsi="Times New Roman"/>
                <w:kern w:val="0"/>
                <w:sz w:val="24"/>
                <w:szCs w:val="24"/>
              </w:rPr>
              <w:t>1500</w:t>
            </w:r>
          </w:p>
        </w:tc>
        <w:tc>
          <w:tcPr>
            <w:tcW w:w="1031" w:type="dxa"/>
            <w:tcBorders>
              <w:top w:val="nil"/>
              <w:left w:val="nil"/>
              <w:bottom w:val="single" w:color="auto" w:sz="4" w:space="0"/>
              <w:right w:val="single" w:color="auto" w:sz="4" w:space="0"/>
            </w:tcBorders>
            <w:shd w:val="clear" w:color="auto" w:fill="auto"/>
            <w:vAlign w:val="center"/>
          </w:tcPr>
          <w:p w14:paraId="6992DEE2">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661E2002">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63FEDAEE">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6CC99EC9">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城镇居民天然气普及率</w:t>
            </w:r>
          </w:p>
        </w:tc>
        <w:tc>
          <w:tcPr>
            <w:tcW w:w="1276" w:type="dxa"/>
            <w:tcBorders>
              <w:top w:val="nil"/>
              <w:left w:val="nil"/>
              <w:bottom w:val="single" w:color="auto" w:sz="4" w:space="0"/>
              <w:right w:val="single" w:color="auto" w:sz="4" w:space="0"/>
            </w:tcBorders>
            <w:shd w:val="clear" w:color="auto" w:fill="auto"/>
            <w:vAlign w:val="center"/>
          </w:tcPr>
          <w:p w14:paraId="3A9EAFFE">
            <w:pPr>
              <w:widowControl/>
              <w:spacing w:line="300" w:lineRule="exact"/>
              <w:jc w:val="center"/>
              <w:rPr>
                <w:rFonts w:ascii="Times New Roman" w:hAnsi="Times New Roman"/>
                <w:kern w:val="0"/>
                <w:sz w:val="24"/>
                <w:szCs w:val="24"/>
              </w:rPr>
            </w:pPr>
            <w:r>
              <w:rPr>
                <w:rFonts w:ascii="Times New Roman" w:hAnsi="Times New Roman"/>
                <w:kern w:val="0"/>
                <w:sz w:val="24"/>
                <w:szCs w:val="24"/>
              </w:rPr>
              <w:t>%</w:t>
            </w:r>
          </w:p>
        </w:tc>
        <w:tc>
          <w:tcPr>
            <w:tcW w:w="992" w:type="dxa"/>
            <w:tcBorders>
              <w:top w:val="nil"/>
              <w:left w:val="nil"/>
              <w:bottom w:val="single" w:color="auto" w:sz="4" w:space="0"/>
              <w:right w:val="single" w:color="auto" w:sz="4" w:space="0"/>
            </w:tcBorders>
            <w:shd w:val="clear" w:color="auto" w:fill="auto"/>
            <w:vAlign w:val="center"/>
          </w:tcPr>
          <w:p w14:paraId="38A96A10">
            <w:pPr>
              <w:widowControl/>
              <w:spacing w:line="300" w:lineRule="exact"/>
              <w:jc w:val="center"/>
              <w:rPr>
                <w:rFonts w:ascii="Times New Roman" w:hAnsi="Times New Roman"/>
                <w:kern w:val="0"/>
                <w:sz w:val="24"/>
                <w:szCs w:val="24"/>
              </w:rPr>
            </w:pPr>
            <w:r>
              <w:rPr>
                <w:rFonts w:ascii="Times New Roman" w:hAnsi="Times New Roman"/>
                <w:kern w:val="0"/>
                <w:sz w:val="24"/>
                <w:szCs w:val="24"/>
              </w:rPr>
              <w:t>85</w:t>
            </w:r>
          </w:p>
        </w:tc>
        <w:tc>
          <w:tcPr>
            <w:tcW w:w="1276" w:type="dxa"/>
            <w:tcBorders>
              <w:top w:val="nil"/>
              <w:left w:val="nil"/>
              <w:bottom w:val="single" w:color="auto" w:sz="4" w:space="0"/>
              <w:right w:val="single" w:color="auto" w:sz="4" w:space="0"/>
            </w:tcBorders>
            <w:shd w:val="clear" w:color="auto" w:fill="auto"/>
            <w:vAlign w:val="center"/>
          </w:tcPr>
          <w:p w14:paraId="33EFCC6F">
            <w:pPr>
              <w:widowControl/>
              <w:spacing w:line="300" w:lineRule="exact"/>
              <w:jc w:val="center"/>
              <w:rPr>
                <w:rFonts w:ascii="Times New Roman" w:hAnsi="Times New Roman"/>
                <w:kern w:val="0"/>
                <w:sz w:val="24"/>
                <w:szCs w:val="24"/>
              </w:rPr>
            </w:pPr>
            <w:r>
              <w:rPr>
                <w:rFonts w:ascii="Times New Roman" w:hAnsi="Times New Roman"/>
                <w:kern w:val="0"/>
                <w:sz w:val="24"/>
                <w:szCs w:val="24"/>
              </w:rPr>
              <w:t>95</w:t>
            </w:r>
          </w:p>
        </w:tc>
        <w:tc>
          <w:tcPr>
            <w:tcW w:w="1189" w:type="dxa"/>
            <w:tcBorders>
              <w:top w:val="nil"/>
              <w:left w:val="nil"/>
              <w:bottom w:val="single" w:color="auto" w:sz="4" w:space="0"/>
              <w:right w:val="single" w:color="auto" w:sz="4" w:space="0"/>
            </w:tcBorders>
            <w:shd w:val="clear" w:color="auto" w:fill="auto"/>
            <w:vAlign w:val="center"/>
          </w:tcPr>
          <w:p w14:paraId="595BBAF9">
            <w:pPr>
              <w:widowControl/>
              <w:spacing w:line="300" w:lineRule="exact"/>
              <w:jc w:val="center"/>
              <w:rPr>
                <w:rFonts w:ascii="Times New Roman" w:hAnsi="Times New Roman"/>
                <w:kern w:val="0"/>
                <w:sz w:val="24"/>
                <w:szCs w:val="24"/>
              </w:rPr>
            </w:pPr>
            <w:r>
              <w:rPr>
                <w:rFonts w:ascii="Times New Roman" w:hAnsi="Times New Roman"/>
                <w:kern w:val="0"/>
                <w:sz w:val="24"/>
                <w:szCs w:val="24"/>
              </w:rPr>
              <w:t>97</w:t>
            </w:r>
          </w:p>
        </w:tc>
        <w:tc>
          <w:tcPr>
            <w:tcW w:w="1031" w:type="dxa"/>
            <w:tcBorders>
              <w:top w:val="nil"/>
              <w:left w:val="nil"/>
              <w:bottom w:val="single" w:color="auto" w:sz="4" w:space="0"/>
              <w:right w:val="single" w:color="auto" w:sz="4" w:space="0"/>
            </w:tcBorders>
            <w:shd w:val="clear" w:color="auto" w:fill="auto"/>
            <w:vAlign w:val="center"/>
          </w:tcPr>
          <w:p w14:paraId="7F16F21C">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r w14:paraId="4412658B">
        <w:tblPrEx>
          <w:tblCellMar>
            <w:top w:w="0" w:type="dxa"/>
            <w:left w:w="108" w:type="dxa"/>
            <w:bottom w:w="0" w:type="dxa"/>
            <w:right w:w="108" w:type="dxa"/>
          </w:tblCellMar>
        </w:tblPrEx>
        <w:trPr>
          <w:trHeight w:val="369" w:hRule="atLeast"/>
          <w:jc w:val="center"/>
        </w:trPr>
        <w:tc>
          <w:tcPr>
            <w:tcW w:w="714" w:type="dxa"/>
            <w:vMerge w:val="continue"/>
            <w:tcBorders>
              <w:top w:val="nil"/>
              <w:left w:val="single" w:color="auto" w:sz="4" w:space="0"/>
              <w:bottom w:val="single" w:color="auto" w:sz="4" w:space="0"/>
              <w:right w:val="single" w:color="auto" w:sz="4" w:space="0"/>
            </w:tcBorders>
            <w:vAlign w:val="center"/>
          </w:tcPr>
          <w:p w14:paraId="5388D17F">
            <w:pPr>
              <w:widowControl/>
              <w:spacing w:line="300" w:lineRule="exact"/>
              <w:jc w:val="left"/>
              <w:rPr>
                <w:rFonts w:ascii="Times New Roman" w:hAnsi="Times New Roman" w:eastAsia="方正仿宋_GBK" w:cs="宋体"/>
                <w:kern w:val="0"/>
                <w:sz w:val="24"/>
                <w:szCs w:val="24"/>
              </w:rPr>
            </w:pPr>
          </w:p>
        </w:tc>
        <w:tc>
          <w:tcPr>
            <w:tcW w:w="2693" w:type="dxa"/>
            <w:tcBorders>
              <w:top w:val="nil"/>
              <w:left w:val="nil"/>
              <w:bottom w:val="single" w:color="auto" w:sz="4" w:space="0"/>
              <w:right w:val="single" w:color="auto" w:sz="4" w:space="0"/>
            </w:tcBorders>
            <w:shd w:val="clear" w:color="auto" w:fill="auto"/>
            <w:vAlign w:val="center"/>
          </w:tcPr>
          <w:p w14:paraId="7F4B3CDF">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公用电动汽车充电桩</w:t>
            </w:r>
          </w:p>
        </w:tc>
        <w:tc>
          <w:tcPr>
            <w:tcW w:w="1276" w:type="dxa"/>
            <w:tcBorders>
              <w:top w:val="nil"/>
              <w:left w:val="nil"/>
              <w:bottom w:val="single" w:color="auto" w:sz="4" w:space="0"/>
              <w:right w:val="single" w:color="auto" w:sz="4" w:space="0"/>
            </w:tcBorders>
            <w:shd w:val="clear" w:color="auto" w:fill="auto"/>
            <w:vAlign w:val="center"/>
          </w:tcPr>
          <w:p w14:paraId="2DB7643A">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千个</w:t>
            </w:r>
          </w:p>
        </w:tc>
        <w:tc>
          <w:tcPr>
            <w:tcW w:w="992" w:type="dxa"/>
            <w:tcBorders>
              <w:top w:val="nil"/>
              <w:left w:val="nil"/>
              <w:bottom w:val="single" w:color="auto" w:sz="4" w:space="0"/>
              <w:right w:val="single" w:color="auto" w:sz="4" w:space="0"/>
            </w:tcBorders>
            <w:shd w:val="clear" w:color="auto" w:fill="auto"/>
            <w:vAlign w:val="center"/>
          </w:tcPr>
          <w:p w14:paraId="53844473">
            <w:pPr>
              <w:widowControl/>
              <w:spacing w:line="300" w:lineRule="exact"/>
              <w:jc w:val="center"/>
              <w:rPr>
                <w:rFonts w:ascii="Times New Roman" w:hAnsi="Times New Roman"/>
                <w:kern w:val="0"/>
                <w:sz w:val="24"/>
                <w:szCs w:val="24"/>
              </w:rPr>
            </w:pPr>
            <w:r>
              <w:rPr>
                <w:rFonts w:ascii="Times New Roman" w:hAnsi="Times New Roman"/>
                <w:kern w:val="0"/>
                <w:sz w:val="24"/>
                <w:szCs w:val="24"/>
              </w:rPr>
              <w:t>0.</w:t>
            </w:r>
            <w:r>
              <w:rPr>
                <w:rFonts w:hint="eastAsia" w:ascii="Times New Roman" w:hAnsi="Times New Roman"/>
                <w:kern w:val="0"/>
                <w:sz w:val="24"/>
                <w:szCs w:val="24"/>
              </w:rPr>
              <w:t>18</w:t>
            </w:r>
          </w:p>
        </w:tc>
        <w:tc>
          <w:tcPr>
            <w:tcW w:w="1276" w:type="dxa"/>
            <w:tcBorders>
              <w:top w:val="nil"/>
              <w:left w:val="nil"/>
              <w:bottom w:val="single" w:color="auto" w:sz="4" w:space="0"/>
              <w:right w:val="single" w:color="auto" w:sz="4" w:space="0"/>
            </w:tcBorders>
            <w:shd w:val="clear" w:color="auto" w:fill="auto"/>
            <w:vAlign w:val="center"/>
          </w:tcPr>
          <w:p w14:paraId="7704899C">
            <w:pPr>
              <w:widowControl/>
              <w:spacing w:line="300" w:lineRule="exact"/>
              <w:jc w:val="center"/>
              <w:rPr>
                <w:rFonts w:ascii="Times New Roman" w:hAnsi="Times New Roman"/>
                <w:kern w:val="0"/>
                <w:sz w:val="24"/>
                <w:szCs w:val="24"/>
              </w:rPr>
            </w:pPr>
            <w:r>
              <w:rPr>
                <w:rFonts w:hint="eastAsia" w:ascii="Times New Roman" w:hAnsi="Times New Roman"/>
                <w:kern w:val="0"/>
                <w:sz w:val="24"/>
                <w:szCs w:val="24"/>
              </w:rPr>
              <w:t>1.94</w:t>
            </w:r>
          </w:p>
        </w:tc>
        <w:tc>
          <w:tcPr>
            <w:tcW w:w="1189" w:type="dxa"/>
            <w:tcBorders>
              <w:top w:val="nil"/>
              <w:left w:val="nil"/>
              <w:bottom w:val="single" w:color="auto" w:sz="4" w:space="0"/>
              <w:right w:val="single" w:color="auto" w:sz="4" w:space="0"/>
            </w:tcBorders>
            <w:shd w:val="clear" w:color="auto" w:fill="auto"/>
            <w:vAlign w:val="center"/>
          </w:tcPr>
          <w:p w14:paraId="372F2A67">
            <w:pPr>
              <w:widowControl/>
              <w:spacing w:line="300" w:lineRule="exact"/>
              <w:jc w:val="center"/>
              <w:rPr>
                <w:rFonts w:ascii="Times New Roman" w:hAnsi="Times New Roman"/>
                <w:kern w:val="0"/>
                <w:sz w:val="24"/>
                <w:szCs w:val="24"/>
              </w:rPr>
            </w:pPr>
            <w:r>
              <w:rPr>
                <w:rFonts w:ascii="Times New Roman" w:hAnsi="Times New Roman"/>
                <w:kern w:val="0"/>
                <w:sz w:val="24"/>
                <w:szCs w:val="24"/>
              </w:rPr>
              <w:t>16.3</w:t>
            </w:r>
          </w:p>
        </w:tc>
        <w:tc>
          <w:tcPr>
            <w:tcW w:w="1031" w:type="dxa"/>
            <w:tcBorders>
              <w:top w:val="nil"/>
              <w:left w:val="nil"/>
              <w:bottom w:val="single" w:color="auto" w:sz="4" w:space="0"/>
              <w:right w:val="single" w:color="auto" w:sz="4" w:space="0"/>
            </w:tcBorders>
            <w:shd w:val="clear" w:color="auto" w:fill="auto"/>
            <w:vAlign w:val="center"/>
          </w:tcPr>
          <w:p w14:paraId="3F39937F">
            <w:pPr>
              <w:widowControl/>
              <w:spacing w:line="300" w:lineRule="exact"/>
              <w:jc w:val="center"/>
              <w:rPr>
                <w:rFonts w:ascii="Times New Roman" w:hAnsi="Times New Roman" w:eastAsia="方正仿宋_GBK" w:cs="宋体"/>
                <w:kern w:val="0"/>
                <w:sz w:val="24"/>
                <w:szCs w:val="24"/>
              </w:rPr>
            </w:pPr>
            <w:r>
              <w:rPr>
                <w:rFonts w:hint="eastAsia" w:ascii="Times New Roman" w:hAnsi="Times New Roman" w:eastAsia="方正仿宋_GBK" w:cs="宋体"/>
                <w:kern w:val="0"/>
                <w:sz w:val="24"/>
                <w:szCs w:val="24"/>
              </w:rPr>
              <w:t>预期性</w:t>
            </w:r>
          </w:p>
        </w:tc>
      </w:tr>
    </w:tbl>
    <w:p w14:paraId="281654FD">
      <w:pPr>
        <w:spacing w:line="400" w:lineRule="exact"/>
        <w:rPr>
          <w:rFonts w:ascii="Times New Roman" w:hAnsi="Times New Roman" w:eastAsia="方正仿宋_GBK"/>
          <w:b/>
          <w:sz w:val="24"/>
          <w:szCs w:val="32"/>
        </w:rPr>
      </w:pPr>
      <w:r>
        <w:rPr>
          <w:rFonts w:hint="eastAsia" w:ascii="Times New Roman" w:hAnsi="Times New Roman" w:eastAsia="方正仿宋_GBK"/>
          <w:b/>
          <w:sz w:val="24"/>
          <w:szCs w:val="32"/>
        </w:rPr>
        <w:t>注：</w:t>
      </w:r>
      <w:r>
        <w:rPr>
          <w:rFonts w:ascii="Times New Roman" w:hAnsi="Times New Roman" w:eastAsia="方正仿宋_GBK"/>
          <w:b/>
          <w:sz w:val="24"/>
          <w:szCs w:val="32"/>
        </w:rPr>
        <w:t>1</w:t>
      </w:r>
      <w:r>
        <w:rPr>
          <w:rFonts w:hint="eastAsia" w:ascii="Times New Roman" w:hAnsi="Times New Roman" w:eastAsia="方正仿宋_GBK"/>
          <w:b/>
          <w:sz w:val="24"/>
          <w:szCs w:val="32"/>
        </w:rPr>
        <w:t>．现状数据以统计公布数据为准。</w:t>
      </w:r>
    </w:p>
    <w:p w14:paraId="0A9E4343">
      <w:pPr>
        <w:spacing w:line="400" w:lineRule="exact"/>
        <w:ind w:firstLine="528" w:firstLineChars="220"/>
        <w:rPr>
          <w:rFonts w:ascii="Times New Roman" w:hAnsi="Times New Roman" w:eastAsia="方正仿宋_GBK"/>
          <w:b/>
          <w:sz w:val="24"/>
          <w:szCs w:val="32"/>
        </w:rPr>
      </w:pPr>
      <w:r>
        <w:rPr>
          <w:rFonts w:ascii="Times New Roman" w:hAnsi="Times New Roman" w:eastAsia="方正仿宋_GBK"/>
          <w:b/>
          <w:sz w:val="24"/>
          <w:szCs w:val="32"/>
        </w:rPr>
        <w:t>2</w:t>
      </w:r>
      <w:r>
        <w:rPr>
          <w:rFonts w:hint="eastAsia" w:ascii="Times New Roman" w:hAnsi="Times New Roman" w:eastAsia="方正仿宋_GBK"/>
          <w:b/>
          <w:sz w:val="24"/>
          <w:szCs w:val="32"/>
        </w:rPr>
        <w:t>．约束性指标以上级下达我区强制性计划为准。</w:t>
      </w:r>
    </w:p>
    <w:p w14:paraId="765C6280">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到2035年，全面建成清洁低碳、安全高效、创新协同、开放共享的现代能源体系，资源集约型、环境友好型的能源供应和消费格局广泛形成，能源保障能力与经济社会发展相适应，非化石能源消费比重进一步提高，单位GDP能耗持续下降，能源消费碳排放系数显著降低。</w:t>
      </w:r>
    </w:p>
    <w:p w14:paraId="6F9C53CF">
      <w:pPr>
        <w:pStyle w:val="4"/>
        <w:spacing w:before="312" w:beforeLines="100" w:after="156"/>
      </w:pPr>
      <w:bookmarkStart w:id="9" w:name="_Toc123655028"/>
      <w:r>
        <w:t>第</w:t>
      </w:r>
      <w:r>
        <w:rPr>
          <w:rFonts w:hint="eastAsia"/>
        </w:rPr>
        <w:t>三</w:t>
      </w:r>
      <w:r>
        <w:t>章</w:t>
      </w:r>
      <w:r>
        <w:rPr>
          <w:rFonts w:hint="eastAsia"/>
        </w:rPr>
        <w:t xml:space="preserve"> 构建多元安全的能源供给体系</w:t>
      </w:r>
      <w:bookmarkEnd w:id="9"/>
    </w:p>
    <w:p w14:paraId="662AE1D3">
      <w:pPr>
        <w:pStyle w:val="5"/>
        <w:ind w:firstLine="420" w:firstLineChars="0"/>
        <w:jc w:val="center"/>
        <w:rPr>
          <w:rFonts w:ascii="Times New Roman" w:hAnsi="Times New Roman"/>
          <w:sz w:val="36"/>
          <w:szCs w:val="36"/>
        </w:rPr>
      </w:pPr>
      <w:bookmarkStart w:id="10" w:name="_Toc123655029"/>
      <w:r>
        <w:rPr>
          <w:rFonts w:hint="eastAsia" w:ascii="Times New Roman" w:hAnsi="Times New Roman"/>
          <w:sz w:val="36"/>
          <w:szCs w:val="36"/>
        </w:rPr>
        <w:t>第一节 强化天然气供应保障</w:t>
      </w:r>
      <w:bookmarkEnd w:id="10"/>
    </w:p>
    <w:p w14:paraId="1B2C0EF7">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构建天然气多元供应体系。</w:t>
      </w:r>
      <w:r>
        <w:rPr>
          <w:rFonts w:hint="eastAsia" w:ascii="Times New Roman" w:hAnsi="Times New Roman" w:eastAsia="方正仿宋_GBK"/>
          <w:bCs/>
          <w:color w:val="000000"/>
          <w:sz w:val="32"/>
          <w:szCs w:val="32"/>
        </w:rPr>
        <w:t>积极开展天然气已探明未开发储量、新增探明储量开发评价和目标区优选建产工作，加大大猫坪气田勘探开发力度，稳步推进老气田补充产能建设，力争全区每年天然气开采量达10亿立方米。</w:t>
      </w:r>
      <w:r>
        <w:rPr>
          <w:rFonts w:hint="eastAsia" w:ascii="Times New Roman" w:hAnsi="Times New Roman" w:eastAsia="方正仿宋_GBK"/>
          <w:sz w:val="32"/>
          <w:szCs w:val="32"/>
        </w:rPr>
        <w:t>加强</w:t>
      </w:r>
      <w:r>
        <w:rPr>
          <w:rFonts w:hint="eastAsia" w:ascii="Times New Roman" w:hAnsi="Times New Roman" w:eastAsia="方正仿宋_GBK"/>
          <w:sz w:val="32"/>
          <w:szCs w:val="32"/>
          <w:lang w:eastAsia="zh-CN"/>
        </w:rPr>
        <w:t>我区</w:t>
      </w:r>
      <w:r>
        <w:rPr>
          <w:rFonts w:hint="eastAsia" w:ascii="Times New Roman" w:hAnsi="Times New Roman" w:eastAsia="方正仿宋_GBK"/>
          <w:sz w:val="32"/>
          <w:szCs w:val="32"/>
        </w:rPr>
        <w:t>输配系统与重庆市市域天然气高压输配系统有机衔接，稳定中石油南万忠线管道气、中石化建万线管道气、</w:t>
      </w:r>
      <w:r>
        <w:rPr>
          <w:rFonts w:hint="eastAsia" w:ascii="Times New Roman" w:hAnsi="Times New Roman" w:eastAsia="方正仿宋_GBK"/>
          <w:color w:val="auto"/>
          <w:sz w:val="32"/>
          <w:szCs w:val="32"/>
        </w:rPr>
        <w:t>高峰</w:t>
      </w:r>
      <w:r>
        <w:rPr>
          <w:rFonts w:hint="eastAsia" w:ascii="Times New Roman" w:hAnsi="Times New Roman" w:eastAsia="方正仿宋_GBK"/>
          <w:color w:val="auto"/>
          <w:sz w:val="32"/>
          <w:szCs w:val="32"/>
          <w:lang w:eastAsia="zh-CN"/>
        </w:rPr>
        <w:t>气田</w:t>
      </w:r>
      <w:r>
        <w:rPr>
          <w:rFonts w:hint="eastAsia" w:ascii="Times New Roman" w:hAnsi="Times New Roman" w:eastAsia="方正仿宋_GBK"/>
          <w:color w:val="auto"/>
          <w:sz w:val="32"/>
          <w:szCs w:val="32"/>
        </w:rPr>
        <w:t>、云安气田等主要气源，论证新增川气东送王场分输站气源，</w:t>
      </w:r>
      <w:r>
        <w:rPr>
          <w:rFonts w:hint="eastAsia" w:ascii="Times New Roman" w:hAnsi="Times New Roman" w:eastAsia="方正仿宋_GBK"/>
          <w:sz w:val="32"/>
          <w:szCs w:val="32"/>
        </w:rPr>
        <w:t>加快形成多气源供应保障格局。增强天然气储备调峰能力，加快推进五桥、陈家坝、枇杷坪储备站前期工作，力争到</w:t>
      </w:r>
      <w:r>
        <w:rPr>
          <w:rFonts w:ascii="Times New Roman" w:hAnsi="Times New Roman" w:eastAsia="方正仿宋_GBK"/>
          <w:sz w:val="32"/>
          <w:szCs w:val="32"/>
        </w:rPr>
        <w:t>2025</w:t>
      </w:r>
      <w:r>
        <w:rPr>
          <w:rFonts w:hint="eastAsia" w:ascii="Times New Roman" w:hAnsi="Times New Roman" w:eastAsia="方正仿宋_GBK"/>
          <w:sz w:val="32"/>
          <w:szCs w:val="32"/>
        </w:rPr>
        <w:t>年天然气储备能力不低于64万立方米。提升区域性应急调峰能力，推进董家新站、万博橇装站、万州LNG加注码头建设，规划建设九龙LNG储配调峰站，形成不低于保障全区日均3天需求量的储气能力。</w:t>
      </w:r>
    </w:p>
    <w:p w14:paraId="50C71FCB">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提升天然气管输能力。论证川气东送王场分输站至五桥储配站输气管线，</w:t>
      </w:r>
      <w:r>
        <w:rPr>
          <w:rFonts w:hint="default" w:ascii="Times New Roman" w:hAnsi="Times New Roman" w:eastAsia="方正仿宋_GBK" w:cs="Times New Roman"/>
          <w:b w:val="0"/>
          <w:bCs w:val="0"/>
          <w:sz w:val="32"/>
          <w:szCs w:val="32"/>
          <w:lang w:val="en-US" w:eastAsia="zh-CN"/>
        </w:rPr>
        <w:t>争取国家管网集团开展梁平</w:t>
      </w:r>
      <w:r>
        <w:rPr>
          <w:rFonts w:hint="eastAsia"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b w:val="0"/>
          <w:bCs w:val="0"/>
          <w:sz w:val="32"/>
          <w:szCs w:val="32"/>
          <w:lang w:val="en-US" w:eastAsia="zh-CN"/>
        </w:rPr>
        <w:t>万州第二气源天然气长输管道论证工作</w:t>
      </w:r>
      <w:r>
        <w:rPr>
          <w:rFonts w:hint="eastAsia" w:ascii="Times New Roman" w:hAnsi="Times New Roman" w:eastAsia="方正仿宋_GBK" w:cs="Times New Roman"/>
          <w:b w:val="0"/>
          <w:bCs w:val="0"/>
          <w:sz w:val="32"/>
          <w:szCs w:val="32"/>
          <w:lang w:val="en-US" w:eastAsia="zh-CN"/>
        </w:rPr>
        <w:t>，</w:t>
      </w:r>
      <w:r>
        <w:rPr>
          <w:rFonts w:hint="eastAsia" w:ascii="Times New Roman" w:hAnsi="Times New Roman" w:eastAsia="方正仿宋_GBK"/>
          <w:sz w:val="32"/>
          <w:szCs w:val="32"/>
        </w:rPr>
        <w:t>打通万州与国家管网、市级管网的连接通路。规划建设城市过江管道，积极开展高压外环管线研究论证工作，逐步形成联系畅通、运行灵活、安全可靠的主干管网系统。规划建设周家坝三环路D159管线、申明坝配气站气源管线、董家合巴路管线、泉活村气源管线，实施董家至熊家主管线扩建工程、申明坝配气站至大竹林老旧管线更换工程，推动全区中压管网互联互通。实施一批老旧燃气管道设施更新改造工程，完善乡镇气源网络及配气站建设，推动城乡燃气管网有序向农村延伸。</w:t>
      </w:r>
    </w:p>
    <w:p w14:paraId="6E656059">
      <w:pPr>
        <w:pStyle w:val="28"/>
        <w:adjustRightInd w:val="0"/>
        <w:snapToGrid w:val="0"/>
        <w:ind w:firstLine="0" w:firstLineChars="0"/>
        <w:jc w:val="center"/>
        <w:rPr>
          <w:rFonts w:ascii="Times New Roman" w:hAnsi="Times New Roman" w:eastAsia="方正仿宋_GBK"/>
          <w:sz w:val="32"/>
          <w:szCs w:val="32"/>
        </w:rPr>
      </w:pPr>
      <w:r>
        <w:rPr>
          <w:rFonts w:ascii="Times New Roman" w:hAnsi="Times New Roman" w:eastAsia="方正仿宋_GBK"/>
          <w:sz w:val="32"/>
          <w:szCs w:val="32"/>
        </w:rPr>
        <w:drawing>
          <wp:inline distT="0" distB="0" distL="0" distR="0">
            <wp:extent cx="5273675" cy="3582035"/>
            <wp:effectExtent l="0" t="0" r="0" b="0"/>
            <wp:docPr id="4" name="图片 4" descr="G:\2021年项目\重庆市万州区“十四五”能源保障规划\成品文档（调整）\成品文档\附图\油气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2021年项目\重庆市万州区“十四五”能源保障规划\成品文档（调整）\成品文档\附图\油气图副本.jpg"/>
                    <pic:cNvPicPr>
                      <a:picLocks noChangeAspect="1" noChangeArrowheads="1"/>
                    </pic:cNvPicPr>
                  </pic:nvPicPr>
                  <pic:blipFill>
                    <a:blip r:embed="rId13" cstate="print">
                      <a:extLst>
                        <a:ext uri="{28A0092B-C50C-407E-A947-70E740481C1C}">
                          <a14:useLocalDpi xmlns:a14="http://schemas.microsoft.com/office/drawing/2010/main" val="0"/>
                        </a:ext>
                      </a:extLst>
                    </a:blip>
                    <a:srcRect t="3989"/>
                    <a:stretch>
                      <a:fillRect/>
                    </a:stretch>
                  </pic:blipFill>
                  <pic:spPr>
                    <a:xfrm>
                      <a:off x="0" y="0"/>
                      <a:ext cx="5278120" cy="3585555"/>
                    </a:xfrm>
                    <a:prstGeom prst="rect">
                      <a:avLst/>
                    </a:prstGeom>
                    <a:noFill/>
                    <a:ln>
                      <a:noFill/>
                    </a:ln>
                  </pic:spPr>
                </pic:pic>
              </a:graphicData>
            </a:graphic>
          </wp:inline>
        </w:drawing>
      </w:r>
    </w:p>
    <w:p w14:paraId="53CAC5B7">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 xml:space="preserve">图2 </w:t>
      </w:r>
      <w:r>
        <w:rPr>
          <w:rFonts w:hint="eastAsia" w:ascii="Times New Roman" w:hAnsi="Times New Roman" w:eastAsia="方正黑体_GBK" w:cs="Times New Roman"/>
          <w:sz w:val="28"/>
          <w:szCs w:val="24"/>
          <w:lang w:eastAsia="zh-CN"/>
        </w:rPr>
        <w:t>全</w:t>
      </w:r>
      <w:r>
        <w:rPr>
          <w:rFonts w:hint="eastAsia" w:ascii="Times New Roman" w:hAnsi="Times New Roman" w:eastAsia="方正黑体_GBK" w:cs="Times New Roman"/>
          <w:sz w:val="28"/>
          <w:szCs w:val="24"/>
        </w:rPr>
        <w:t>区天然气设施示意图</w:t>
      </w:r>
    </w:p>
    <w:p w14:paraId="2F0FFA73">
      <w:pPr>
        <w:spacing w:line="580" w:lineRule="exact"/>
        <w:jc w:val="center"/>
        <w:rPr>
          <w:rFonts w:hint="eastAsia" w:ascii="Times New Roman" w:hAnsi="Times New Roman" w:eastAsia="方正黑体_GBK" w:cs="Times New Roman"/>
          <w:sz w:val="28"/>
          <w:szCs w:val="24"/>
        </w:rPr>
      </w:pPr>
      <w:r>
        <w:rPr>
          <w:rFonts w:hint="eastAsia" w:ascii="Times New Roman" w:hAnsi="Times New Roman" w:eastAsia="方正黑体_GBK" w:cs="Times New Roman"/>
          <w:sz w:val="28"/>
          <w:szCs w:val="24"/>
        </w:rPr>
        <w:br w:type="page"/>
      </w:r>
    </w:p>
    <w:p w14:paraId="3761CA2B">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专栏3 天然气基础设施重点项目</w:t>
      </w:r>
    </w:p>
    <w:p w14:paraId="63BCB357">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天然气开发：</w:t>
      </w:r>
      <w:r>
        <w:rPr>
          <w:rFonts w:hint="eastAsia" w:ascii="Times New Roman" w:hAnsi="Times New Roman" w:eastAsia="方正仿宋_GBK"/>
          <w:sz w:val="24"/>
          <w:szCs w:val="24"/>
        </w:rPr>
        <w:t>老气田补充产能工程、云安012</w:t>
      </w:r>
      <w:r>
        <w:rPr>
          <w:rFonts w:hint="eastAsia" w:ascii="Times New Roman" w:hAnsi="Times New Roman" w:eastAsia="方正仿宋_GBK"/>
          <w:sz w:val="24"/>
          <w:szCs w:val="24"/>
          <w:lang w:eastAsia="zh-CN"/>
        </w:rPr>
        <w:t>—</w:t>
      </w:r>
      <w:r>
        <w:rPr>
          <w:rFonts w:hint="eastAsia" w:ascii="Times New Roman" w:hAnsi="Times New Roman" w:eastAsia="方正仿宋_GBK"/>
          <w:sz w:val="24"/>
          <w:szCs w:val="24"/>
        </w:rPr>
        <w:t>X17井等钻井工程。</w:t>
      </w:r>
    </w:p>
    <w:p w14:paraId="42EA3B59">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天然气储配：</w:t>
      </w:r>
      <w:r>
        <w:rPr>
          <w:rFonts w:hint="eastAsia" w:ascii="Times New Roman" w:hAnsi="Times New Roman" w:eastAsia="方正仿宋_GBK"/>
          <w:sz w:val="24"/>
          <w:szCs w:val="24"/>
        </w:rPr>
        <w:t>高峰调压站、五桥储配站、陈家坝储配站、枇杷坪储配站、董家配气站、万州LNG加注码头。</w:t>
      </w:r>
    </w:p>
    <w:p w14:paraId="66BF2B3C">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天然气管网：</w:t>
      </w:r>
      <w:r>
        <w:rPr>
          <w:rFonts w:hint="eastAsia" w:ascii="Times New Roman" w:hAnsi="Times New Roman" w:eastAsia="方正仿宋_GBK"/>
          <w:sz w:val="24"/>
          <w:szCs w:val="24"/>
        </w:rPr>
        <w:t>规划论证川气东送王场分输站至五桥储配站输气管线65公里，争取国家管网集团开展梁平</w:t>
      </w:r>
      <w:r>
        <w:rPr>
          <w:rFonts w:hint="eastAsia" w:ascii="Times New Roman" w:hAnsi="Times New Roman" w:eastAsia="方正仿宋_GBK"/>
          <w:sz w:val="24"/>
          <w:szCs w:val="24"/>
          <w:lang w:eastAsia="zh-CN"/>
        </w:rPr>
        <w:t>—</w:t>
      </w:r>
      <w:r>
        <w:rPr>
          <w:rFonts w:hint="eastAsia" w:ascii="Times New Roman" w:hAnsi="Times New Roman" w:eastAsia="方正仿宋_GBK"/>
          <w:sz w:val="24"/>
          <w:szCs w:val="24"/>
        </w:rPr>
        <w:t>万州第二气源天然气长输管道论证工作</w:t>
      </w:r>
      <w:r>
        <w:rPr>
          <w:rFonts w:hint="eastAsia" w:ascii="Times New Roman" w:hAnsi="Times New Roman" w:eastAsia="方正仿宋_GBK"/>
          <w:sz w:val="24"/>
          <w:szCs w:val="24"/>
          <w:lang w:eastAsia="zh-CN"/>
        </w:rPr>
        <w:t>，</w:t>
      </w:r>
      <w:r>
        <w:rPr>
          <w:rFonts w:hint="eastAsia" w:ascii="Times New Roman" w:hAnsi="Times New Roman" w:eastAsia="方正仿宋_GBK"/>
          <w:sz w:val="24"/>
          <w:szCs w:val="24"/>
        </w:rPr>
        <w:t>推进区内天然气高压管线、次高压管线建设。</w:t>
      </w:r>
    </w:p>
    <w:p w14:paraId="2A122343">
      <w:pPr>
        <w:pStyle w:val="28"/>
        <w:adjustRightInd w:val="0"/>
        <w:snapToGrid w:val="0"/>
        <w:spacing w:line="640" w:lineRule="exact"/>
        <w:ind w:firstLine="640"/>
        <w:rPr>
          <w:rFonts w:ascii="Times New Roman" w:hAnsi="Times New Roman" w:eastAsia="方正仿宋_GBK"/>
          <w:sz w:val="32"/>
          <w:szCs w:val="32"/>
        </w:rPr>
      </w:pPr>
    </w:p>
    <w:p w14:paraId="04A05151">
      <w:pPr>
        <w:pStyle w:val="5"/>
        <w:ind w:firstLine="0" w:firstLineChars="0"/>
        <w:jc w:val="center"/>
        <w:rPr>
          <w:rFonts w:ascii="Times New Roman" w:hAnsi="Times New Roman"/>
          <w:sz w:val="36"/>
          <w:szCs w:val="36"/>
        </w:rPr>
      </w:pPr>
      <w:bookmarkStart w:id="11" w:name="_Toc123655030"/>
      <w:r>
        <w:rPr>
          <w:rFonts w:hint="eastAsia" w:ascii="Times New Roman" w:hAnsi="Times New Roman"/>
          <w:sz w:val="36"/>
          <w:szCs w:val="36"/>
        </w:rPr>
        <w:t>第二节 强化成品油供应保障</w:t>
      </w:r>
      <w:bookmarkEnd w:id="11"/>
    </w:p>
    <w:p w14:paraId="161EA31D">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稳定成品油长江水运通道，确保长江下游油源稳定供应，积极拓宽成品油来源渠道，提升成品油供应保障能力。丰富成品油运输方式，构建以“水运为主、管道为辅、公路为补充”的成品油多元运输网络。积极推进九龙油库改建项目，加快万州港区小周作业区建设，配套实施油库及码头建设工作，力争到</w:t>
      </w:r>
      <w:r>
        <w:rPr>
          <w:rFonts w:ascii="Times New Roman" w:hAnsi="Times New Roman" w:eastAsia="方正仿宋_GBK"/>
          <w:sz w:val="32"/>
          <w:szCs w:val="32"/>
        </w:rPr>
        <w:t>2025</w:t>
      </w:r>
      <w:r>
        <w:rPr>
          <w:rFonts w:hint="eastAsia" w:ascii="Times New Roman" w:hAnsi="Times New Roman" w:eastAsia="方正仿宋_GBK"/>
          <w:sz w:val="32"/>
          <w:szCs w:val="32"/>
        </w:rPr>
        <w:t>年全区成品油储备能力达到</w:t>
      </w:r>
      <w:r>
        <w:rPr>
          <w:rFonts w:ascii="Times New Roman" w:hAnsi="Times New Roman" w:eastAsia="方正仿宋_GBK"/>
          <w:sz w:val="32"/>
          <w:szCs w:val="32"/>
        </w:rPr>
        <w:t>10</w:t>
      </w:r>
      <w:r>
        <w:rPr>
          <w:rFonts w:hint="eastAsia" w:ascii="Times New Roman" w:hAnsi="Times New Roman" w:eastAsia="方正仿宋_GBK"/>
          <w:sz w:val="32"/>
          <w:szCs w:val="32"/>
        </w:rPr>
        <w:t>万吨以上。</w:t>
      </w:r>
    </w:p>
    <w:p w14:paraId="03205C56">
      <w:pPr>
        <w:pStyle w:val="5"/>
        <w:ind w:firstLine="0" w:firstLineChars="0"/>
        <w:jc w:val="center"/>
        <w:rPr>
          <w:rFonts w:ascii="Times New Roman" w:hAnsi="Times New Roman"/>
          <w:sz w:val="36"/>
          <w:szCs w:val="36"/>
        </w:rPr>
      </w:pPr>
      <w:bookmarkStart w:id="12" w:name="_Toc123655031"/>
      <w:r>
        <w:rPr>
          <w:rFonts w:hint="eastAsia" w:ascii="Times New Roman" w:hAnsi="Times New Roman"/>
          <w:sz w:val="36"/>
          <w:szCs w:val="36"/>
        </w:rPr>
        <w:t>第三节 强化电力供应保障</w:t>
      </w:r>
      <w:bookmarkEnd w:id="12"/>
    </w:p>
    <w:p w14:paraId="5D8DE84F">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推进电源结构多元开发。发挥煤电托底保供和辅助服务作用，加快推进国能万州电厂二期扩建项目、万州经开区九龙园热电联产项目（二期）建设，规划论证长岭化工园热电联产项目、三峡水利供区燃煤发电项目。推进天然气发电发展，加快实施三峡水利</w:t>
      </w:r>
      <w:r>
        <w:rPr>
          <w:rFonts w:hint="eastAsia" w:ascii="Times New Roman" w:hAnsi="Times New Roman" w:eastAsia="方正仿宋_GBK"/>
          <w:sz w:val="32"/>
          <w:szCs w:val="32"/>
          <w:lang w:eastAsia="zh-CN"/>
        </w:rPr>
        <w:t>万州</w:t>
      </w:r>
      <w:r>
        <w:rPr>
          <w:rFonts w:hint="eastAsia" w:ascii="Times New Roman" w:hAnsi="Times New Roman" w:eastAsia="方正仿宋_GBK"/>
          <w:sz w:val="32"/>
          <w:szCs w:val="32"/>
        </w:rPr>
        <w:t>燃气发电项目（一期）建设，适时启动二期项目前期工作。统筹“调峰、保供”双重需求，按照“统一规划、有序发展”原则，</w:t>
      </w:r>
      <w:r>
        <w:rPr>
          <w:rFonts w:hint="eastAsia" w:ascii="Times New Roman" w:hAnsi="Times New Roman" w:eastAsia="方正仿宋_GBK"/>
          <w:bCs/>
          <w:color w:val="000000"/>
          <w:sz w:val="32"/>
          <w:szCs w:val="32"/>
        </w:rPr>
        <w:t>加快推进鹿鸣垭风电场、李家坪风电场、蒲叶林风电场三期建成投产，有序开展罗田、太安、茨竹、弹子等区域</w:t>
      </w:r>
      <w:r>
        <w:rPr>
          <w:rFonts w:hint="eastAsia" w:ascii="Times New Roman" w:hAnsi="Times New Roman" w:eastAsia="方正仿宋_GBK"/>
          <w:sz w:val="32"/>
          <w:szCs w:val="32"/>
        </w:rPr>
        <w:t>风能资源论证，</w:t>
      </w:r>
      <w:r>
        <w:rPr>
          <w:rFonts w:hint="eastAsia" w:ascii="Times New Roman" w:hAnsi="Times New Roman" w:eastAsia="方正仿宋_GBK"/>
          <w:bCs/>
          <w:color w:val="000000"/>
          <w:sz w:val="32"/>
          <w:szCs w:val="32"/>
        </w:rPr>
        <w:t>实现风力资源充分利用。科学有序推进水电开发，加快建设大滩口水库二级电站、保安电站等水电站。加快推进罗田抽水蓄能项目前期研究论证工作，尽快启动建设。加强太阳能资源评估，建设一批集中式光伏发电站，支持工业园区、公共建筑和商业建筑有序推进分布式光伏发电项目。积极开发生物质能，推动垃圾焚烧发电厂二期工程前期工作。力争到2025年，</w:t>
      </w:r>
      <w:r>
        <w:rPr>
          <w:rFonts w:hint="eastAsia" w:ascii="Times New Roman" w:hAnsi="Times New Roman" w:eastAsia="方正仿宋_GBK"/>
          <w:sz w:val="32"/>
          <w:szCs w:val="32"/>
        </w:rPr>
        <w:t>全区电力装机容量达340万千瓦，基本形成结构多元、多能互补的电源结构。到2035年，电力装机容量超过800万千瓦。</w:t>
      </w:r>
    </w:p>
    <w:p w14:paraId="6BEAB0F8">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构建坚强可靠输配电网。建设新田500千伏开关站，预留变电站改造条件。实施万</w:t>
      </w:r>
      <w:r>
        <w:rPr>
          <w:rFonts w:hint="eastAsia" w:ascii="Times New Roman" w:hAnsi="Times New Roman" w:eastAsia="方正仿宋_GBK"/>
          <w:sz w:val="32"/>
          <w:szCs w:val="32"/>
          <w:lang w:eastAsia="zh-CN"/>
        </w:rPr>
        <w:t>州</w:t>
      </w:r>
      <w:r>
        <w:rPr>
          <w:rFonts w:hint="eastAsia" w:ascii="Times New Roman" w:hAnsi="Times New Roman" w:eastAsia="方正仿宋_GBK"/>
          <w:sz w:val="32"/>
          <w:szCs w:val="32"/>
        </w:rPr>
        <w:t>—五马500千伏线路工程，满足国能万州电厂二期等项目送出需求，远期规划1000千伏分水站、500千伏凉风站，提高全区电力送出能力。规划建设一批220千伏、110千伏变电站以及相关线网，重点推动新田220千伏变电站、桐坪220千伏变电站建设，实施高梁220千伏变电站增容改造、相思110千伏变电站升压改造工程、金明220千伏变电站主变扩建工程，搭建以500千伏电网为支撑，220千伏电网为枢纽，110千伏电网为骨干网架，单环网和双辐射的主网架结构，完善中低压配电网，提升电网输配能力。积极推进三峡水利与重庆电网220千伏联网项目建设。加快推进农村电网巩固升级，进一步提升供电能力、供电质量和供电可靠性。</w:t>
      </w:r>
    </w:p>
    <w:p w14:paraId="20C6ED9D">
      <w:pPr>
        <w:pStyle w:val="28"/>
        <w:adjustRightInd w:val="0"/>
        <w:snapToGrid w:val="0"/>
        <w:spacing w:before="156" w:beforeLines="50"/>
        <w:ind w:firstLine="0" w:firstLineChars="0"/>
        <w:jc w:val="center"/>
        <w:rPr>
          <w:rFonts w:ascii="Times New Roman" w:hAnsi="Times New Roman" w:eastAsia="方正仿宋_GBK"/>
          <w:sz w:val="32"/>
          <w:szCs w:val="32"/>
        </w:rPr>
      </w:pPr>
      <w:r>
        <w:rPr>
          <w:rFonts w:hint="eastAsia" w:ascii="Times New Roman" w:hAnsi="Times New Roman"/>
          <w:sz w:val="36"/>
          <w:szCs w:val="36"/>
        </w:rPr>
        <w:drawing>
          <wp:inline distT="0" distB="0" distL="0" distR="0">
            <wp:extent cx="5260975" cy="3657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t="1994"/>
                    <a:stretch>
                      <a:fillRect/>
                    </a:stretch>
                  </pic:blipFill>
                  <pic:spPr>
                    <a:xfrm>
                      <a:off x="0" y="0"/>
                      <a:ext cx="5267960" cy="3662448"/>
                    </a:xfrm>
                    <a:prstGeom prst="rect">
                      <a:avLst/>
                    </a:prstGeom>
                    <a:noFill/>
                    <a:ln>
                      <a:noFill/>
                    </a:ln>
                  </pic:spPr>
                </pic:pic>
              </a:graphicData>
            </a:graphic>
          </wp:inline>
        </w:drawing>
      </w:r>
      <w:r>
        <w:rPr>
          <w:rFonts w:hint="eastAsia" w:ascii="Times New Roman" w:hAnsi="Times New Roman" w:eastAsia="方正黑体_GBK"/>
          <w:sz w:val="28"/>
          <w:szCs w:val="24"/>
        </w:rPr>
        <w:t xml:space="preserve">图3 </w:t>
      </w:r>
      <w:r>
        <w:rPr>
          <w:rFonts w:hint="eastAsia" w:ascii="Times New Roman" w:hAnsi="Times New Roman" w:eastAsia="方正黑体_GBK"/>
          <w:sz w:val="28"/>
          <w:szCs w:val="24"/>
          <w:lang w:eastAsia="zh-CN"/>
        </w:rPr>
        <w:t>全</w:t>
      </w:r>
      <w:r>
        <w:rPr>
          <w:rFonts w:hint="eastAsia" w:ascii="Times New Roman" w:hAnsi="Times New Roman" w:eastAsia="方正黑体_GBK"/>
          <w:sz w:val="28"/>
          <w:szCs w:val="24"/>
        </w:rPr>
        <w:t>区220千伏及以上电网示意图</w:t>
      </w:r>
    </w:p>
    <w:p w14:paraId="06F860B7">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专栏4 电力基础设施重点项目</w:t>
      </w:r>
    </w:p>
    <w:tbl>
      <w:tblPr>
        <w:tblStyle w:val="1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7A02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70F2AA71">
            <w:pP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电源建设项目：</w:t>
            </w:r>
            <w:r>
              <w:rPr>
                <w:rFonts w:hint="eastAsia" w:ascii="Times New Roman" w:hAnsi="Times New Roman" w:eastAsia="方正仿宋_GBK"/>
                <w:sz w:val="24"/>
                <w:szCs w:val="24"/>
              </w:rPr>
              <w:t>国能万州电厂二期扩建项目、万州2×50万千万装机燃气发电项目、万州经开区九龙园热电联产项目（二期）、三峡水利供区燃煤发电项目，鹿鸣垭风电场、李家坪风电场、蒲叶林风电场三期，大滩口二期、保安电站、罗田抽水蓄能电站、电网侧储能电站、用户侧储能电站、垃圾焚烧发电二期项目、武陵光伏发电项目、鱼背山水风光多能互补实验基地项目、集中式光伏发电和集中式储能项目。</w:t>
            </w:r>
          </w:p>
          <w:p w14:paraId="5B060D81">
            <w:pP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对外通道：</w:t>
            </w:r>
            <w:r>
              <w:rPr>
                <w:rFonts w:hint="eastAsia" w:ascii="Times New Roman" w:hAnsi="Times New Roman" w:eastAsia="方正仿宋_GBK"/>
                <w:sz w:val="24"/>
                <w:szCs w:val="24"/>
              </w:rPr>
              <w:t>金上—湖北±800千伏特高压直流输电工程、万</w:t>
            </w:r>
            <w:r>
              <w:rPr>
                <w:rFonts w:hint="eastAsia" w:ascii="Times New Roman" w:hAnsi="Times New Roman" w:eastAsia="方正仿宋_GBK"/>
                <w:sz w:val="24"/>
                <w:szCs w:val="24"/>
                <w:lang w:eastAsia="zh-CN"/>
              </w:rPr>
              <w:t>州—</w:t>
            </w:r>
            <w:r>
              <w:rPr>
                <w:rFonts w:hint="eastAsia" w:ascii="Times New Roman" w:hAnsi="Times New Roman" w:eastAsia="方正仿宋_GBK"/>
                <w:sz w:val="24"/>
                <w:szCs w:val="24"/>
              </w:rPr>
              <w:t>五马500千伏线路。</w:t>
            </w:r>
          </w:p>
          <w:p w14:paraId="198EA113">
            <w:pP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变电站新/扩建项目：</w:t>
            </w:r>
            <w:r>
              <w:rPr>
                <w:rFonts w:hint="eastAsia" w:ascii="Times New Roman" w:hAnsi="Times New Roman" w:eastAsia="方正仿宋_GBK"/>
                <w:sz w:val="24"/>
                <w:szCs w:val="24"/>
              </w:rPr>
              <w:t>近期建设新田500千伏开关站、预留1000千伏分水站、500千伏凉风站，建设桐坪220千伏输变电工程、新田220千伏输变电工程，实施相思110千伏变电站升压改造工程、金明220千伏变电站主变扩建工程，建设宝塔、水库、沱口、双河、桐子、石堰桥、呤水、万全、密西沟、玉乐、戴家岩、恒合、石堰、光明、百安坝、长春、万河、驸马、重岩、溪口等110千伏输变电工程，建设黄柏、后山、龙泉、大垭口等35千伏输变电工程。</w:t>
            </w:r>
          </w:p>
          <w:p w14:paraId="65A80273">
            <w:pP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电网优化、加强项目：</w:t>
            </w:r>
            <w:r>
              <w:rPr>
                <w:rFonts w:hint="eastAsia" w:ascii="Times New Roman" w:hAnsi="Times New Roman" w:eastAsia="方正仿宋_GBK"/>
                <w:sz w:val="24"/>
                <w:szCs w:val="24"/>
              </w:rPr>
              <w:t>建设董家—利川、高梁—新田、高梁—</w:t>
            </w:r>
            <w:r>
              <w:rPr>
                <w:rFonts w:hint="eastAsia" w:ascii="Times New Roman" w:hAnsi="Times New Roman" w:eastAsia="方正仿宋_GBK"/>
                <w:sz w:val="24"/>
                <w:szCs w:val="24"/>
                <w:lang w:eastAsia="zh-CN"/>
              </w:rPr>
              <w:t>万州（国网</w:t>
            </w:r>
            <w:r>
              <w:rPr>
                <w:rFonts w:hint="eastAsia" w:ascii="Times New Roman" w:hAnsi="Times New Roman" w:eastAsia="方正仿宋_GBK"/>
                <w:sz w:val="24"/>
                <w:szCs w:val="24"/>
                <w:highlight w:val="none"/>
              </w:rPr>
              <w:t>万</w:t>
            </w:r>
            <w:r>
              <w:rPr>
                <w:rFonts w:hint="eastAsia" w:ascii="Times New Roman" w:hAnsi="Times New Roman" w:eastAsia="方正仿宋_GBK"/>
                <w:sz w:val="24"/>
                <w:szCs w:val="24"/>
                <w:highlight w:val="none"/>
                <w:lang w:eastAsia="zh-CN"/>
              </w:rPr>
              <w:t>州</w:t>
            </w:r>
            <w:r>
              <w:rPr>
                <w:rFonts w:hint="eastAsia" w:ascii="Times New Roman" w:hAnsi="Times New Roman" w:eastAsia="方正仿宋_GBK"/>
                <w:sz w:val="24"/>
                <w:szCs w:val="24"/>
                <w:highlight w:val="none"/>
                <w:lang w:val="en-US" w:eastAsia="zh-CN"/>
              </w:rPr>
              <w:t>500千伏变电站</w:t>
            </w:r>
            <w:r>
              <w:rPr>
                <w:rFonts w:hint="eastAsia" w:ascii="Times New Roman" w:hAnsi="Times New Roman" w:eastAsia="方正仿宋_GBK"/>
                <w:sz w:val="24"/>
                <w:szCs w:val="24"/>
                <w:lang w:eastAsia="zh-CN"/>
              </w:rPr>
              <w:t>）</w:t>
            </w:r>
            <w:r>
              <w:rPr>
                <w:rFonts w:hint="eastAsia" w:ascii="Times New Roman" w:hAnsi="Times New Roman" w:eastAsia="方正仿宋_GBK"/>
                <w:sz w:val="24"/>
                <w:szCs w:val="24"/>
              </w:rPr>
              <w:t>、高峰—相思等220千伏输电线路</w:t>
            </w:r>
            <w:r>
              <w:rPr>
                <w:rFonts w:ascii="Times New Roman" w:hAnsi="Times New Roman" w:eastAsia="方正仿宋_GBK"/>
                <w:sz w:val="24"/>
                <w:szCs w:val="24"/>
              </w:rPr>
              <w:t>191.46</w:t>
            </w:r>
            <w:r>
              <w:rPr>
                <w:rFonts w:hint="eastAsia" w:ascii="Times New Roman" w:hAnsi="Times New Roman" w:eastAsia="方正仿宋_GBK"/>
                <w:sz w:val="24"/>
                <w:szCs w:val="24"/>
              </w:rPr>
              <w:t>公里，建设新田—立苇、双河—新田等110千伏输电线路198.11公里，建设熊家—长坪、龙古—瀼渡、龙驹—白土等35千伏输电线路60.99公里，建设10千伏输电线路1391.2公里。</w:t>
            </w:r>
          </w:p>
        </w:tc>
      </w:tr>
    </w:tbl>
    <w:p w14:paraId="0EBDC94C">
      <w:pPr>
        <w:pStyle w:val="28"/>
        <w:adjustRightInd w:val="0"/>
        <w:snapToGrid w:val="0"/>
        <w:spacing w:line="640" w:lineRule="exact"/>
        <w:ind w:firstLine="640"/>
        <w:rPr>
          <w:rFonts w:ascii="Times New Roman" w:hAnsi="Times New Roman" w:eastAsia="方正仿宋_GBK"/>
          <w:sz w:val="32"/>
          <w:szCs w:val="32"/>
        </w:rPr>
      </w:pPr>
    </w:p>
    <w:p w14:paraId="5F72975C">
      <w:pPr>
        <w:pStyle w:val="5"/>
        <w:ind w:firstLine="0" w:firstLineChars="0"/>
        <w:jc w:val="center"/>
        <w:rPr>
          <w:rFonts w:ascii="Times New Roman" w:hAnsi="Times New Roman"/>
          <w:sz w:val="36"/>
          <w:szCs w:val="36"/>
        </w:rPr>
      </w:pPr>
      <w:bookmarkStart w:id="13" w:name="_Toc123655032"/>
      <w:r>
        <w:rPr>
          <w:rFonts w:hint="eastAsia" w:ascii="Times New Roman" w:hAnsi="Times New Roman"/>
          <w:sz w:val="36"/>
          <w:szCs w:val="36"/>
        </w:rPr>
        <w:t>第四节 强化煤炭供应保障</w:t>
      </w:r>
      <w:bookmarkEnd w:id="13"/>
    </w:p>
    <w:p w14:paraId="345AE5A3">
      <w:pPr>
        <w:pStyle w:val="28"/>
        <w:adjustRightInd w:val="0"/>
        <w:snapToGrid w:val="0"/>
        <w:spacing w:line="640" w:lineRule="exact"/>
        <w:ind w:firstLine="640"/>
        <w:rPr>
          <w:rFonts w:ascii="Times New Roman" w:hAnsi="Times New Roman" w:eastAsia="方正仿宋_GBK"/>
          <w:bCs/>
          <w:color w:val="000000"/>
          <w:sz w:val="32"/>
          <w:szCs w:val="32"/>
        </w:rPr>
      </w:pPr>
      <w:r>
        <w:rPr>
          <w:rFonts w:hint="eastAsia" w:ascii="Times New Roman" w:hAnsi="Times New Roman" w:eastAsia="方正仿宋_GBK"/>
          <w:bCs/>
          <w:color w:val="000000"/>
          <w:sz w:val="32"/>
          <w:szCs w:val="32"/>
        </w:rPr>
        <w:t>强化煤炭稳定供给。紧抓陕西、山西、新疆和内蒙古等产煤区煤炭来源，做好产运需衔接和统一调运工作，重点保障国能万州</w:t>
      </w:r>
      <w:r>
        <w:rPr>
          <w:rFonts w:hint="eastAsia" w:ascii="Times New Roman" w:hAnsi="Times New Roman" w:eastAsia="方正仿宋_GBK"/>
          <w:bCs/>
          <w:color w:val="000000"/>
          <w:sz w:val="32"/>
          <w:szCs w:val="32"/>
          <w:lang w:eastAsia="zh-CN"/>
        </w:rPr>
        <w:t>电力公司</w:t>
      </w:r>
      <w:r>
        <w:rPr>
          <w:rFonts w:hint="eastAsia" w:ascii="Times New Roman" w:hAnsi="Times New Roman" w:eastAsia="方正仿宋_GBK"/>
          <w:bCs/>
          <w:color w:val="000000"/>
          <w:sz w:val="32"/>
          <w:szCs w:val="32"/>
        </w:rPr>
        <w:t>、九龙万博</w:t>
      </w:r>
      <w:r>
        <w:rPr>
          <w:rFonts w:hint="eastAsia" w:ascii="Times New Roman" w:hAnsi="Times New Roman" w:eastAsia="方正仿宋_GBK"/>
          <w:bCs/>
          <w:color w:val="000000"/>
          <w:sz w:val="32"/>
          <w:szCs w:val="32"/>
          <w:lang w:eastAsia="zh-CN"/>
        </w:rPr>
        <w:t>公司</w:t>
      </w:r>
      <w:r>
        <w:rPr>
          <w:rFonts w:hint="eastAsia" w:ascii="Times New Roman" w:hAnsi="Times New Roman" w:eastAsia="方正仿宋_GBK"/>
          <w:bCs/>
          <w:color w:val="000000"/>
          <w:sz w:val="32"/>
          <w:szCs w:val="32"/>
        </w:rPr>
        <w:t>、湘渝盐化</w:t>
      </w:r>
      <w:r>
        <w:rPr>
          <w:rFonts w:hint="eastAsia" w:ascii="Times New Roman" w:hAnsi="Times New Roman" w:eastAsia="方正仿宋_GBK"/>
          <w:bCs/>
          <w:color w:val="000000"/>
          <w:sz w:val="32"/>
          <w:szCs w:val="32"/>
          <w:lang w:eastAsia="zh-CN"/>
        </w:rPr>
        <w:t>公司</w:t>
      </w:r>
      <w:r>
        <w:rPr>
          <w:rFonts w:hint="eastAsia" w:ascii="Times New Roman" w:hAnsi="Times New Roman" w:eastAsia="方正仿宋_GBK"/>
          <w:bCs/>
          <w:color w:val="000000"/>
          <w:sz w:val="32"/>
          <w:szCs w:val="32"/>
        </w:rPr>
        <w:t>、索特盐化</w:t>
      </w:r>
      <w:r>
        <w:rPr>
          <w:rFonts w:hint="eastAsia" w:ascii="Times New Roman" w:hAnsi="Times New Roman" w:eastAsia="方正仿宋_GBK"/>
          <w:bCs/>
          <w:color w:val="000000"/>
          <w:sz w:val="32"/>
          <w:szCs w:val="32"/>
          <w:lang w:eastAsia="zh-CN"/>
        </w:rPr>
        <w:t>公司</w:t>
      </w:r>
      <w:r>
        <w:rPr>
          <w:rFonts w:hint="eastAsia" w:ascii="Times New Roman" w:hAnsi="Times New Roman" w:eastAsia="方正仿宋_GBK"/>
          <w:bCs/>
          <w:color w:val="000000"/>
          <w:sz w:val="32"/>
          <w:szCs w:val="32"/>
        </w:rPr>
        <w:t>、西南水泥</w:t>
      </w:r>
      <w:r>
        <w:rPr>
          <w:rFonts w:hint="eastAsia" w:ascii="Times New Roman" w:hAnsi="Times New Roman" w:eastAsia="方正仿宋_GBK"/>
          <w:bCs/>
          <w:color w:val="000000"/>
          <w:sz w:val="32"/>
          <w:szCs w:val="32"/>
          <w:lang w:eastAsia="zh-CN"/>
        </w:rPr>
        <w:t>公司</w:t>
      </w:r>
      <w:r>
        <w:rPr>
          <w:rFonts w:hint="eastAsia" w:ascii="Times New Roman" w:hAnsi="Times New Roman" w:eastAsia="方正仿宋_GBK"/>
          <w:bCs/>
          <w:color w:val="000000"/>
          <w:sz w:val="32"/>
          <w:szCs w:val="32"/>
        </w:rPr>
        <w:t>等重点企业用煤需求。加快提升储煤能力，规划建设新田储煤基地，积极融入全市“一主多辅”区域储煤基地格局。支持煤电企业通过签订中长期合同、建立储备基地等方式，与大型煤矿企业建立煤炭储备合作机制，形成互利共赢、长期稳定的供需合作关系。</w:t>
      </w:r>
    </w:p>
    <w:p w14:paraId="408F4191">
      <w:pPr>
        <w:pStyle w:val="28"/>
        <w:adjustRightInd w:val="0"/>
        <w:snapToGrid w:val="0"/>
        <w:spacing w:line="640" w:lineRule="exact"/>
        <w:ind w:firstLine="640"/>
        <w:rPr>
          <w:rFonts w:ascii="Times New Roman" w:hAnsi="Times New Roman" w:eastAsia="方正仿宋_GBK"/>
          <w:bCs/>
          <w:color w:val="000000"/>
          <w:sz w:val="32"/>
          <w:szCs w:val="32"/>
        </w:rPr>
      </w:pPr>
      <w:r>
        <w:rPr>
          <w:rFonts w:hint="eastAsia" w:ascii="Times New Roman" w:hAnsi="Times New Roman" w:eastAsia="方正仿宋_GBK"/>
          <w:bCs/>
          <w:color w:val="000000"/>
          <w:sz w:val="32"/>
          <w:szCs w:val="32"/>
        </w:rPr>
        <w:t>畅通煤炭运输通道。以长江水运为支撑，</w:t>
      </w:r>
      <w:bookmarkStart w:id="35" w:name="_GoBack"/>
      <w:bookmarkEnd w:id="35"/>
      <w:r>
        <w:rPr>
          <w:rFonts w:hint="eastAsia" w:ascii="Times New Roman" w:hAnsi="Times New Roman" w:eastAsia="方正仿宋_GBK"/>
          <w:bCs/>
          <w:color w:val="000000"/>
          <w:sz w:val="32"/>
          <w:szCs w:val="32"/>
        </w:rPr>
        <w:t>加快推进新田港铁路集疏运中心项目建设及达万铁路扩能改造工作，打通进港铁路最后一公里，切实提高煤炭铁路输送能力。加强煤炭调出地与调入地信息沟通，做好产运需三方衔接，保障全区煤炭库存处于合理水平。建立健全煤炭需求侧响应机制，完善应急工作预案，必要时要合理调节煤炭消费，保基本保民生。</w:t>
      </w:r>
    </w:p>
    <w:p w14:paraId="42CADEE2">
      <w:pPr>
        <w:pStyle w:val="4"/>
        <w:spacing w:before="312" w:beforeLines="100" w:after="156"/>
      </w:pPr>
      <w:bookmarkStart w:id="14" w:name="_Toc123655033"/>
      <w:r>
        <w:t>第</w:t>
      </w:r>
      <w:r>
        <w:rPr>
          <w:rFonts w:hint="eastAsia"/>
        </w:rPr>
        <w:t>四</w:t>
      </w:r>
      <w:r>
        <w:t>章</w:t>
      </w:r>
      <w:r>
        <w:rPr>
          <w:rFonts w:hint="eastAsia"/>
        </w:rPr>
        <w:t xml:space="preserve"> 构建清洁低碳的能源产业体系</w:t>
      </w:r>
      <w:bookmarkEnd w:id="14"/>
    </w:p>
    <w:p w14:paraId="7CB2B44B">
      <w:pPr>
        <w:pStyle w:val="5"/>
        <w:ind w:firstLine="0" w:firstLineChars="0"/>
        <w:jc w:val="center"/>
        <w:rPr>
          <w:rFonts w:ascii="Times New Roman" w:hAnsi="Times New Roman"/>
          <w:sz w:val="36"/>
          <w:szCs w:val="36"/>
        </w:rPr>
      </w:pPr>
      <w:bookmarkStart w:id="15" w:name="_Toc123655034"/>
      <w:r>
        <w:rPr>
          <w:rFonts w:hint="eastAsia" w:ascii="Times New Roman" w:hAnsi="Times New Roman"/>
          <w:sz w:val="36"/>
          <w:szCs w:val="36"/>
        </w:rPr>
        <w:t>第一节 有序发展原料用能产业</w:t>
      </w:r>
      <w:bookmarkEnd w:id="15"/>
    </w:p>
    <w:p w14:paraId="02599855">
      <w:pPr>
        <w:pStyle w:val="28"/>
        <w:adjustRightInd w:val="0"/>
        <w:snapToGrid w:val="0"/>
        <w:spacing w:line="640" w:lineRule="exact"/>
        <w:ind w:firstLine="640"/>
        <w:rPr>
          <w:rFonts w:ascii="Times New Roman" w:hAnsi="Times New Roman" w:eastAsia="方正仿宋_GBK"/>
          <w:bCs/>
          <w:color w:val="000000"/>
          <w:sz w:val="32"/>
          <w:szCs w:val="32"/>
          <w:highlight w:val="yellow"/>
        </w:rPr>
      </w:pPr>
      <w:r>
        <w:rPr>
          <w:rFonts w:hint="eastAsia" w:ascii="Times New Roman" w:hAnsi="Times New Roman" w:eastAsia="方正仿宋_GBK"/>
          <w:bCs/>
          <w:color w:val="000000"/>
          <w:sz w:val="32"/>
          <w:szCs w:val="32"/>
        </w:rPr>
        <w:t>依托化工园及化工拓展区（长岭片区），发挥区内良好的天然气资源优势，积极寻求与央企、头部民企合作机会，注重全产业链配套耦合发展，着力建设天然气精细化工“链主”产业，重点发展BDO联产PBAT、PTMEG，甲醇制烯烃及下游精深加工产品。稳步推进煤化工产业提档升级，积极延伸产业链，向高端化、精细化、新材料等方向发展，实现产品由合成氨单一产品向多元化高端新材料产品转变。</w:t>
      </w:r>
    </w:p>
    <w:p w14:paraId="2AEEC376">
      <w:pPr>
        <w:pStyle w:val="5"/>
        <w:ind w:firstLine="0" w:firstLineChars="0"/>
        <w:jc w:val="center"/>
        <w:rPr>
          <w:rFonts w:ascii="Times New Roman" w:hAnsi="Times New Roman"/>
          <w:sz w:val="36"/>
          <w:szCs w:val="36"/>
        </w:rPr>
      </w:pPr>
      <w:bookmarkStart w:id="16" w:name="_Toc123655035"/>
      <w:r>
        <w:rPr>
          <w:rFonts w:hint="eastAsia" w:ascii="Times New Roman" w:hAnsi="Times New Roman"/>
          <w:sz w:val="36"/>
          <w:szCs w:val="36"/>
        </w:rPr>
        <w:t>第二节 积极发展能源装备产业</w:t>
      </w:r>
      <w:bookmarkEnd w:id="16"/>
    </w:p>
    <w:p w14:paraId="54CF5CFF">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抢占氢能发展先机，积极招引氢能领军企业落户万州，围绕氢能“制、储、运、加、用”五大环节补链强链，打造氢能产业集群和装备制造基地。适度超前布局氢能产业基础设施，积极发展氢燃料电池及核心零部件产业，构建清洁化、低碳化、低成本的多元制氢体系、储运体系和加氢网络，有序推进氢能在交通、工业等领域多元化应用。加快推进光伏产业发展，积极开展光伏电池及组件生产项目投资引进工作，构建起光伏玻璃、光伏电池、光伏组件、逆变器、光伏边框、封装胶膜、光伏背板、光伏电站等日趋完整的产业链，全力打造光伏产业集群。积极引进电化学储能，发展高性能锂离子电池、电池组件等储能电池项目，探索布局全钒液流电池、钠离子电池等先进储能电池领域。加快布局标准化充换电产业，采用车电分离模式，政府配套资源，引进和整合新能源整车、电池包生产企业、电池银行、充换电运营商等，打造形成标准化充换电闭环产业。</w:t>
      </w:r>
    </w:p>
    <w:p w14:paraId="40432A6D">
      <w:pPr>
        <w:pStyle w:val="5"/>
        <w:ind w:firstLine="0" w:firstLineChars="0"/>
        <w:jc w:val="center"/>
        <w:rPr>
          <w:rFonts w:ascii="Times New Roman" w:hAnsi="Times New Roman"/>
          <w:sz w:val="36"/>
          <w:szCs w:val="36"/>
        </w:rPr>
      </w:pPr>
      <w:bookmarkStart w:id="17" w:name="_Toc123655036"/>
      <w:r>
        <w:rPr>
          <w:rFonts w:hint="eastAsia" w:ascii="Times New Roman" w:hAnsi="Times New Roman"/>
          <w:sz w:val="36"/>
          <w:szCs w:val="36"/>
        </w:rPr>
        <w:t>第三节 着力发展智慧能源产业</w:t>
      </w:r>
      <w:bookmarkEnd w:id="17"/>
    </w:p>
    <w:p w14:paraId="502AF660">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纵深推进能源互联网产业发展，深化运用大数据、云计算、智能化等手段，强化信息流、能源流的互动，构建智慧能源体系。依托现代信息通讯及智能化技术，加强全网统一调度，建设“源网荷储”协调发展、集成互补的能源互联网。鼓励风电、水电、光伏发电等可再生能源的智能化生产，依托新能源、储能、柔性网络和微网等技术，实现分布式能源的高效灵活接入。鼓励对天然气开采、加工及利用全链条智能化改造，实现化石能源绿色、清洁和高效生产。加强电力系统智能化建设，推广变压器智能化系统、GIS智能监测系统、开关柜智能诊断系统等应用，提高各级电网智能化水平。发展能源互联网的智能终端高级量测系统及其配套设备，实现电能、天然气等能源消费的实时计量、信息交互与主动控制。实施智慧加油站建设，引入多类型智能化系统、车辆识别引导系统，打造集加油、支付等综合性功能为一体的智慧能源服务平台。推进新型能源基础设施及相关服务平台发展，依托5G技术提供充电桩、光伏、路灯、加油站、园区等领域的能效管理、智能运维、需求响应、多能协同，推动综合能源业务拓展，构建数字能源生态圈。依靠能源技术，在经开区、产业园区、旅游景区积极推广开展“互联网+”智慧能源试点示范。</w:t>
      </w:r>
    </w:p>
    <w:p w14:paraId="6EC2713F">
      <w:pPr>
        <w:pStyle w:val="4"/>
        <w:spacing w:before="312" w:beforeLines="100" w:after="156"/>
      </w:pPr>
      <w:bookmarkStart w:id="18" w:name="_Toc123655037"/>
      <w:r>
        <w:t>第</w:t>
      </w:r>
      <w:r>
        <w:rPr>
          <w:rFonts w:hint="eastAsia"/>
        </w:rPr>
        <w:t>五</w:t>
      </w:r>
      <w:r>
        <w:t>章</w:t>
      </w:r>
      <w:r>
        <w:rPr>
          <w:rFonts w:hint="eastAsia"/>
        </w:rPr>
        <w:t xml:space="preserve"> 推动能源结构绿色低碳转型</w:t>
      </w:r>
      <w:bookmarkEnd w:id="18"/>
    </w:p>
    <w:p w14:paraId="423428B0">
      <w:pPr>
        <w:pStyle w:val="5"/>
        <w:ind w:firstLine="0" w:firstLineChars="0"/>
        <w:jc w:val="center"/>
        <w:rPr>
          <w:rFonts w:ascii="Times New Roman" w:hAnsi="Times New Roman"/>
          <w:sz w:val="36"/>
          <w:szCs w:val="36"/>
        </w:rPr>
      </w:pPr>
      <w:bookmarkStart w:id="19" w:name="_Toc123655038"/>
      <w:r>
        <w:rPr>
          <w:rFonts w:hint="eastAsia" w:ascii="Times New Roman" w:hAnsi="Times New Roman"/>
          <w:sz w:val="36"/>
          <w:szCs w:val="36"/>
        </w:rPr>
        <w:t>第一节 积极稳妥推进煤炭消费减量替代</w:t>
      </w:r>
      <w:bookmarkEnd w:id="19"/>
    </w:p>
    <w:p w14:paraId="38288C97">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严格控制煤炭消费总量，推动煤炭和新能源优化组合，推进城乡以电代煤、以气代煤。优化现存煤电运行方式，常规火电机组规模保持稳定，大力推动煤电节能降碳改造、灵活性改造、供热改造“三改联动”。推动能源加工储运提效降碳，加快燃煤发电机组清洁高效利用、超低排放改造和降低煤耗改造。加强能源加工储运设施节能及余能回收利用，推广余热、余压、LNG冷能等余能综合利用技术。严格控制建材、化工等用煤行业煤炭消费，有序推进“煤改电”“煤改气”工程。</w:t>
      </w:r>
    </w:p>
    <w:p w14:paraId="35F99DFA">
      <w:pPr>
        <w:pStyle w:val="5"/>
        <w:ind w:firstLine="0" w:firstLineChars="0"/>
        <w:jc w:val="center"/>
        <w:rPr>
          <w:rFonts w:ascii="Times New Roman" w:hAnsi="Times New Roman"/>
          <w:sz w:val="36"/>
          <w:szCs w:val="36"/>
        </w:rPr>
      </w:pPr>
      <w:bookmarkStart w:id="20" w:name="_Toc123655039"/>
      <w:r>
        <w:rPr>
          <w:rFonts w:hint="eastAsia" w:ascii="Times New Roman" w:hAnsi="Times New Roman"/>
          <w:sz w:val="36"/>
          <w:szCs w:val="36"/>
        </w:rPr>
        <w:t>第二节 促进重点行业能源消费结构调整</w:t>
      </w:r>
      <w:bookmarkEnd w:id="20"/>
    </w:p>
    <w:p w14:paraId="2B27A2E8">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强化工业能效提升，加快构建绿色制造体系，重点推动湘渝盐化热电系统节能改造、联碱装置绿色固碳升级改造，支持西南水泥实施熟料生产线能效提升改造，力争达到行业能效标杆水平。加强产业园区能源梯级利用，创建一批具有示范带动效应的绿色园区和绿色工厂。推广应用装配式建筑、钢结构建筑和新型建材，推进既有建筑节能和绿色化改造，降低建筑运行能耗。积极构建绿色低碳交通运输网络，推动大宗货物和中长途货运“公转铁”“公转水”，强化铁路与公共交通高效换乘、无缝接驳。推动港口、机场、场内货运枢纽装卸机械和运输装备实施“油改电、油改气”工程，推进港口作业机械能量回收、供电设备节能改造。探索通信基站使用光伏、储能等多种能源形式互补的可再生资源系统，鼓励大型数据中心与新能源基地一体化建设，推动移动、电信等大数据中心转变为“绿色”可再生能源的产消者。围绕节约型机关建设，强化公共机构节能管理。</w:t>
      </w:r>
    </w:p>
    <w:p w14:paraId="5845A517">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专栏5 能源结构绿色低碳转型</w:t>
      </w:r>
    </w:p>
    <w:p w14:paraId="23903B19">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技改增效项目：</w:t>
      </w:r>
      <w:r>
        <w:rPr>
          <w:rFonts w:hint="eastAsia" w:ascii="Times New Roman" w:hAnsi="Times New Roman" w:eastAsia="方正仿宋_GBK"/>
          <w:sz w:val="24"/>
          <w:szCs w:val="24"/>
        </w:rPr>
        <w:t>湘渝盐化煤气化节能技术升级改造、联碱绿色固碳升级改造、万州西南水泥回转窑系统节能减碳技改项目。</w:t>
      </w:r>
    </w:p>
    <w:p w14:paraId="76D15887">
      <w:pPr>
        <w:pStyle w:val="28"/>
        <w:adjustRightInd w:val="0"/>
        <w:snapToGrid w:val="0"/>
        <w:spacing w:line="640" w:lineRule="exact"/>
        <w:ind w:firstLine="640"/>
        <w:rPr>
          <w:rFonts w:ascii="Times New Roman" w:hAnsi="Times New Roman" w:eastAsia="方正仿宋_GBK"/>
          <w:sz w:val="32"/>
          <w:szCs w:val="32"/>
        </w:rPr>
      </w:pPr>
    </w:p>
    <w:p w14:paraId="5CAEBA9C">
      <w:pPr>
        <w:pStyle w:val="5"/>
        <w:ind w:firstLine="0" w:firstLineChars="0"/>
        <w:jc w:val="center"/>
        <w:rPr>
          <w:rFonts w:ascii="Times New Roman" w:hAnsi="Times New Roman"/>
          <w:sz w:val="36"/>
          <w:szCs w:val="36"/>
        </w:rPr>
      </w:pPr>
      <w:bookmarkStart w:id="21" w:name="_Toc123655040"/>
      <w:r>
        <w:rPr>
          <w:rFonts w:hint="eastAsia" w:ascii="Times New Roman" w:hAnsi="Times New Roman"/>
          <w:sz w:val="36"/>
          <w:szCs w:val="36"/>
        </w:rPr>
        <w:t>第三节 加快推动终端用能方式转型升级</w:t>
      </w:r>
      <w:bookmarkEnd w:id="21"/>
    </w:p>
    <w:p w14:paraId="4250FCFB">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加快充（换）电设施建设。加快新能源汽车推广应用，重点提升城市公交、出租、物流配送等领域新能源汽车应用占比，稳步推动新能源汽车在其他领域应用规模合理增长。合理规划布局新能源汽车充（换）电基础设施，分类有序推进充（换）电基础设施建设，逐步构建适度超前、车桩相随、智能高效安全的充（换）电基础设施体系。引导充电服务、物业服务等相关企业参与居民区充电基础设施建设与运营，优化停车位的改造和直接办理报装接电手续，彻底解决居民区充电基础设施建设“最后一公里”难题。</w:t>
      </w:r>
    </w:p>
    <w:p w14:paraId="0B164CCB">
      <w:pPr>
        <w:pStyle w:val="28"/>
        <w:adjustRightInd w:val="0"/>
        <w:snapToGrid w:val="0"/>
        <w:spacing w:line="640" w:lineRule="exact"/>
        <w:ind w:firstLine="640"/>
        <w:rPr>
          <w:rFonts w:ascii="Times New Roman" w:hAnsi="Times New Roman" w:eastAsia="方正仿宋_GBK"/>
          <w:sz w:val="32"/>
          <w:szCs w:val="32"/>
        </w:rPr>
      </w:pPr>
      <w:r>
        <w:rPr>
          <w:rFonts w:hint="eastAsia" w:ascii="Times New Roman" w:hAnsi="Times New Roman" w:eastAsia="方正仿宋_GBK"/>
          <w:sz w:val="32"/>
          <w:szCs w:val="32"/>
        </w:rPr>
        <w:t>推进综合能源站建设。加快“油气电氢”综合能源站布局建设。重点围绕中心城区交通枢纽、物流集散区、城市发展新区及重要交通节点，积极开展示范型综合能源站建设，力争到2</w:t>
      </w:r>
      <w:r>
        <w:rPr>
          <w:rFonts w:ascii="Times New Roman" w:hAnsi="Times New Roman" w:eastAsia="方正仿宋_GBK"/>
          <w:sz w:val="32"/>
          <w:szCs w:val="32"/>
        </w:rPr>
        <w:t>025</w:t>
      </w:r>
      <w:r>
        <w:rPr>
          <w:rFonts w:hint="eastAsia" w:ascii="Times New Roman" w:hAnsi="Times New Roman" w:eastAsia="方正仿宋_GBK"/>
          <w:sz w:val="32"/>
          <w:szCs w:val="32"/>
        </w:rPr>
        <w:t>年新增综合能源站45座，其中新建19座，改造提升26座。到2035年，规划综合能源站达到95座，中心城区48座，乡镇47座。</w:t>
      </w:r>
    </w:p>
    <w:p w14:paraId="52112F1E">
      <w:pPr>
        <w:pStyle w:val="10"/>
        <w:spacing w:line="580" w:lineRule="exact"/>
        <w:jc w:val="center"/>
        <w:rPr>
          <w:rFonts w:ascii="Times New Roman" w:hAnsi="Times New Roman" w:eastAsia="方正黑体_GBK" w:cs="Times New Roman"/>
          <w:sz w:val="28"/>
          <w:szCs w:val="24"/>
        </w:rPr>
      </w:pPr>
      <w:r>
        <w:rPr>
          <w:rFonts w:hint="eastAsia" w:ascii="Times New Roman" w:hAnsi="Times New Roman" w:eastAsia="方正黑体_GBK" w:cs="Times New Roman"/>
          <w:sz w:val="28"/>
          <w:szCs w:val="24"/>
        </w:rPr>
        <w:t>专栏6 新能源汽车基础设施项目</w:t>
      </w:r>
    </w:p>
    <w:p w14:paraId="3956A798">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综合能源站：</w:t>
      </w:r>
      <w:r>
        <w:rPr>
          <w:rFonts w:hint="eastAsia" w:ascii="Times New Roman" w:hAnsi="Times New Roman" w:eastAsia="方正仿宋_GBK"/>
          <w:sz w:val="24"/>
          <w:szCs w:val="24"/>
        </w:rPr>
        <w:t>到2035年，规划建设综合能源站95座，其中中心城区48座、镇乡47座。</w:t>
      </w:r>
    </w:p>
    <w:p w14:paraId="7EBBE3C2">
      <w:pPr>
        <w:pBdr>
          <w:top w:val="single" w:color="auto" w:sz="6" w:space="1"/>
          <w:left w:val="single" w:color="auto" w:sz="6" w:space="4"/>
          <w:bottom w:val="single" w:color="auto" w:sz="6" w:space="1"/>
          <w:right w:val="single" w:color="auto" w:sz="6" w:space="4"/>
        </w:pBdr>
        <w:snapToGrid w:val="0"/>
        <w:spacing w:line="460" w:lineRule="atLeast"/>
        <w:ind w:left="105" w:leftChars="50" w:right="105" w:rightChars="50" w:firstLine="480" w:firstLineChars="200"/>
        <w:rPr>
          <w:rFonts w:ascii="Times New Roman" w:hAnsi="Times New Roman" w:eastAsia="方正仿宋_GBK"/>
          <w:sz w:val="24"/>
          <w:szCs w:val="24"/>
        </w:rPr>
      </w:pPr>
      <w:r>
        <w:rPr>
          <w:rFonts w:hint="eastAsia" w:ascii="Times New Roman" w:hAnsi="Times New Roman" w:eastAsia="方正仿宋_GBK"/>
          <w:b/>
          <w:sz w:val="24"/>
          <w:szCs w:val="24"/>
        </w:rPr>
        <w:t>充（换）电设施：</w:t>
      </w:r>
      <w:r>
        <w:rPr>
          <w:rFonts w:hint="eastAsia" w:ascii="Times New Roman" w:hAnsi="Times New Roman" w:eastAsia="方正仿宋_GBK"/>
          <w:sz w:val="24"/>
          <w:szCs w:val="24"/>
        </w:rPr>
        <w:t>到2025年，力争全区配置公共充电桩1942个，5个中心镇（分水镇、龙驹镇、余家镇、龙沙镇、白羊镇）至少各建设公共充电站1座，换电站5座；到2035年，力争全区配置公共充电桩超1.63万个，基本实现中心城区公共充电站服务半径不大于1公里，每个乡镇至少建设公共充电站1座，建设换电站10座。</w:t>
      </w:r>
    </w:p>
    <w:p w14:paraId="6119CB1C">
      <w:pPr>
        <w:pStyle w:val="28"/>
        <w:adjustRightInd w:val="0"/>
        <w:snapToGrid w:val="0"/>
        <w:spacing w:line="640" w:lineRule="exact"/>
        <w:ind w:firstLine="640"/>
        <w:rPr>
          <w:rFonts w:ascii="Times New Roman" w:hAnsi="Times New Roman" w:eastAsia="方正仿宋_GBK"/>
          <w:sz w:val="32"/>
          <w:szCs w:val="32"/>
        </w:rPr>
      </w:pPr>
    </w:p>
    <w:p w14:paraId="732FDCBC">
      <w:pPr>
        <w:pStyle w:val="4"/>
        <w:spacing w:before="312" w:beforeLines="100" w:after="156"/>
      </w:pPr>
      <w:bookmarkStart w:id="22" w:name="_Toc123655041"/>
      <w:r>
        <w:t>第</w:t>
      </w:r>
      <w:r>
        <w:rPr>
          <w:rFonts w:hint="eastAsia"/>
        </w:rPr>
        <w:t>六</w:t>
      </w:r>
      <w:r>
        <w:t>章</w:t>
      </w:r>
      <w:r>
        <w:rPr>
          <w:rFonts w:hint="eastAsia"/>
        </w:rPr>
        <w:t xml:space="preserve"> 建立健全现代能源治理体系</w:t>
      </w:r>
      <w:bookmarkEnd w:id="22"/>
    </w:p>
    <w:p w14:paraId="6E397F73">
      <w:pPr>
        <w:pStyle w:val="5"/>
        <w:ind w:firstLine="0" w:firstLineChars="0"/>
        <w:jc w:val="center"/>
        <w:rPr>
          <w:rFonts w:ascii="Times New Roman" w:hAnsi="Times New Roman"/>
          <w:sz w:val="36"/>
          <w:szCs w:val="36"/>
        </w:rPr>
      </w:pPr>
      <w:bookmarkStart w:id="23" w:name="_Toc123655042"/>
      <w:r>
        <w:rPr>
          <w:rFonts w:hint="eastAsia" w:ascii="Times New Roman" w:hAnsi="Times New Roman"/>
          <w:sz w:val="36"/>
          <w:szCs w:val="36"/>
        </w:rPr>
        <w:t>第一节 配合推进电力体制改革</w:t>
      </w:r>
      <w:bookmarkEnd w:id="23"/>
    </w:p>
    <w:p w14:paraId="70B6D882">
      <w:pPr>
        <w:pStyle w:val="28"/>
        <w:adjustRightInd w:val="0"/>
        <w:snapToGrid w:val="0"/>
        <w:spacing w:line="640" w:lineRule="exact"/>
        <w:ind w:firstLine="640"/>
        <w:rPr>
          <w:rFonts w:ascii="Times New Roman" w:hAnsi="Times New Roman" w:eastAsia="方正仿宋_GBK"/>
          <w:bCs/>
          <w:color w:val="000000"/>
          <w:sz w:val="32"/>
          <w:szCs w:val="32"/>
          <w:highlight w:val="yellow"/>
        </w:rPr>
      </w:pPr>
      <w:r>
        <w:rPr>
          <w:rFonts w:hint="eastAsia" w:ascii="Times New Roman" w:hAnsi="Times New Roman" w:eastAsia="方正仿宋_GBK"/>
          <w:bCs/>
          <w:color w:val="000000"/>
          <w:sz w:val="32"/>
          <w:szCs w:val="32"/>
        </w:rPr>
        <w:t>积极配合推进电价改革，提高电力资源配置能力，通过综合能源服务和市场化方式降低企业用电成本。推进电力辅助服务市场化，推动储能、调峰作为参与电力辅助服务市场，减轻系统调峰压力，提升清洁能源消纳能力。深化配售电改革，落实售电主体准入和退出机制，向社会资本放开售电和增量配电业务。优先保障可再生能源电力消纳，推动电网公平接入。推进新能源“隔墙售电”就近交易，积极探索分布式发电市场化交易，逐步规范交易流程，扩大交易规模。落实容量电价和调峰补偿机制，合理疏导应急备用及调峰电源建设成本。</w:t>
      </w:r>
    </w:p>
    <w:p w14:paraId="3A84C43C">
      <w:pPr>
        <w:pStyle w:val="5"/>
        <w:ind w:firstLine="0" w:firstLineChars="0"/>
        <w:jc w:val="center"/>
        <w:rPr>
          <w:rFonts w:ascii="Times New Roman" w:hAnsi="Times New Roman"/>
          <w:sz w:val="36"/>
          <w:szCs w:val="36"/>
        </w:rPr>
      </w:pPr>
      <w:bookmarkStart w:id="24" w:name="_Toc123655043"/>
      <w:r>
        <w:rPr>
          <w:rFonts w:hint="eastAsia" w:ascii="Times New Roman" w:hAnsi="Times New Roman"/>
          <w:sz w:val="36"/>
          <w:szCs w:val="36"/>
        </w:rPr>
        <w:t>第二节 优化完善燃气体制改革</w:t>
      </w:r>
      <w:bookmarkEnd w:id="24"/>
    </w:p>
    <w:p w14:paraId="73906A88">
      <w:pPr>
        <w:pStyle w:val="28"/>
        <w:adjustRightInd w:val="0"/>
        <w:snapToGrid w:val="0"/>
        <w:spacing w:line="640" w:lineRule="exact"/>
        <w:ind w:firstLine="640"/>
        <w:rPr>
          <w:rFonts w:ascii="Times New Roman" w:hAnsi="Times New Roman" w:eastAsia="方正仿宋_GBK"/>
          <w:bCs/>
          <w:color w:val="000000"/>
          <w:sz w:val="32"/>
          <w:szCs w:val="32"/>
          <w:highlight w:val="yellow"/>
        </w:rPr>
      </w:pPr>
      <w:r>
        <w:rPr>
          <w:rFonts w:hint="eastAsia" w:ascii="Times New Roman" w:hAnsi="Times New Roman" w:eastAsia="方正仿宋_GBK"/>
          <w:bCs/>
          <w:color w:val="000000"/>
          <w:sz w:val="32"/>
          <w:szCs w:val="32"/>
        </w:rPr>
        <w:t>完善天然气利益共享机制，鼓励央地合资合作。规范天然气管网建设和运营，整治、清理违法项目和“背靠背”不合理加价行为。支持设立独立法人主体销售天然气，促进本地资源充分利用。全面落实燃气管道等基础设施向第三方公平开放，建立管网运行统一调度机制，推动“多气源”供气。推动储气设施独立运行，落实储气库气量和储气服务市场化交易机制。</w:t>
      </w:r>
    </w:p>
    <w:p w14:paraId="44C46B74">
      <w:pPr>
        <w:pStyle w:val="5"/>
        <w:ind w:firstLine="0" w:firstLineChars="0"/>
        <w:jc w:val="center"/>
        <w:rPr>
          <w:rFonts w:ascii="Times New Roman" w:hAnsi="Times New Roman"/>
          <w:sz w:val="36"/>
          <w:szCs w:val="36"/>
        </w:rPr>
      </w:pPr>
      <w:bookmarkStart w:id="25" w:name="_Toc123655044"/>
      <w:r>
        <w:rPr>
          <w:rFonts w:hint="eastAsia" w:ascii="Times New Roman" w:hAnsi="Times New Roman"/>
          <w:sz w:val="36"/>
          <w:szCs w:val="36"/>
        </w:rPr>
        <w:t>第三节 提升能源管理信息化水平</w:t>
      </w:r>
      <w:bookmarkEnd w:id="25"/>
    </w:p>
    <w:p w14:paraId="1F1FD814">
      <w:pPr>
        <w:pStyle w:val="28"/>
        <w:adjustRightInd w:val="0"/>
        <w:snapToGrid w:val="0"/>
        <w:spacing w:line="640" w:lineRule="exact"/>
        <w:ind w:firstLine="640"/>
        <w:rPr>
          <w:rFonts w:ascii="Times New Roman" w:hAnsi="Times New Roman" w:eastAsia="方正仿宋_GBK"/>
          <w:bCs/>
          <w:color w:val="000000"/>
          <w:sz w:val="32"/>
          <w:szCs w:val="32"/>
        </w:rPr>
      </w:pPr>
      <w:r>
        <w:rPr>
          <w:rFonts w:hint="eastAsia" w:ascii="Times New Roman" w:hAnsi="Times New Roman" w:eastAsia="方正仿宋_GBK"/>
          <w:bCs/>
          <w:sz w:val="32"/>
          <w:szCs w:val="32"/>
        </w:rPr>
        <w:t>规划建设万州能源大数据中心，推动能源业务数据化，数据网络化，实现能源系统对接，打通能源数据</w:t>
      </w:r>
      <w:r>
        <w:rPr>
          <w:rFonts w:hint="eastAsia" w:ascii="Times New Roman" w:hAnsi="Times New Roman" w:eastAsia="方正仿宋_GBK"/>
          <w:bCs/>
          <w:color w:val="000000"/>
          <w:sz w:val="32"/>
          <w:szCs w:val="32"/>
        </w:rPr>
        <w:t>壁垒，整合能源数据资源。加强能源统计、分析与预测预警，动态监测全区能源运行情况，促进供需平衡、能耗控制、运输协调、价格变动、运行调度、预警预测等管理水平提升。优化能源营商环境，进一步缩短企业获得电力、用气时间，稳定用能供给，降低用能成本。加强能源行业监管和服务，深化放管服改革，实行阳光审批，强化规划和政策引导，从根本上管好能源项目。加大能源行政执法力度，推进能源领域信用体系建设，健全守信激励和失信惩戒机制。</w:t>
      </w:r>
    </w:p>
    <w:p w14:paraId="0F994064">
      <w:pPr>
        <w:pStyle w:val="4"/>
        <w:spacing w:before="312" w:beforeLines="100" w:after="156"/>
      </w:pPr>
      <w:bookmarkStart w:id="26" w:name="_Toc123655045"/>
      <w:r>
        <w:t>第</w:t>
      </w:r>
      <w:r>
        <w:rPr>
          <w:rFonts w:hint="eastAsia"/>
        </w:rPr>
        <w:t>七</w:t>
      </w:r>
      <w:r>
        <w:t>章</w:t>
      </w:r>
      <w:r>
        <w:rPr>
          <w:rFonts w:hint="eastAsia"/>
        </w:rPr>
        <w:t xml:space="preserve"> 保障措施</w:t>
      </w:r>
      <w:bookmarkEnd w:id="26"/>
    </w:p>
    <w:p w14:paraId="23336314">
      <w:pPr>
        <w:pStyle w:val="5"/>
        <w:ind w:firstLine="0" w:firstLineChars="0"/>
        <w:jc w:val="center"/>
        <w:rPr>
          <w:rFonts w:ascii="Times New Roman" w:hAnsi="Times New Roman"/>
          <w:sz w:val="36"/>
          <w:szCs w:val="36"/>
        </w:rPr>
      </w:pPr>
      <w:bookmarkStart w:id="27" w:name="_Toc123655046"/>
      <w:r>
        <w:rPr>
          <w:rFonts w:hint="eastAsia" w:ascii="Times New Roman" w:hAnsi="Times New Roman"/>
          <w:sz w:val="36"/>
          <w:szCs w:val="36"/>
        </w:rPr>
        <w:t>第一节 加强组织领导</w:t>
      </w:r>
      <w:bookmarkEnd w:id="27"/>
    </w:p>
    <w:p w14:paraId="634D6026">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坚持党对能源工作的全面领导，注重加强政治引领，强化战略导向，健全完善党组织领导能源发展的工作机制。落实国家和重庆市能源发展战略，加强与国家和重庆市能源法律法规、规划、政策的衔接。区发展改革委加强对规划实施的协调和指导，加大与市</w:t>
      </w:r>
      <w:r>
        <w:rPr>
          <w:rFonts w:hint="eastAsia" w:ascii="Times New Roman" w:hAnsi="Times New Roman" w:eastAsia="方正仿宋_GBK"/>
          <w:sz w:val="32"/>
          <w:szCs w:val="32"/>
          <w:lang w:eastAsia="zh-CN"/>
        </w:rPr>
        <w:t>级</w:t>
      </w:r>
      <w:r>
        <w:rPr>
          <w:rFonts w:hint="eastAsia" w:ascii="Times New Roman" w:hAnsi="Times New Roman" w:eastAsia="方正仿宋_GBK"/>
          <w:sz w:val="32"/>
          <w:szCs w:val="32"/>
        </w:rPr>
        <w:t>相关部门的协调力度，争取对重点用能项目指标的支持。</w:t>
      </w:r>
      <w:r>
        <w:rPr>
          <w:rFonts w:hint="eastAsia" w:ascii="Times New Roman" w:hAnsi="Times New Roman" w:eastAsia="方正仿宋_GBK"/>
          <w:sz w:val="32"/>
          <w:szCs w:val="32"/>
          <w:lang w:eastAsia="zh-CN"/>
        </w:rPr>
        <w:t>区级</w:t>
      </w:r>
      <w:r>
        <w:rPr>
          <w:rFonts w:hint="eastAsia" w:ascii="Times New Roman" w:hAnsi="Times New Roman" w:eastAsia="方正仿宋_GBK"/>
          <w:sz w:val="32"/>
          <w:szCs w:val="32"/>
        </w:rPr>
        <w:t>相关部门应按照职能分工，加强沟通配合，制定和完善配套政策措施，为规划实施创造有利条件，</w:t>
      </w:r>
      <w:r>
        <w:rPr>
          <w:rFonts w:hint="eastAsia" w:ascii="Times New Roman" w:hAnsi="Times New Roman" w:eastAsia="方正仿宋_GBK"/>
          <w:sz w:val="32"/>
          <w:szCs w:val="32"/>
          <w:lang w:eastAsia="zh-CN"/>
        </w:rPr>
        <w:t>区级</w:t>
      </w:r>
      <w:r>
        <w:rPr>
          <w:rFonts w:hint="eastAsia" w:ascii="Times New Roman" w:hAnsi="Times New Roman" w:eastAsia="方正仿宋_GBK"/>
          <w:sz w:val="32"/>
          <w:szCs w:val="32"/>
        </w:rPr>
        <w:t>各部门和相关企业要根据各自的职责，细化落实规划确定的主要目标和重点任务。</w:t>
      </w:r>
    </w:p>
    <w:p w14:paraId="69340D76">
      <w:pPr>
        <w:pStyle w:val="5"/>
        <w:ind w:firstLine="0" w:firstLineChars="0"/>
        <w:jc w:val="center"/>
        <w:rPr>
          <w:rFonts w:ascii="Times New Roman" w:hAnsi="Times New Roman"/>
          <w:sz w:val="36"/>
          <w:szCs w:val="36"/>
        </w:rPr>
      </w:pPr>
      <w:bookmarkStart w:id="28" w:name="_Toc123655047"/>
      <w:r>
        <w:rPr>
          <w:rFonts w:hint="eastAsia" w:ascii="Times New Roman" w:hAnsi="Times New Roman"/>
          <w:sz w:val="36"/>
          <w:szCs w:val="36"/>
        </w:rPr>
        <w:t>第二节 强化规划实施</w:t>
      </w:r>
      <w:bookmarkEnd w:id="28"/>
    </w:p>
    <w:p w14:paraId="5F950F57">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区级有关部门和重点能源企业细化落实规划实施工作机制，大力推进各项重点工作，明确目标任务、落实责任主体，确保如期完成。建立能源规划与项目一体化管理机制，以能源规划为依据推进能源项目建设。强化能源发展规划的引导约束作用，建立规划监测评估机制，加强对规划实施情况的跟踪分析和监督检查，确保各项工作落到实处。严格执行规划调整工作程序，及时向社会公开规划制定和调整情况，充分发挥社会舆论监督作用。</w:t>
      </w:r>
    </w:p>
    <w:p w14:paraId="762DF279">
      <w:pPr>
        <w:pStyle w:val="5"/>
        <w:ind w:firstLine="0" w:firstLineChars="0"/>
        <w:jc w:val="center"/>
        <w:rPr>
          <w:rFonts w:ascii="Times New Roman" w:hAnsi="Times New Roman"/>
          <w:sz w:val="36"/>
          <w:szCs w:val="36"/>
        </w:rPr>
      </w:pPr>
      <w:bookmarkStart w:id="29" w:name="_Toc123655048"/>
      <w:r>
        <w:rPr>
          <w:rFonts w:hint="eastAsia" w:ascii="Times New Roman" w:hAnsi="Times New Roman"/>
          <w:sz w:val="36"/>
          <w:szCs w:val="36"/>
        </w:rPr>
        <w:t>第三节 强化安全生产</w:t>
      </w:r>
      <w:bookmarkEnd w:id="29"/>
    </w:p>
    <w:p w14:paraId="3C4B97F6">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落实安全生产属地监管责任和企业主体责任，加强能源领域安全监管。坚决落实安全生产责任制，强化责任担当，坚持党政同责、“一岗双责”、齐抓共管、失职追责，防范和遏制能源行业重特大安全事故。全面强化项目管理全过程安全生产要求，加强对项目建设过程的监督检查和运行阶段安全生产监管力度。进一步深化电力生产、油气输送管道等重点行业领域安全管理。充分发挥安全技术保障作用，制定完善安全生产标准规范，推动安全生产和防范安全事故工作规范化、常态化。</w:t>
      </w:r>
    </w:p>
    <w:p w14:paraId="7A520BA6">
      <w:pPr>
        <w:pStyle w:val="5"/>
        <w:ind w:firstLine="0" w:firstLineChars="0"/>
        <w:jc w:val="center"/>
        <w:rPr>
          <w:rFonts w:ascii="Times New Roman" w:hAnsi="Times New Roman"/>
          <w:sz w:val="36"/>
          <w:szCs w:val="36"/>
        </w:rPr>
      </w:pPr>
      <w:bookmarkStart w:id="30" w:name="_Toc123655049"/>
      <w:r>
        <w:rPr>
          <w:rFonts w:hint="eastAsia" w:ascii="Times New Roman" w:hAnsi="Times New Roman"/>
          <w:sz w:val="36"/>
          <w:szCs w:val="36"/>
        </w:rPr>
        <w:t>第四节 加强宣传引导</w:t>
      </w:r>
      <w:bookmarkEnd w:id="30"/>
    </w:p>
    <w:p w14:paraId="78462E01">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积极动员社会各方力量，开展新闻宣传、政策解读和教育普及。完善公众参与机制，加强信息公开，提高社会大众对能源规划实施、促进能源高质量发展的认知、支持和参与的积极性。发挥舆论监督作用，提高科学管理、民主决策水平。注重舆论引导，回应社会关切，传递助推能源高质量发展的好声音和正能量。</w:t>
      </w:r>
    </w:p>
    <w:p w14:paraId="06785490">
      <w:pPr>
        <w:pStyle w:val="4"/>
        <w:spacing w:before="312" w:beforeLines="100" w:after="156"/>
      </w:pPr>
      <w:bookmarkStart w:id="31" w:name="_Toc123655050"/>
      <w:r>
        <w:t>第</w:t>
      </w:r>
      <w:r>
        <w:rPr>
          <w:rFonts w:hint="eastAsia"/>
        </w:rPr>
        <w:t>八</w:t>
      </w:r>
      <w:r>
        <w:t>章</w:t>
      </w:r>
      <w:r>
        <w:rPr>
          <w:rFonts w:hint="eastAsia"/>
        </w:rPr>
        <w:t xml:space="preserve"> 环境影响评价</w:t>
      </w:r>
      <w:bookmarkEnd w:id="31"/>
    </w:p>
    <w:p w14:paraId="3ED731C8">
      <w:pPr>
        <w:pStyle w:val="5"/>
        <w:ind w:firstLine="0" w:firstLineChars="0"/>
        <w:jc w:val="center"/>
        <w:rPr>
          <w:rFonts w:ascii="Times New Roman" w:hAnsi="Times New Roman"/>
          <w:sz w:val="36"/>
          <w:szCs w:val="36"/>
        </w:rPr>
      </w:pPr>
      <w:bookmarkStart w:id="32" w:name="_Toc123655051"/>
      <w:r>
        <w:rPr>
          <w:rFonts w:hint="eastAsia" w:ascii="Times New Roman" w:hAnsi="Times New Roman"/>
          <w:sz w:val="36"/>
          <w:szCs w:val="36"/>
        </w:rPr>
        <w:t>第一节 规划实施的环境影响分析</w:t>
      </w:r>
      <w:bookmarkEnd w:id="32"/>
    </w:p>
    <w:p w14:paraId="1DC6A526">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十四五”期间，全区遵循“四个革命、一个合作”能源安全新战略要求，深入推进节能减排，持续推动传统产业转型升级，加快推进煤炭清洁高效利用和可再生能源消费，稳步有序推进电能替代。加快发展节能环保产业和资源循环利用产业，推进绿色制造和节能低碳环保产品认证。全面执行建筑节能强制性标准。加大对船舶船型的标准化改造，对机场、汽车站、码头等重点耗能交通枢纽和节点实施节能改造。推动政府强制采购和优先采购具有节能低碳和环境标识认证的产品，开展节约型机关、节约型医院、节约型校园创建活动，将有效促进能源绿色低碳转型和环境改善。</w:t>
      </w:r>
    </w:p>
    <w:p w14:paraId="55E8B1D4">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推进电、油、煤、气等项目建设，会对项目区及周边生态环境造成一定影响。实施充换电设施、电网线路等建设工程，可能造成植被减少、水土流失、耕地破坏等影响，工程施工期产生的“三废”及噪声污染等也将对当地居民生活、生产和交通等带来不同程度的干扰和暂时影响。</w:t>
      </w:r>
    </w:p>
    <w:p w14:paraId="5447C76E">
      <w:pPr>
        <w:pStyle w:val="5"/>
        <w:ind w:firstLine="0" w:firstLineChars="0"/>
        <w:jc w:val="center"/>
        <w:rPr>
          <w:rFonts w:ascii="Times New Roman" w:hAnsi="Times New Roman"/>
          <w:sz w:val="36"/>
          <w:szCs w:val="36"/>
        </w:rPr>
      </w:pPr>
      <w:bookmarkStart w:id="33" w:name="_Toc123655052"/>
      <w:r>
        <w:rPr>
          <w:rFonts w:hint="eastAsia" w:ascii="Times New Roman" w:hAnsi="Times New Roman"/>
          <w:sz w:val="36"/>
          <w:szCs w:val="36"/>
        </w:rPr>
        <w:t>第二节 规划实施的环境保护措施</w:t>
      </w:r>
      <w:bookmarkEnd w:id="33"/>
    </w:p>
    <w:p w14:paraId="068505DA">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加强中小水电开发管理。按照干流开发优先、支流保护优先的原则，严格控制中小流域、中小水电开发，保留必要生境。小水电项目建设应与当地水资源条件相适应，根据当地生产、生活、生态及景观需水要求，统筹确定合理生态流量，落实相关工程和管理措施，优化水电站运行管理，实行有利于生态保护的调度和运行模式，避免电站运行造成下游河段脱水，最大限度减轻对水环境和水生生态的不利影响。</w:t>
      </w:r>
    </w:p>
    <w:p w14:paraId="45514392">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严守生态保护红线。规划项目应尽量避免占用自然保护区、风景名胜区、森林公园、饮用水源保护区等敏感目标，尽量避免占用生态红线。对不可避免占用生态红线的工程，应优化工程布置，最大程度减少占用生态保护红线面积，并采取相关保护措施，最大程度减低工程建设对生态环境的影响。积极开展重点保护动植物调查，落实保护对策和实施方案，保护项目区生物多样性。</w:t>
      </w:r>
    </w:p>
    <w:p w14:paraId="2B292925">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严格保护耕地资源。工程建设，尤其是加气站、充</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换</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电设施等工程建设将占用一定的土地资源，对日益稀缺的基本农田带来一定的不利影响。工程建设要严格贯彻执行《基本农田保护条例》等规定，严格占地审批制度，保护宝贵的土地、耕地、林地等资源，坚持节约集约用地，切实做好占地调整和补偿工作，避免或尽量减少占用基本农田。</w:t>
      </w:r>
    </w:p>
    <w:p w14:paraId="040F1065">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强化环境保护监管。能源领域相关建设项目应全面推行建设项目法人责任制、招标承包制、建设监理制和竣工验收制，认真做好水土保持及环境影响评价等前期工作。在项目设计、工程建设和运行管理等各个阶段，要高度重视生态保护工作，严格执行建设项目环境保护“三同时”制度。实行能源行业企业自主监管、政府部门监管和社会监督同步运行的常态化监督机制，引导企业制定环境风险应急预案及保障体系，主动接受各方监督。</w:t>
      </w:r>
    </w:p>
    <w:p w14:paraId="5436CABD">
      <w:pPr>
        <w:pStyle w:val="5"/>
        <w:ind w:firstLine="0" w:firstLineChars="0"/>
        <w:jc w:val="center"/>
        <w:rPr>
          <w:rFonts w:ascii="Times New Roman" w:hAnsi="Times New Roman"/>
          <w:sz w:val="36"/>
          <w:szCs w:val="36"/>
        </w:rPr>
      </w:pPr>
      <w:bookmarkStart w:id="34" w:name="_Toc123655053"/>
      <w:r>
        <w:rPr>
          <w:rFonts w:hint="eastAsia" w:ascii="Times New Roman" w:hAnsi="Times New Roman"/>
          <w:sz w:val="36"/>
          <w:szCs w:val="36"/>
        </w:rPr>
        <w:t>第三节 规划实施的环境保护成效</w:t>
      </w:r>
      <w:bookmarkEnd w:id="34"/>
    </w:p>
    <w:p w14:paraId="6C53BBB9">
      <w:pPr>
        <w:spacing w:line="600" w:lineRule="exact"/>
        <w:ind w:firstLine="640" w:firstLineChars="200"/>
        <w:rPr>
          <w:rFonts w:ascii="Times New Roman" w:hAnsi="Times New Roman" w:eastAsia="方正仿宋_GBK"/>
          <w:sz w:val="32"/>
          <w:szCs w:val="32"/>
        </w:rPr>
        <w:sectPr>
          <w:footerReference r:id="rId7" w:type="default"/>
          <w:pgSz w:w="11906" w:h="16838"/>
          <w:pgMar w:top="1440" w:right="1797" w:bottom="1440" w:left="1797" w:header="851" w:footer="992" w:gutter="0"/>
          <w:cols w:space="425" w:num="1"/>
          <w:docGrid w:type="lines" w:linePitch="312" w:charSpace="0"/>
        </w:sectPr>
      </w:pPr>
      <w:r>
        <w:rPr>
          <w:rFonts w:ascii="Times New Roman" w:hAnsi="Times New Roman" w:eastAsia="方正仿宋_GBK"/>
          <w:sz w:val="32"/>
          <w:szCs w:val="32"/>
        </w:rPr>
        <w:t>预期2025年</w:t>
      </w:r>
      <w:r>
        <w:rPr>
          <w:rFonts w:hint="eastAsia" w:ascii="Times New Roman" w:hAnsi="Times New Roman" w:eastAsia="方正仿宋_GBK"/>
          <w:sz w:val="32"/>
          <w:szCs w:val="32"/>
        </w:rPr>
        <w:t>全区</w:t>
      </w:r>
      <w:r>
        <w:rPr>
          <w:rFonts w:ascii="Times New Roman" w:hAnsi="Times New Roman" w:eastAsia="方正仿宋_GBK"/>
          <w:sz w:val="32"/>
          <w:szCs w:val="32"/>
        </w:rPr>
        <w:t>能源行业发展对环境的影响得到更好控制，能源行业节能减排目标可以实现。能源结构调整深入推进，能源生产更加清洁，资源利用效率更加高效，能源</w:t>
      </w:r>
      <w:r>
        <w:rPr>
          <w:rFonts w:hint="eastAsia" w:ascii="Times New Roman" w:hAnsi="Times New Roman" w:eastAsia="方正仿宋_GBK"/>
          <w:sz w:val="32"/>
          <w:szCs w:val="32"/>
        </w:rPr>
        <w:t>储运设施</w:t>
      </w:r>
      <w:r>
        <w:rPr>
          <w:rFonts w:ascii="Times New Roman" w:hAnsi="Times New Roman" w:eastAsia="方正仿宋_GBK"/>
          <w:sz w:val="32"/>
          <w:szCs w:val="32"/>
        </w:rPr>
        <w:t>空间布局更加优化，环境质量进一步改善。</w:t>
      </w:r>
    </w:p>
    <w:p w14:paraId="43D09E76">
      <w:pPr>
        <w:pStyle w:val="28"/>
        <w:adjustRightInd w:val="0"/>
        <w:snapToGrid w:val="0"/>
        <w:spacing w:line="800" w:lineRule="exact"/>
        <w:ind w:firstLine="0" w:firstLineChars="0"/>
        <w:jc w:val="center"/>
        <w:rPr>
          <w:rFonts w:hint="eastAsia" w:ascii="Times New Roman" w:hAnsi="Times New Roman" w:eastAsia="方正小标宋_GBK"/>
          <w:sz w:val="44"/>
          <w:szCs w:val="44"/>
          <w:lang w:eastAsia="zh-CN"/>
        </w:rPr>
      </w:pPr>
      <w:r>
        <w:rPr>
          <w:rFonts w:hint="eastAsia" w:ascii="Times New Roman" w:hAnsi="Times New Roman" w:eastAsia="方正小标宋_GBK"/>
          <w:sz w:val="44"/>
          <w:szCs w:val="44"/>
        </w:rPr>
        <w:t>重庆市万州区能源发展规划（2021</w:t>
      </w:r>
      <w:r>
        <w:rPr>
          <w:rFonts w:hint="eastAsia" w:ascii="Times New Roman" w:hAnsi="Times New Roman" w:eastAsia="方正小标宋_GBK"/>
          <w:sz w:val="44"/>
          <w:szCs w:val="44"/>
          <w:lang w:eastAsia="zh-CN"/>
        </w:rPr>
        <w:t>—</w:t>
      </w:r>
      <w:r>
        <w:rPr>
          <w:rFonts w:hint="eastAsia" w:ascii="Times New Roman" w:hAnsi="Times New Roman" w:eastAsia="方正小标宋_GBK"/>
          <w:sz w:val="44"/>
          <w:szCs w:val="44"/>
        </w:rPr>
        <w:t>2035年）</w:t>
      </w:r>
      <w:r>
        <w:rPr>
          <w:rFonts w:hint="eastAsia" w:ascii="Times New Roman" w:hAnsi="Times New Roman" w:eastAsia="方正小标宋_GBK"/>
          <w:sz w:val="44"/>
          <w:szCs w:val="44"/>
          <w:lang w:eastAsia="zh-CN"/>
        </w:rPr>
        <w:t>项目表</w:t>
      </w:r>
    </w:p>
    <w:p w14:paraId="22B06AE0">
      <w:pPr>
        <w:spacing w:line="600" w:lineRule="exact"/>
        <w:jc w:val="center"/>
        <w:rPr>
          <w:rFonts w:ascii="Times New Roman" w:hAnsi="Times New Roman" w:eastAsia="方正楷体_GBK"/>
          <w:sz w:val="36"/>
          <w:szCs w:val="32"/>
        </w:rPr>
      </w:pPr>
    </w:p>
    <w:tbl>
      <w:tblPr>
        <w:tblStyle w:val="16"/>
        <w:tblW w:w="14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35"/>
        <w:gridCol w:w="2692"/>
        <w:gridCol w:w="1854"/>
        <w:gridCol w:w="4849"/>
        <w:gridCol w:w="1256"/>
        <w:gridCol w:w="1371"/>
        <w:gridCol w:w="911"/>
      </w:tblGrid>
      <w:tr w14:paraId="4F7B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26B9D4F8">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序号</w:t>
            </w:r>
          </w:p>
        </w:tc>
        <w:tc>
          <w:tcPr>
            <w:tcW w:w="1035" w:type="dxa"/>
            <w:tcBorders>
              <w:top w:val="single" w:color="auto" w:sz="4" w:space="0"/>
              <w:left w:val="single" w:color="auto" w:sz="4" w:space="0"/>
              <w:bottom w:val="single" w:color="auto" w:sz="4" w:space="0"/>
              <w:right w:val="single" w:color="auto" w:sz="4" w:space="0"/>
            </w:tcBorders>
            <w:shd w:val="clear" w:color="auto" w:fill="auto"/>
            <w:vAlign w:val="center"/>
          </w:tcPr>
          <w:p w14:paraId="2B255403">
            <w:pPr>
              <w:widowControl/>
              <w:spacing w:line="300" w:lineRule="exact"/>
              <w:jc w:val="center"/>
              <w:rPr>
                <w:rFonts w:ascii="Times New Roman" w:hAnsi="Times New Roman" w:eastAsia="方正仿宋_GBK" w:cs="宋体"/>
                <w:b/>
                <w:kern w:val="0"/>
                <w:szCs w:val="21"/>
              </w:rPr>
            </w:pPr>
            <w:r>
              <w:rPr>
                <w:rFonts w:hint="eastAsia" w:ascii="Times New Roman" w:hAnsi="Times New Roman" w:eastAsia="方正仿宋_GBK" w:cs="宋体"/>
                <w:b/>
                <w:kern w:val="0"/>
                <w:szCs w:val="21"/>
              </w:rPr>
              <w:t>项目</w:t>
            </w:r>
          </w:p>
          <w:p w14:paraId="48F96241">
            <w:pPr>
              <w:widowControl/>
              <w:spacing w:line="300" w:lineRule="exact"/>
              <w:jc w:val="center"/>
              <w:rPr>
                <w:rFonts w:ascii="Times New Roman" w:hAnsi="Times New Roman" w:eastAsia="方正仿宋_GBK" w:cs="宋体"/>
                <w:b/>
                <w:kern w:val="0"/>
                <w:szCs w:val="21"/>
              </w:rPr>
            </w:pPr>
            <w:r>
              <w:rPr>
                <w:rFonts w:hint="eastAsia" w:ascii="Times New Roman" w:hAnsi="Times New Roman" w:eastAsia="方正仿宋_GBK" w:cs="宋体"/>
                <w:b/>
                <w:kern w:val="0"/>
                <w:szCs w:val="21"/>
              </w:rPr>
              <w:t>类型</w:t>
            </w:r>
          </w:p>
        </w:tc>
        <w:tc>
          <w:tcPr>
            <w:tcW w:w="2692" w:type="dxa"/>
            <w:tcBorders>
              <w:top w:val="single" w:color="auto" w:sz="4" w:space="0"/>
              <w:left w:val="single" w:color="auto" w:sz="4" w:space="0"/>
              <w:bottom w:val="single" w:color="auto" w:sz="4" w:space="0"/>
              <w:right w:val="single" w:color="auto" w:sz="4" w:space="0"/>
            </w:tcBorders>
            <w:shd w:val="clear" w:color="auto" w:fill="auto"/>
            <w:vAlign w:val="center"/>
          </w:tcPr>
          <w:p w14:paraId="75E34248">
            <w:pPr>
              <w:widowControl/>
              <w:spacing w:line="300" w:lineRule="exact"/>
              <w:jc w:val="center"/>
              <w:rPr>
                <w:rFonts w:ascii="Times New Roman" w:hAnsi="Times New Roman" w:eastAsia="方正仿宋_GBK" w:cs="宋体"/>
                <w:b/>
                <w:kern w:val="0"/>
                <w:szCs w:val="21"/>
              </w:rPr>
            </w:pPr>
            <w:r>
              <w:rPr>
                <w:rFonts w:hint="eastAsia" w:ascii="Times New Roman" w:hAnsi="Times New Roman" w:eastAsia="方正仿宋_GBK" w:cs="宋体"/>
                <w:b/>
                <w:kern w:val="0"/>
                <w:szCs w:val="21"/>
              </w:rPr>
              <w:t>项目名称</w:t>
            </w:r>
          </w:p>
        </w:tc>
        <w:tc>
          <w:tcPr>
            <w:tcW w:w="1854" w:type="dxa"/>
            <w:tcBorders>
              <w:top w:val="single" w:color="auto" w:sz="4" w:space="0"/>
              <w:left w:val="single" w:color="auto" w:sz="4" w:space="0"/>
              <w:bottom w:val="single" w:color="auto" w:sz="4" w:space="0"/>
              <w:right w:val="single" w:color="auto" w:sz="4" w:space="0"/>
            </w:tcBorders>
            <w:shd w:val="clear" w:color="auto" w:fill="auto"/>
            <w:vAlign w:val="center"/>
          </w:tcPr>
          <w:p w14:paraId="3E05332B">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建设地点</w:t>
            </w:r>
          </w:p>
        </w:tc>
        <w:tc>
          <w:tcPr>
            <w:tcW w:w="4849" w:type="dxa"/>
            <w:tcBorders>
              <w:top w:val="single" w:color="auto" w:sz="4" w:space="0"/>
              <w:left w:val="single" w:color="auto" w:sz="4" w:space="0"/>
              <w:bottom w:val="single" w:color="auto" w:sz="4" w:space="0"/>
              <w:right w:val="single" w:color="auto" w:sz="4" w:space="0"/>
            </w:tcBorders>
            <w:shd w:val="clear" w:color="auto" w:fill="auto"/>
            <w:vAlign w:val="center"/>
          </w:tcPr>
          <w:p w14:paraId="1BDE3FB5">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建设规模</w:t>
            </w:r>
          </w:p>
        </w:tc>
        <w:tc>
          <w:tcPr>
            <w:tcW w:w="1256" w:type="dxa"/>
            <w:tcBorders>
              <w:top w:val="single" w:color="auto" w:sz="4" w:space="0"/>
              <w:left w:val="single" w:color="auto" w:sz="4" w:space="0"/>
              <w:bottom w:val="single" w:color="auto" w:sz="4" w:space="0"/>
              <w:right w:val="single" w:color="auto" w:sz="4" w:space="0"/>
            </w:tcBorders>
            <w:shd w:val="clear" w:color="auto" w:fill="auto"/>
            <w:vAlign w:val="center"/>
          </w:tcPr>
          <w:p w14:paraId="0A67A17C">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建设性质</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14:paraId="3DD6E5D7">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建设时间</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7A415BE9">
            <w:pPr>
              <w:widowControl/>
              <w:spacing w:line="300" w:lineRule="exact"/>
              <w:jc w:val="center"/>
              <w:rPr>
                <w:rFonts w:ascii="Times New Roman" w:hAnsi="Times New Roman" w:eastAsia="方正仿宋_GBK"/>
                <w:b/>
                <w:kern w:val="0"/>
                <w:szCs w:val="21"/>
              </w:rPr>
            </w:pPr>
            <w:r>
              <w:rPr>
                <w:rFonts w:hint="eastAsia" w:ascii="Times New Roman" w:hAnsi="Times New Roman" w:eastAsia="方正仿宋_GBK"/>
                <w:b/>
                <w:kern w:val="0"/>
                <w:szCs w:val="21"/>
              </w:rPr>
              <w:t>备注</w:t>
            </w:r>
          </w:p>
        </w:tc>
      </w:tr>
      <w:tr w14:paraId="41C9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tcBorders>
              <w:top w:val="single" w:color="auto" w:sz="4" w:space="0"/>
            </w:tcBorders>
            <w:shd w:val="clear" w:color="auto" w:fill="auto"/>
            <w:noWrap/>
            <w:vAlign w:val="center"/>
          </w:tcPr>
          <w:p w14:paraId="13B0E878">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一、电网项目</w:t>
            </w:r>
          </w:p>
        </w:tc>
      </w:tr>
      <w:tr w14:paraId="7310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1BC577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w:t>
            </w:r>
          </w:p>
        </w:tc>
        <w:tc>
          <w:tcPr>
            <w:tcW w:w="1035" w:type="dxa"/>
            <w:shd w:val="clear" w:color="auto" w:fill="auto"/>
            <w:noWrap/>
            <w:vAlign w:val="center"/>
          </w:tcPr>
          <w:p w14:paraId="6B648F5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特高压</w:t>
            </w:r>
          </w:p>
        </w:tc>
        <w:tc>
          <w:tcPr>
            <w:tcW w:w="2692" w:type="dxa"/>
            <w:shd w:val="clear" w:color="auto" w:fill="auto"/>
            <w:vAlign w:val="center"/>
          </w:tcPr>
          <w:p w14:paraId="24431F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金上</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湖北±800千伏特高压直流输电工程</w:t>
            </w:r>
          </w:p>
        </w:tc>
        <w:tc>
          <w:tcPr>
            <w:tcW w:w="1854" w:type="dxa"/>
            <w:shd w:val="clear" w:color="auto" w:fill="auto"/>
            <w:vAlign w:val="center"/>
          </w:tcPr>
          <w:p w14:paraId="1A6914F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3E1B09D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新建±800千伏线路61.413</w:t>
            </w:r>
            <w:r>
              <w:rPr>
                <w:rFonts w:hint="eastAsia" w:ascii="Times New Roman" w:hAnsi="Times New Roman" w:eastAsia="方正仿宋_GBK"/>
                <w:kern w:val="0"/>
                <w:szCs w:val="21"/>
                <w:lang w:eastAsia="zh-CN"/>
              </w:rPr>
              <w:t>千米</w:t>
            </w:r>
            <w:r>
              <w:rPr>
                <w:rFonts w:hint="eastAsia" w:ascii="Times New Roman" w:hAnsi="Times New Roman" w:eastAsia="方正仿宋_GBK"/>
                <w:kern w:val="0"/>
                <w:szCs w:val="21"/>
              </w:rPr>
              <w:t>，塔基128基。</w:t>
            </w:r>
          </w:p>
        </w:tc>
        <w:tc>
          <w:tcPr>
            <w:tcW w:w="1256" w:type="dxa"/>
            <w:shd w:val="clear" w:color="auto" w:fill="auto"/>
            <w:vAlign w:val="center"/>
          </w:tcPr>
          <w:p w14:paraId="39F6F33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917C26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33DA3F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A99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12DCA0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w:t>
            </w:r>
          </w:p>
        </w:tc>
        <w:tc>
          <w:tcPr>
            <w:tcW w:w="1035" w:type="dxa"/>
            <w:vMerge w:val="restart"/>
            <w:shd w:val="clear" w:color="auto" w:fill="auto"/>
            <w:noWrap/>
            <w:vAlign w:val="center"/>
          </w:tcPr>
          <w:p w14:paraId="05F7B4C4">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500</w:t>
            </w:r>
            <w:r>
              <w:rPr>
                <w:rFonts w:hint="eastAsia" w:ascii="Times New Roman" w:hAnsi="Times New Roman" w:eastAsia="方正仿宋_GBK"/>
                <w:kern w:val="0"/>
                <w:szCs w:val="21"/>
                <w:lang w:eastAsia="zh-CN"/>
              </w:rPr>
              <w:t>千伏</w:t>
            </w:r>
          </w:p>
        </w:tc>
        <w:tc>
          <w:tcPr>
            <w:tcW w:w="2692" w:type="dxa"/>
            <w:shd w:val="clear" w:color="auto" w:fill="auto"/>
            <w:vAlign w:val="center"/>
          </w:tcPr>
          <w:p w14:paraId="2FF7666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w:t>
            </w:r>
            <w:r>
              <w:rPr>
                <w:rFonts w:hint="eastAsia" w:ascii="Times New Roman" w:hAnsi="Times New Roman" w:eastAsia="方正仿宋_GBK"/>
                <w:kern w:val="0"/>
                <w:szCs w:val="21"/>
                <w:lang w:eastAsia="zh-CN"/>
              </w:rPr>
              <w:t>州—</w:t>
            </w:r>
            <w:r>
              <w:rPr>
                <w:rFonts w:hint="eastAsia" w:ascii="Times New Roman" w:hAnsi="Times New Roman" w:eastAsia="方正仿宋_GBK"/>
                <w:kern w:val="0"/>
                <w:szCs w:val="21"/>
              </w:rPr>
              <w:t>五马500千伏工程</w:t>
            </w:r>
          </w:p>
        </w:tc>
        <w:tc>
          <w:tcPr>
            <w:tcW w:w="1854" w:type="dxa"/>
            <w:shd w:val="clear" w:color="auto" w:fill="auto"/>
            <w:vAlign w:val="center"/>
          </w:tcPr>
          <w:p w14:paraId="111D784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2DECD891">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建设500千伏开关站1座，新建开关站</w:t>
            </w:r>
            <w:r>
              <w:rPr>
                <w:rFonts w:hint="eastAsia" w:ascii="Times New Roman" w:hAnsi="Times New Roman" w:eastAsia="方正仿宋_GBK"/>
                <w:kern w:val="0"/>
                <w:szCs w:val="21"/>
                <w:lang w:eastAsia="zh-CN"/>
              </w:rPr>
              <w:t>万州—</w:t>
            </w:r>
            <w:r>
              <w:rPr>
                <w:rFonts w:hint="eastAsia" w:ascii="Times New Roman" w:hAnsi="Times New Roman" w:eastAsia="方正仿宋_GBK"/>
                <w:kern w:val="0"/>
                <w:szCs w:val="21"/>
              </w:rPr>
              <w:t>五马500千伏双回线路，途</w:t>
            </w:r>
            <w:r>
              <w:rPr>
                <w:rFonts w:hint="eastAsia" w:ascii="Times New Roman" w:hAnsi="Times New Roman" w:eastAsia="方正仿宋_GBK"/>
                <w:kern w:val="0"/>
                <w:szCs w:val="21"/>
                <w:lang w:eastAsia="zh-CN"/>
              </w:rPr>
              <w:t>经</w:t>
            </w:r>
            <w:r>
              <w:rPr>
                <w:rFonts w:hint="eastAsia" w:ascii="Times New Roman" w:hAnsi="Times New Roman" w:eastAsia="方正仿宋_GBK"/>
                <w:kern w:val="0"/>
                <w:szCs w:val="21"/>
              </w:rPr>
              <w:t>万州、石柱、丰都和涪陵，线路总长度约180公里。</w:t>
            </w:r>
          </w:p>
        </w:tc>
        <w:tc>
          <w:tcPr>
            <w:tcW w:w="1256" w:type="dxa"/>
            <w:shd w:val="clear" w:color="auto" w:fill="auto"/>
            <w:vAlign w:val="center"/>
          </w:tcPr>
          <w:p w14:paraId="3EED73A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10C5C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993F94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07F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0E0304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w:t>
            </w:r>
          </w:p>
        </w:tc>
        <w:tc>
          <w:tcPr>
            <w:tcW w:w="1035" w:type="dxa"/>
            <w:vMerge w:val="continue"/>
            <w:vAlign w:val="center"/>
          </w:tcPr>
          <w:p w14:paraId="0E575C9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B58EB1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重庆万州2站（凉风）500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变电站输变电工程</w:t>
            </w:r>
          </w:p>
        </w:tc>
        <w:tc>
          <w:tcPr>
            <w:tcW w:w="1854" w:type="dxa"/>
            <w:shd w:val="clear" w:color="auto" w:fill="auto"/>
            <w:vAlign w:val="center"/>
          </w:tcPr>
          <w:p w14:paraId="62D5B75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甘宁</w:t>
            </w:r>
            <w:r>
              <w:rPr>
                <w:rFonts w:hint="eastAsia" w:ascii="Times New Roman" w:hAnsi="Times New Roman" w:eastAsia="方正仿宋_GBK"/>
                <w:kern w:val="0"/>
                <w:szCs w:val="21"/>
              </w:rPr>
              <w:t>镇</w:t>
            </w:r>
          </w:p>
        </w:tc>
        <w:tc>
          <w:tcPr>
            <w:tcW w:w="4849" w:type="dxa"/>
            <w:shd w:val="clear" w:color="auto" w:fill="auto"/>
            <w:vAlign w:val="center"/>
          </w:tcPr>
          <w:p w14:paraId="636D799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新建500千伏变电站1座，配套建设500千伏线路8千米。</w:t>
            </w:r>
          </w:p>
        </w:tc>
        <w:tc>
          <w:tcPr>
            <w:tcW w:w="1256" w:type="dxa"/>
            <w:shd w:val="clear" w:color="auto" w:fill="auto"/>
            <w:vAlign w:val="center"/>
          </w:tcPr>
          <w:p w14:paraId="116623E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80627D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2033-2035</w:t>
            </w:r>
          </w:p>
        </w:tc>
        <w:tc>
          <w:tcPr>
            <w:tcW w:w="911" w:type="dxa"/>
            <w:shd w:val="clear" w:color="auto" w:fill="auto"/>
            <w:vAlign w:val="center"/>
          </w:tcPr>
          <w:p w14:paraId="0D11CC7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E62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E5DEBA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w:t>
            </w:r>
          </w:p>
        </w:tc>
        <w:tc>
          <w:tcPr>
            <w:tcW w:w="1035" w:type="dxa"/>
            <w:vMerge w:val="restart"/>
            <w:shd w:val="clear" w:color="auto" w:fill="auto"/>
            <w:noWrap/>
            <w:vAlign w:val="center"/>
          </w:tcPr>
          <w:p w14:paraId="5AA96075">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220</w:t>
            </w:r>
            <w:r>
              <w:rPr>
                <w:rFonts w:hint="eastAsia" w:ascii="Times New Roman" w:hAnsi="Times New Roman" w:eastAsia="方正仿宋_GBK"/>
                <w:kern w:val="0"/>
                <w:szCs w:val="21"/>
                <w:lang w:eastAsia="zh-CN"/>
              </w:rPr>
              <w:t>千伏</w:t>
            </w:r>
          </w:p>
        </w:tc>
        <w:tc>
          <w:tcPr>
            <w:tcW w:w="2692" w:type="dxa"/>
            <w:shd w:val="clear" w:color="auto" w:fill="auto"/>
            <w:vAlign w:val="center"/>
          </w:tcPr>
          <w:p w14:paraId="0BE7C91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相思110千伏变电站升压改造工程</w:t>
            </w:r>
          </w:p>
        </w:tc>
        <w:tc>
          <w:tcPr>
            <w:tcW w:w="1854" w:type="dxa"/>
            <w:shd w:val="clear" w:color="auto" w:fill="auto"/>
            <w:vAlign w:val="center"/>
          </w:tcPr>
          <w:p w14:paraId="4830513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高峰街道、甘宁镇</w:t>
            </w:r>
          </w:p>
        </w:tc>
        <w:tc>
          <w:tcPr>
            <w:tcW w:w="4849" w:type="dxa"/>
            <w:shd w:val="clear" w:color="auto" w:fill="auto"/>
            <w:vAlign w:val="center"/>
          </w:tcPr>
          <w:p w14:paraId="24ECB39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新建220千伏变电站1座，变电容量2×240MVA；改造110千伏变电站1座，增加变电容量50MVA；配套建设110千伏廊道长度16.33千米。</w:t>
            </w:r>
          </w:p>
        </w:tc>
        <w:tc>
          <w:tcPr>
            <w:tcW w:w="1256" w:type="dxa"/>
            <w:shd w:val="clear" w:color="auto" w:fill="auto"/>
            <w:vAlign w:val="center"/>
          </w:tcPr>
          <w:p w14:paraId="6849020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新建、扩建</w:t>
            </w:r>
          </w:p>
        </w:tc>
        <w:tc>
          <w:tcPr>
            <w:tcW w:w="1371" w:type="dxa"/>
            <w:shd w:val="clear" w:color="auto" w:fill="auto"/>
            <w:vAlign w:val="center"/>
          </w:tcPr>
          <w:p w14:paraId="5096AC1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622FE0D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30A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6D9B38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w:t>
            </w:r>
          </w:p>
        </w:tc>
        <w:tc>
          <w:tcPr>
            <w:tcW w:w="1035" w:type="dxa"/>
            <w:vMerge w:val="continue"/>
            <w:vAlign w:val="center"/>
          </w:tcPr>
          <w:p w14:paraId="7FBF2822">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08C5F6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凉水220千伏输变电工程</w:t>
            </w:r>
          </w:p>
        </w:tc>
        <w:tc>
          <w:tcPr>
            <w:tcW w:w="1854" w:type="dxa"/>
            <w:shd w:val="clear" w:color="auto" w:fill="auto"/>
            <w:vAlign w:val="center"/>
          </w:tcPr>
          <w:p w14:paraId="282BAE8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长岭镇</w:t>
            </w:r>
          </w:p>
        </w:tc>
        <w:tc>
          <w:tcPr>
            <w:tcW w:w="4849" w:type="dxa"/>
            <w:shd w:val="clear" w:color="auto" w:fill="auto"/>
            <w:vAlign w:val="center"/>
          </w:tcPr>
          <w:p w14:paraId="1DFD57D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新建220千伏变电站1座，本期主变容量2×240MVA，终期主变容量4×240MVA。</w:t>
            </w:r>
          </w:p>
        </w:tc>
        <w:tc>
          <w:tcPr>
            <w:tcW w:w="1256" w:type="dxa"/>
            <w:shd w:val="clear" w:color="auto" w:fill="auto"/>
            <w:vAlign w:val="center"/>
          </w:tcPr>
          <w:p w14:paraId="4F7189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347A2A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2025-2026</w:t>
            </w:r>
          </w:p>
        </w:tc>
        <w:tc>
          <w:tcPr>
            <w:tcW w:w="911" w:type="dxa"/>
            <w:shd w:val="clear" w:color="auto" w:fill="auto"/>
            <w:vAlign w:val="center"/>
          </w:tcPr>
          <w:p w14:paraId="00F5F51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059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4762DB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w:t>
            </w:r>
          </w:p>
        </w:tc>
        <w:tc>
          <w:tcPr>
            <w:tcW w:w="1035" w:type="dxa"/>
            <w:vMerge w:val="continue"/>
            <w:vAlign w:val="center"/>
          </w:tcPr>
          <w:p w14:paraId="2949A4A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75D4B6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重庆万州桐坪220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3EE1535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甘宁镇桐坪村</w:t>
            </w:r>
          </w:p>
        </w:tc>
        <w:tc>
          <w:tcPr>
            <w:tcW w:w="4849" w:type="dxa"/>
            <w:shd w:val="clear" w:color="auto" w:fill="auto"/>
            <w:vAlign w:val="center"/>
          </w:tcPr>
          <w:p w14:paraId="118C3C68">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新建220千伏变电站1座，终期3×180MVA台主变，本期按2×180MVA台建设，配套建设220千伏廊道长度12.7185千米。</w:t>
            </w:r>
          </w:p>
        </w:tc>
        <w:tc>
          <w:tcPr>
            <w:tcW w:w="1256" w:type="dxa"/>
            <w:shd w:val="clear" w:color="auto" w:fill="auto"/>
            <w:vAlign w:val="center"/>
          </w:tcPr>
          <w:p w14:paraId="5454826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BDA84F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03CA35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44F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F68814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w:t>
            </w:r>
          </w:p>
        </w:tc>
        <w:tc>
          <w:tcPr>
            <w:tcW w:w="1035" w:type="dxa"/>
            <w:vMerge w:val="continue"/>
            <w:vAlign w:val="center"/>
          </w:tcPr>
          <w:p w14:paraId="5A833E39">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9A38D1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重庆万州金明220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变电站主变扩建工程</w:t>
            </w:r>
          </w:p>
        </w:tc>
        <w:tc>
          <w:tcPr>
            <w:tcW w:w="1854" w:type="dxa"/>
            <w:shd w:val="clear" w:color="auto" w:fill="auto"/>
            <w:vAlign w:val="center"/>
          </w:tcPr>
          <w:p w14:paraId="5567A89C">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九池</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678AE11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改扩建220千伏变电站1座，终期3×180MVA台主变，本期2×180MVA台建设。</w:t>
            </w:r>
          </w:p>
        </w:tc>
        <w:tc>
          <w:tcPr>
            <w:tcW w:w="1256" w:type="dxa"/>
            <w:shd w:val="clear" w:color="auto" w:fill="auto"/>
            <w:vAlign w:val="center"/>
          </w:tcPr>
          <w:p w14:paraId="5958366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300D34A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4917401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097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3F6A1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w:t>
            </w:r>
          </w:p>
        </w:tc>
        <w:tc>
          <w:tcPr>
            <w:tcW w:w="1035" w:type="dxa"/>
            <w:vMerge w:val="continue"/>
            <w:vAlign w:val="center"/>
          </w:tcPr>
          <w:p w14:paraId="22588B0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59ADB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新田220千伏输变电工程</w:t>
            </w:r>
          </w:p>
        </w:tc>
        <w:tc>
          <w:tcPr>
            <w:tcW w:w="1854" w:type="dxa"/>
            <w:shd w:val="clear" w:color="auto" w:fill="auto"/>
            <w:vAlign w:val="center"/>
          </w:tcPr>
          <w:p w14:paraId="1FFF29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新田镇、长岭镇、百安坝街道</w:t>
            </w:r>
          </w:p>
        </w:tc>
        <w:tc>
          <w:tcPr>
            <w:tcW w:w="4849" w:type="dxa"/>
            <w:shd w:val="clear" w:color="auto" w:fill="auto"/>
            <w:vAlign w:val="center"/>
          </w:tcPr>
          <w:p w14:paraId="5151684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新建1座220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新田变电站，并建设220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新田变电站至110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油沙变电站线路，同塔双回LGJ-2×240架设，长度2×8km；新建220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新田变电站至110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立苇变电站线路，同塔双回LGJ-2×240架设，长度2×10.78km；预留一个间隔备用。</w:t>
            </w:r>
          </w:p>
        </w:tc>
        <w:tc>
          <w:tcPr>
            <w:tcW w:w="1256" w:type="dxa"/>
            <w:shd w:val="clear" w:color="auto" w:fill="auto"/>
            <w:vAlign w:val="center"/>
          </w:tcPr>
          <w:p w14:paraId="4CD70B5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9EA6E5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08C877A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FF6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F8DE3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9</w:t>
            </w:r>
          </w:p>
        </w:tc>
        <w:tc>
          <w:tcPr>
            <w:tcW w:w="1035" w:type="dxa"/>
            <w:vMerge w:val="continue"/>
            <w:vAlign w:val="center"/>
          </w:tcPr>
          <w:p w14:paraId="67B7A8D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A6ADA0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重庆万州2站（凉风）500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变电站220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送出工程</w:t>
            </w:r>
          </w:p>
        </w:tc>
        <w:tc>
          <w:tcPr>
            <w:tcW w:w="1854" w:type="dxa"/>
            <w:shd w:val="clear" w:color="auto" w:fill="auto"/>
            <w:vAlign w:val="center"/>
          </w:tcPr>
          <w:p w14:paraId="5B3FA73F">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甘宁镇、高峰</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0A116E3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新建220千伏线路廊道长度38.3145千米。</w:t>
            </w:r>
          </w:p>
        </w:tc>
        <w:tc>
          <w:tcPr>
            <w:tcW w:w="1256" w:type="dxa"/>
            <w:shd w:val="clear" w:color="auto" w:fill="auto"/>
            <w:vAlign w:val="center"/>
          </w:tcPr>
          <w:p w14:paraId="32DCCFD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BFFAF0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2033-2035</w:t>
            </w:r>
          </w:p>
        </w:tc>
        <w:tc>
          <w:tcPr>
            <w:tcW w:w="911" w:type="dxa"/>
            <w:shd w:val="clear" w:color="auto" w:fill="auto"/>
            <w:vAlign w:val="center"/>
          </w:tcPr>
          <w:p w14:paraId="0A7258E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E81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8DB82B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10</w:t>
            </w:r>
          </w:p>
        </w:tc>
        <w:tc>
          <w:tcPr>
            <w:tcW w:w="1035" w:type="dxa"/>
            <w:vMerge w:val="continue"/>
            <w:vAlign w:val="center"/>
          </w:tcPr>
          <w:p w14:paraId="0BE0580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D1F8D9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万州电网与国网220千伏联网线路工程</w:t>
            </w:r>
          </w:p>
        </w:tc>
        <w:tc>
          <w:tcPr>
            <w:tcW w:w="1854" w:type="dxa"/>
            <w:shd w:val="clear" w:color="auto" w:fill="auto"/>
            <w:vAlign w:val="center"/>
          </w:tcPr>
          <w:p w14:paraId="1D3D5CF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甘宁镇、高峰街道</w:t>
            </w:r>
          </w:p>
        </w:tc>
        <w:tc>
          <w:tcPr>
            <w:tcW w:w="4849" w:type="dxa"/>
            <w:shd w:val="clear" w:color="auto" w:fill="auto"/>
            <w:vAlign w:val="center"/>
          </w:tcPr>
          <w:p w14:paraId="48D79AD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新建220千伏线路廊道长度2×12.2千米。</w:t>
            </w:r>
          </w:p>
        </w:tc>
        <w:tc>
          <w:tcPr>
            <w:tcW w:w="1256" w:type="dxa"/>
            <w:shd w:val="clear" w:color="auto" w:fill="auto"/>
            <w:vAlign w:val="center"/>
          </w:tcPr>
          <w:p w14:paraId="35C75A5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288B9B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320EA0A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C35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6A7BA6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w:t>
            </w:r>
          </w:p>
        </w:tc>
        <w:tc>
          <w:tcPr>
            <w:tcW w:w="1035" w:type="dxa"/>
            <w:vMerge w:val="continue"/>
            <w:vAlign w:val="center"/>
          </w:tcPr>
          <w:p w14:paraId="4738D33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339B1E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董家变至新田变220千伏线路工程</w:t>
            </w:r>
          </w:p>
        </w:tc>
        <w:tc>
          <w:tcPr>
            <w:tcW w:w="1854" w:type="dxa"/>
            <w:shd w:val="clear" w:color="auto" w:fill="auto"/>
            <w:vAlign w:val="center"/>
          </w:tcPr>
          <w:p w14:paraId="493670C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熊家镇、大周镇、太龙镇、长岭镇、新田镇</w:t>
            </w:r>
          </w:p>
        </w:tc>
        <w:tc>
          <w:tcPr>
            <w:tcW w:w="4849" w:type="dxa"/>
            <w:shd w:val="clear" w:color="auto" w:fill="auto"/>
            <w:vAlign w:val="center"/>
          </w:tcPr>
          <w:p w14:paraId="251CC10A">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新建220千伏线路廊道长度29.15千米。</w:t>
            </w:r>
          </w:p>
        </w:tc>
        <w:tc>
          <w:tcPr>
            <w:tcW w:w="1256" w:type="dxa"/>
            <w:shd w:val="clear" w:color="auto" w:fill="auto"/>
            <w:vAlign w:val="center"/>
          </w:tcPr>
          <w:p w14:paraId="704C6B4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BDCEC2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2025-2029</w:t>
            </w:r>
          </w:p>
        </w:tc>
        <w:tc>
          <w:tcPr>
            <w:tcW w:w="911" w:type="dxa"/>
            <w:shd w:val="clear" w:color="auto" w:fill="auto"/>
            <w:vAlign w:val="center"/>
          </w:tcPr>
          <w:p w14:paraId="3E0701E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992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83C821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12</w:t>
            </w:r>
          </w:p>
        </w:tc>
        <w:tc>
          <w:tcPr>
            <w:tcW w:w="1035" w:type="dxa"/>
            <w:vMerge w:val="continue"/>
            <w:vAlign w:val="center"/>
          </w:tcPr>
          <w:p w14:paraId="227B2E73">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299095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高梁—万州（国网万州500千伏变电站）220千伏输电线路新建工程</w:t>
            </w:r>
          </w:p>
        </w:tc>
        <w:tc>
          <w:tcPr>
            <w:tcW w:w="1854" w:type="dxa"/>
            <w:shd w:val="clear" w:color="auto" w:fill="auto"/>
            <w:vAlign w:val="center"/>
          </w:tcPr>
          <w:p w14:paraId="0C062EB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高梁镇、李河镇</w:t>
            </w:r>
          </w:p>
        </w:tc>
        <w:tc>
          <w:tcPr>
            <w:tcW w:w="4849" w:type="dxa"/>
            <w:shd w:val="clear" w:color="auto" w:fill="auto"/>
            <w:vAlign w:val="center"/>
          </w:tcPr>
          <w:p w14:paraId="6C18E1C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新建220千伏线路廊道长度2×4千米。</w:t>
            </w:r>
          </w:p>
        </w:tc>
        <w:tc>
          <w:tcPr>
            <w:tcW w:w="1256" w:type="dxa"/>
            <w:shd w:val="clear" w:color="auto" w:fill="auto"/>
            <w:vAlign w:val="center"/>
          </w:tcPr>
          <w:p w14:paraId="29DACEB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FCDE34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6EFEC2E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C99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745D79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13</w:t>
            </w:r>
          </w:p>
        </w:tc>
        <w:tc>
          <w:tcPr>
            <w:tcW w:w="1035" w:type="dxa"/>
            <w:vMerge w:val="continue"/>
            <w:vAlign w:val="center"/>
          </w:tcPr>
          <w:p w14:paraId="3DD79CE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8A2792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万州董家—镇泉二回线路工程</w:t>
            </w:r>
          </w:p>
        </w:tc>
        <w:tc>
          <w:tcPr>
            <w:tcW w:w="1854" w:type="dxa"/>
            <w:shd w:val="clear" w:color="auto" w:fill="auto"/>
            <w:vAlign w:val="center"/>
          </w:tcPr>
          <w:p w14:paraId="28EFC49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熊家镇、小周镇、大周镇</w:t>
            </w:r>
          </w:p>
        </w:tc>
        <w:tc>
          <w:tcPr>
            <w:tcW w:w="4849" w:type="dxa"/>
            <w:shd w:val="clear" w:color="auto" w:fill="auto"/>
            <w:vAlign w:val="center"/>
          </w:tcPr>
          <w:p w14:paraId="65A3A3E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新建220千伏线路廊道长度153千米（万州区域内15.689千米）。</w:t>
            </w:r>
          </w:p>
        </w:tc>
        <w:tc>
          <w:tcPr>
            <w:tcW w:w="1256" w:type="dxa"/>
            <w:shd w:val="clear" w:color="auto" w:fill="auto"/>
            <w:vAlign w:val="center"/>
          </w:tcPr>
          <w:p w14:paraId="2AAA3E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87AE1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2024-2030</w:t>
            </w:r>
          </w:p>
        </w:tc>
        <w:tc>
          <w:tcPr>
            <w:tcW w:w="911" w:type="dxa"/>
            <w:shd w:val="clear" w:color="auto" w:fill="auto"/>
            <w:vAlign w:val="center"/>
          </w:tcPr>
          <w:p w14:paraId="4E56939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A8C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F423E7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14</w:t>
            </w:r>
          </w:p>
        </w:tc>
        <w:tc>
          <w:tcPr>
            <w:tcW w:w="1035" w:type="dxa"/>
            <w:vMerge w:val="continue"/>
            <w:vAlign w:val="center"/>
          </w:tcPr>
          <w:p w14:paraId="401F1563">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3C5622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高梁～新田220千伏输电线路新建工程</w:t>
            </w:r>
          </w:p>
        </w:tc>
        <w:tc>
          <w:tcPr>
            <w:tcW w:w="1854" w:type="dxa"/>
            <w:shd w:val="clear" w:color="auto" w:fill="auto"/>
            <w:vAlign w:val="center"/>
          </w:tcPr>
          <w:p w14:paraId="7196680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新田镇、龙都街道、高峰街道、甘宁镇、柱山乡、高梁镇</w:t>
            </w:r>
          </w:p>
        </w:tc>
        <w:tc>
          <w:tcPr>
            <w:tcW w:w="4849" w:type="dxa"/>
            <w:shd w:val="clear" w:color="auto" w:fill="auto"/>
            <w:vAlign w:val="center"/>
          </w:tcPr>
          <w:p w14:paraId="30BD4567">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新建高梁</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相思</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新田220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线路，同塔双回LGJ-2×400架设，长度约2×42.38</w:t>
            </w:r>
            <w:r>
              <w:rPr>
                <w:rFonts w:hint="eastAsia" w:ascii="Times New Roman" w:hAnsi="Times New Roman" w:eastAsia="方正仿宋_GBK"/>
                <w:kern w:val="0"/>
                <w:szCs w:val="21"/>
                <w:lang w:eastAsia="zh-CN"/>
              </w:rPr>
              <w:t>千米</w:t>
            </w:r>
            <w:r>
              <w:rPr>
                <w:rFonts w:hint="eastAsia" w:ascii="Times New Roman" w:hAnsi="Times New Roman" w:eastAsia="方正仿宋_GBK"/>
                <w:kern w:val="0"/>
                <w:szCs w:val="21"/>
              </w:rPr>
              <w:t>。</w:t>
            </w:r>
          </w:p>
        </w:tc>
        <w:tc>
          <w:tcPr>
            <w:tcW w:w="1256" w:type="dxa"/>
            <w:shd w:val="clear" w:color="auto" w:fill="auto"/>
            <w:vAlign w:val="center"/>
          </w:tcPr>
          <w:p w14:paraId="42D4971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CE4FE6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5D71A9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896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4BC88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15</w:t>
            </w:r>
          </w:p>
        </w:tc>
        <w:tc>
          <w:tcPr>
            <w:tcW w:w="1035" w:type="dxa"/>
            <w:vMerge w:val="continue"/>
            <w:vAlign w:val="center"/>
          </w:tcPr>
          <w:p w14:paraId="4A5BCEA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1F4B79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重庆万州燃机220千伏送出工程</w:t>
            </w:r>
          </w:p>
        </w:tc>
        <w:tc>
          <w:tcPr>
            <w:tcW w:w="1854" w:type="dxa"/>
            <w:shd w:val="clear" w:color="auto" w:fill="auto"/>
            <w:vAlign w:val="center"/>
          </w:tcPr>
          <w:p w14:paraId="39B666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高峰街道、甘宁镇、柱山乡</w:t>
            </w:r>
          </w:p>
        </w:tc>
        <w:tc>
          <w:tcPr>
            <w:tcW w:w="4849" w:type="dxa"/>
            <w:shd w:val="clear" w:color="auto" w:fill="auto"/>
            <w:vAlign w:val="center"/>
          </w:tcPr>
          <w:p w14:paraId="38CD7B9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新建220千伏北线和南线线路廊道长度24.34千米。</w:t>
            </w:r>
          </w:p>
        </w:tc>
        <w:tc>
          <w:tcPr>
            <w:tcW w:w="1256" w:type="dxa"/>
            <w:shd w:val="clear" w:color="auto" w:fill="auto"/>
            <w:vAlign w:val="center"/>
          </w:tcPr>
          <w:p w14:paraId="1B335C6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1F646B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15BEFA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CAF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D548D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16</w:t>
            </w:r>
          </w:p>
        </w:tc>
        <w:tc>
          <w:tcPr>
            <w:tcW w:w="1035" w:type="dxa"/>
            <w:vMerge w:val="restart"/>
            <w:shd w:val="clear" w:color="auto" w:fill="auto"/>
            <w:vAlign w:val="center"/>
          </w:tcPr>
          <w:p w14:paraId="1D6A7E05">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110</w:t>
            </w:r>
            <w:r>
              <w:rPr>
                <w:rFonts w:hint="eastAsia" w:ascii="Times New Roman" w:hAnsi="Times New Roman" w:eastAsia="方正仿宋_GBK"/>
                <w:kern w:val="0"/>
                <w:szCs w:val="21"/>
                <w:lang w:eastAsia="zh-CN"/>
              </w:rPr>
              <w:t>千伏</w:t>
            </w:r>
          </w:p>
        </w:tc>
        <w:tc>
          <w:tcPr>
            <w:tcW w:w="2692" w:type="dxa"/>
            <w:shd w:val="clear" w:color="auto" w:fill="auto"/>
            <w:vAlign w:val="center"/>
          </w:tcPr>
          <w:p w14:paraId="1D61B09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重庆万州宝塔110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565E12CF">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highlight w:val="none"/>
                <w:lang w:eastAsia="zh-CN"/>
              </w:rPr>
              <w:t>陈家坝街道</w:t>
            </w:r>
          </w:p>
        </w:tc>
        <w:tc>
          <w:tcPr>
            <w:tcW w:w="4849" w:type="dxa"/>
            <w:shd w:val="clear" w:color="auto" w:fill="auto"/>
            <w:vAlign w:val="center"/>
          </w:tcPr>
          <w:p w14:paraId="7929239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新建110千伏变电站1座，终期3台50兆伏安主变，本期按2台31.5兆伏安建设，配套建设110千伏廊道长度8.15千米。</w:t>
            </w:r>
          </w:p>
        </w:tc>
        <w:tc>
          <w:tcPr>
            <w:tcW w:w="1256" w:type="dxa"/>
            <w:shd w:val="clear" w:color="auto" w:fill="auto"/>
            <w:vAlign w:val="center"/>
          </w:tcPr>
          <w:p w14:paraId="359DF41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38B1DA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DB4AEF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C19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9E0EBD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17</w:t>
            </w:r>
          </w:p>
        </w:tc>
        <w:tc>
          <w:tcPr>
            <w:tcW w:w="1035" w:type="dxa"/>
            <w:vMerge w:val="continue"/>
            <w:vAlign w:val="center"/>
          </w:tcPr>
          <w:p w14:paraId="615C7C7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6C60E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重庆万州水库110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5C65E3BB">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高峰</w:t>
            </w:r>
            <w:r>
              <w:rPr>
                <w:rFonts w:hint="eastAsia" w:ascii="Times New Roman" w:hAnsi="Times New Roman" w:eastAsia="方正仿宋_GBK"/>
                <w:kern w:val="0"/>
                <w:szCs w:val="21"/>
                <w:lang w:eastAsia="zh-CN"/>
              </w:rPr>
              <w:t>街道</w:t>
            </w:r>
            <w:r>
              <w:rPr>
                <w:rFonts w:hint="eastAsia" w:ascii="Times New Roman" w:hAnsi="Times New Roman" w:eastAsia="方正仿宋_GBK"/>
                <w:kern w:val="0"/>
                <w:szCs w:val="21"/>
              </w:rPr>
              <w:t>双场</w:t>
            </w:r>
            <w:r>
              <w:rPr>
                <w:rFonts w:hint="eastAsia" w:ascii="Times New Roman" w:hAnsi="Times New Roman" w:eastAsia="方正仿宋_GBK"/>
                <w:kern w:val="0"/>
                <w:szCs w:val="21"/>
                <w:lang w:eastAsia="zh-CN"/>
              </w:rPr>
              <w:t>社区</w:t>
            </w:r>
          </w:p>
        </w:tc>
        <w:tc>
          <w:tcPr>
            <w:tcW w:w="4849" w:type="dxa"/>
            <w:shd w:val="clear" w:color="auto" w:fill="auto"/>
            <w:vAlign w:val="center"/>
          </w:tcPr>
          <w:p w14:paraId="5B4C796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新建110千伏变电站1座，终期3台50兆伏安主变，本期2台50兆伏安主变，配套建设110千伏廊道长度2×7.356千米。</w:t>
            </w:r>
          </w:p>
        </w:tc>
        <w:tc>
          <w:tcPr>
            <w:tcW w:w="1256" w:type="dxa"/>
            <w:shd w:val="clear" w:color="auto" w:fill="auto"/>
            <w:vAlign w:val="center"/>
          </w:tcPr>
          <w:p w14:paraId="7C575CC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B86EB1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370BBB2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94F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24B33C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18</w:t>
            </w:r>
          </w:p>
        </w:tc>
        <w:tc>
          <w:tcPr>
            <w:tcW w:w="1035" w:type="dxa"/>
            <w:vMerge w:val="continue"/>
            <w:vAlign w:val="center"/>
          </w:tcPr>
          <w:p w14:paraId="0ACA99A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AB238B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重庆万州沱口110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326B6527">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highlight w:val="none"/>
                <w:lang w:eastAsia="zh-CN"/>
              </w:rPr>
              <w:t>陈家坝街道</w:t>
            </w:r>
          </w:p>
        </w:tc>
        <w:tc>
          <w:tcPr>
            <w:tcW w:w="4849" w:type="dxa"/>
            <w:shd w:val="clear" w:color="auto" w:fill="auto"/>
            <w:vAlign w:val="center"/>
          </w:tcPr>
          <w:p w14:paraId="302B9C1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新建110千伏变电站1座，终期2台31.5兆伏安主变，配套建设110千伏廊道长度2×6.486千米。</w:t>
            </w:r>
          </w:p>
        </w:tc>
        <w:tc>
          <w:tcPr>
            <w:tcW w:w="1256" w:type="dxa"/>
            <w:shd w:val="clear" w:color="auto" w:fill="auto"/>
            <w:vAlign w:val="center"/>
          </w:tcPr>
          <w:p w14:paraId="74CABE7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332E97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63FD819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E3C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23109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19</w:t>
            </w:r>
          </w:p>
        </w:tc>
        <w:tc>
          <w:tcPr>
            <w:tcW w:w="1035" w:type="dxa"/>
            <w:vMerge w:val="continue"/>
            <w:vAlign w:val="center"/>
          </w:tcPr>
          <w:p w14:paraId="1645DDD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CE0F84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重庆万州双河110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4EEED9D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双河口街道</w:t>
            </w:r>
          </w:p>
        </w:tc>
        <w:tc>
          <w:tcPr>
            <w:tcW w:w="4849" w:type="dxa"/>
            <w:shd w:val="clear" w:color="auto" w:fill="auto"/>
            <w:vAlign w:val="center"/>
          </w:tcPr>
          <w:p w14:paraId="5939650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新建110千伏变电站1座，终期2台50兆伏安主变，配套建设110千伏廊道长度1.929千米。</w:t>
            </w:r>
          </w:p>
        </w:tc>
        <w:tc>
          <w:tcPr>
            <w:tcW w:w="1256" w:type="dxa"/>
            <w:shd w:val="clear" w:color="auto" w:fill="auto"/>
            <w:vAlign w:val="center"/>
          </w:tcPr>
          <w:p w14:paraId="1A4C801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DDE689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3A0B31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A3D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F99C74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w:t>
            </w:r>
          </w:p>
        </w:tc>
        <w:tc>
          <w:tcPr>
            <w:tcW w:w="1035" w:type="dxa"/>
            <w:vMerge w:val="continue"/>
            <w:vAlign w:val="center"/>
          </w:tcPr>
          <w:p w14:paraId="6A0E14E2">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7DD151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重庆万州桐子110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79BD982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万州经开区</w:t>
            </w:r>
            <w:r>
              <w:rPr>
                <w:rFonts w:hint="eastAsia" w:ascii="Times New Roman" w:hAnsi="Times New Roman" w:eastAsia="方正仿宋_GBK"/>
                <w:kern w:val="0"/>
                <w:szCs w:val="21"/>
              </w:rPr>
              <w:t>九龙园</w:t>
            </w:r>
          </w:p>
        </w:tc>
        <w:tc>
          <w:tcPr>
            <w:tcW w:w="4849" w:type="dxa"/>
            <w:shd w:val="clear" w:color="auto" w:fill="auto"/>
            <w:vAlign w:val="center"/>
          </w:tcPr>
          <w:p w14:paraId="0685AF4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新建110千伏变电站1座，终期2台50兆伏安主变，配套建设110千伏廊道长度2×7.0925千米。</w:t>
            </w:r>
          </w:p>
        </w:tc>
        <w:tc>
          <w:tcPr>
            <w:tcW w:w="1256" w:type="dxa"/>
            <w:shd w:val="clear" w:color="auto" w:fill="auto"/>
            <w:vAlign w:val="center"/>
          </w:tcPr>
          <w:p w14:paraId="7957481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CB2712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71F75DF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8E8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67BD02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21</w:t>
            </w:r>
          </w:p>
        </w:tc>
        <w:tc>
          <w:tcPr>
            <w:tcW w:w="1035" w:type="dxa"/>
            <w:vMerge w:val="continue"/>
            <w:vAlign w:val="center"/>
          </w:tcPr>
          <w:p w14:paraId="13C0753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F1F5FD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重庆万州石堰桥110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2B022488">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高峰</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02D3515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新建110千伏变电站1座，终期2台50兆伏安主变，配套建设110千伏廊道长度2×2.1995千米。</w:t>
            </w:r>
          </w:p>
        </w:tc>
        <w:tc>
          <w:tcPr>
            <w:tcW w:w="1256" w:type="dxa"/>
            <w:shd w:val="clear" w:color="auto" w:fill="auto"/>
            <w:vAlign w:val="center"/>
          </w:tcPr>
          <w:p w14:paraId="4A6654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83F0B8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59FCA95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58F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EC7C58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22</w:t>
            </w:r>
          </w:p>
        </w:tc>
        <w:tc>
          <w:tcPr>
            <w:tcW w:w="1035" w:type="dxa"/>
            <w:vMerge w:val="continue"/>
            <w:vAlign w:val="center"/>
          </w:tcPr>
          <w:p w14:paraId="1489B75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8C20F4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重庆万州呤水110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5461828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w:t>
            </w:r>
            <w:r>
              <w:rPr>
                <w:rFonts w:hint="eastAsia" w:ascii="Times New Roman" w:hAnsi="Times New Roman" w:eastAsia="方正仿宋_GBK"/>
                <w:kern w:val="0"/>
                <w:szCs w:val="21"/>
                <w:lang w:eastAsia="zh-CN"/>
              </w:rPr>
              <w:t>街道</w:t>
            </w:r>
            <w:r>
              <w:rPr>
                <w:rFonts w:hint="eastAsia" w:ascii="Times New Roman" w:hAnsi="Times New Roman" w:eastAsia="方正仿宋_GBK"/>
                <w:kern w:val="0"/>
                <w:szCs w:val="21"/>
              </w:rPr>
              <w:t>呤水村</w:t>
            </w:r>
          </w:p>
        </w:tc>
        <w:tc>
          <w:tcPr>
            <w:tcW w:w="4849" w:type="dxa"/>
            <w:shd w:val="clear" w:color="auto" w:fill="auto"/>
            <w:vAlign w:val="center"/>
          </w:tcPr>
          <w:p w14:paraId="6AAA8C9B">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新建110千伏变电站1座，终期2台50兆伏安主变，配套建设110千伏廊道长度2×0.8475千米。</w:t>
            </w:r>
          </w:p>
        </w:tc>
        <w:tc>
          <w:tcPr>
            <w:tcW w:w="1256" w:type="dxa"/>
            <w:shd w:val="clear" w:color="auto" w:fill="auto"/>
            <w:vAlign w:val="center"/>
          </w:tcPr>
          <w:p w14:paraId="4B95FC0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9C55E7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2034-2035</w:t>
            </w:r>
          </w:p>
        </w:tc>
        <w:tc>
          <w:tcPr>
            <w:tcW w:w="911" w:type="dxa"/>
            <w:shd w:val="clear" w:color="auto" w:fill="auto"/>
            <w:vAlign w:val="center"/>
          </w:tcPr>
          <w:p w14:paraId="7252EC7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ED0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48E13B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23</w:t>
            </w:r>
          </w:p>
        </w:tc>
        <w:tc>
          <w:tcPr>
            <w:tcW w:w="1035" w:type="dxa"/>
            <w:vMerge w:val="continue"/>
            <w:vAlign w:val="center"/>
          </w:tcPr>
          <w:p w14:paraId="4038504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8142E6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重庆万州万全110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5D5335E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双河口街道</w:t>
            </w:r>
          </w:p>
        </w:tc>
        <w:tc>
          <w:tcPr>
            <w:tcW w:w="4849" w:type="dxa"/>
            <w:shd w:val="clear" w:color="auto" w:fill="auto"/>
            <w:vAlign w:val="center"/>
          </w:tcPr>
          <w:p w14:paraId="701302F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新建110千伏变电站1座，终期2台50兆伏安主变，配套建设110千伏廊道长度2×3.497千米。</w:t>
            </w:r>
          </w:p>
        </w:tc>
        <w:tc>
          <w:tcPr>
            <w:tcW w:w="1256" w:type="dxa"/>
            <w:shd w:val="clear" w:color="auto" w:fill="auto"/>
            <w:vAlign w:val="center"/>
          </w:tcPr>
          <w:p w14:paraId="09AA75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72381A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6DB468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E52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F4E0B0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24</w:t>
            </w:r>
          </w:p>
        </w:tc>
        <w:tc>
          <w:tcPr>
            <w:tcW w:w="1035" w:type="dxa"/>
            <w:vMerge w:val="continue"/>
            <w:vAlign w:val="center"/>
          </w:tcPr>
          <w:p w14:paraId="67B769ED">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13047D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重庆万州密西沟110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4FFA27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lang w:eastAsia="zh-CN"/>
              </w:rPr>
              <w:t>陈家坝街道</w:t>
            </w:r>
          </w:p>
        </w:tc>
        <w:tc>
          <w:tcPr>
            <w:tcW w:w="4849" w:type="dxa"/>
            <w:shd w:val="clear" w:color="auto" w:fill="auto"/>
            <w:vAlign w:val="center"/>
          </w:tcPr>
          <w:p w14:paraId="292F98FB">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新建110千伏变电站1座，终期2台31.5兆伏安主变，配套建设110千伏廊道长度41.138千米。</w:t>
            </w:r>
          </w:p>
        </w:tc>
        <w:tc>
          <w:tcPr>
            <w:tcW w:w="1256" w:type="dxa"/>
            <w:shd w:val="clear" w:color="auto" w:fill="auto"/>
            <w:vAlign w:val="center"/>
          </w:tcPr>
          <w:p w14:paraId="3771440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79619A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6EA71EA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740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08B19D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25</w:t>
            </w:r>
          </w:p>
        </w:tc>
        <w:tc>
          <w:tcPr>
            <w:tcW w:w="1035" w:type="dxa"/>
            <w:vMerge w:val="continue"/>
            <w:vAlign w:val="center"/>
          </w:tcPr>
          <w:p w14:paraId="17A0F0D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FD82D1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重庆万州玉乐110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3B338ED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万州经开区</w:t>
            </w:r>
            <w:r>
              <w:rPr>
                <w:rFonts w:hint="eastAsia" w:ascii="Times New Roman" w:hAnsi="Times New Roman" w:eastAsia="方正仿宋_GBK"/>
                <w:kern w:val="0"/>
                <w:szCs w:val="21"/>
              </w:rPr>
              <w:t>高峰园</w:t>
            </w:r>
          </w:p>
        </w:tc>
        <w:tc>
          <w:tcPr>
            <w:tcW w:w="4849" w:type="dxa"/>
            <w:shd w:val="clear" w:color="auto" w:fill="auto"/>
            <w:vAlign w:val="center"/>
          </w:tcPr>
          <w:p w14:paraId="4F70974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新建110千伏变电站1座，终期2台50兆伏安主变，配套建设110千伏廊道长度2×4.59857千米。</w:t>
            </w:r>
          </w:p>
        </w:tc>
        <w:tc>
          <w:tcPr>
            <w:tcW w:w="1256" w:type="dxa"/>
            <w:shd w:val="clear" w:color="auto" w:fill="auto"/>
            <w:vAlign w:val="center"/>
          </w:tcPr>
          <w:p w14:paraId="47C6CAA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AFCB90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2D08666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E84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6ACCAE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26</w:t>
            </w:r>
          </w:p>
        </w:tc>
        <w:tc>
          <w:tcPr>
            <w:tcW w:w="1035" w:type="dxa"/>
            <w:vMerge w:val="continue"/>
            <w:vAlign w:val="center"/>
          </w:tcPr>
          <w:p w14:paraId="7C89211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8E0A4E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戴家岩110千伏输变电新建工程（变电部分）</w:t>
            </w:r>
          </w:p>
        </w:tc>
        <w:tc>
          <w:tcPr>
            <w:tcW w:w="1854" w:type="dxa"/>
            <w:shd w:val="clear" w:color="auto" w:fill="auto"/>
            <w:vAlign w:val="center"/>
          </w:tcPr>
          <w:p w14:paraId="43BF7C8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九池街道</w:t>
            </w:r>
          </w:p>
        </w:tc>
        <w:tc>
          <w:tcPr>
            <w:tcW w:w="4849" w:type="dxa"/>
            <w:shd w:val="clear" w:color="auto" w:fill="auto"/>
            <w:vAlign w:val="center"/>
          </w:tcPr>
          <w:p w14:paraId="1236CEA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新建110千伏变电站1座，本期50MVA，终期2×50MVA，配套建设110千伏廊道长度0.38千米。</w:t>
            </w:r>
          </w:p>
        </w:tc>
        <w:tc>
          <w:tcPr>
            <w:tcW w:w="1256" w:type="dxa"/>
            <w:shd w:val="clear" w:color="auto" w:fill="auto"/>
            <w:vAlign w:val="center"/>
          </w:tcPr>
          <w:p w14:paraId="325E04C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0E0CF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A4C29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93A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D260D2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27</w:t>
            </w:r>
          </w:p>
        </w:tc>
        <w:tc>
          <w:tcPr>
            <w:tcW w:w="1035" w:type="dxa"/>
            <w:vMerge w:val="continue"/>
            <w:vAlign w:val="center"/>
          </w:tcPr>
          <w:p w14:paraId="383ECC4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DA6E2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恒合110千伏输变电新建工程（变电部分）</w:t>
            </w:r>
          </w:p>
        </w:tc>
        <w:tc>
          <w:tcPr>
            <w:tcW w:w="1854" w:type="dxa"/>
            <w:shd w:val="clear" w:color="auto" w:fill="auto"/>
            <w:vAlign w:val="center"/>
          </w:tcPr>
          <w:p w14:paraId="71EB402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恒合</w:t>
            </w:r>
            <w:r>
              <w:rPr>
                <w:rFonts w:hint="eastAsia" w:ascii="Times New Roman" w:hAnsi="Times New Roman" w:eastAsia="方正仿宋_GBK"/>
                <w:kern w:val="0"/>
                <w:szCs w:val="21"/>
                <w:lang w:eastAsia="zh-CN"/>
              </w:rPr>
              <w:t>土家族</w:t>
            </w:r>
            <w:r>
              <w:rPr>
                <w:rFonts w:hint="eastAsia" w:ascii="Times New Roman" w:hAnsi="Times New Roman" w:eastAsia="方正仿宋_GBK"/>
                <w:kern w:val="0"/>
                <w:szCs w:val="21"/>
              </w:rPr>
              <w:t>乡</w:t>
            </w:r>
          </w:p>
        </w:tc>
        <w:tc>
          <w:tcPr>
            <w:tcW w:w="4849" w:type="dxa"/>
            <w:shd w:val="clear" w:color="auto" w:fill="auto"/>
            <w:vAlign w:val="center"/>
          </w:tcPr>
          <w:p w14:paraId="04BED0F1">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新建110千伏变电站1座，变电容量16MVA，配套建设110千伏廊道长度6.27千米。</w:t>
            </w:r>
          </w:p>
        </w:tc>
        <w:tc>
          <w:tcPr>
            <w:tcW w:w="1256" w:type="dxa"/>
            <w:shd w:val="clear" w:color="auto" w:fill="auto"/>
            <w:vAlign w:val="center"/>
          </w:tcPr>
          <w:p w14:paraId="5E0B253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63955C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31AA6DB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27B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9FCE1D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28</w:t>
            </w:r>
          </w:p>
        </w:tc>
        <w:tc>
          <w:tcPr>
            <w:tcW w:w="1035" w:type="dxa"/>
            <w:vMerge w:val="continue"/>
            <w:vAlign w:val="center"/>
          </w:tcPr>
          <w:p w14:paraId="2288FA5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FA7A6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光明110千伏变电站新建工程</w:t>
            </w:r>
          </w:p>
        </w:tc>
        <w:tc>
          <w:tcPr>
            <w:tcW w:w="1854" w:type="dxa"/>
            <w:shd w:val="clear" w:color="auto" w:fill="auto"/>
            <w:vAlign w:val="center"/>
          </w:tcPr>
          <w:p w14:paraId="4EC1167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天城街道</w:t>
            </w:r>
          </w:p>
        </w:tc>
        <w:tc>
          <w:tcPr>
            <w:tcW w:w="4849" w:type="dxa"/>
            <w:shd w:val="clear" w:color="auto" w:fill="auto"/>
            <w:vAlign w:val="center"/>
          </w:tcPr>
          <w:p w14:paraId="0289DC7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新建110千伏变电站1座，主变终期容量3×50MVA，本期1×50MVA。</w:t>
            </w:r>
          </w:p>
        </w:tc>
        <w:tc>
          <w:tcPr>
            <w:tcW w:w="1256" w:type="dxa"/>
            <w:shd w:val="clear" w:color="auto" w:fill="auto"/>
            <w:vAlign w:val="center"/>
          </w:tcPr>
          <w:p w14:paraId="3C8CCA9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A16556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269814B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CD8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0D9B1F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29</w:t>
            </w:r>
          </w:p>
        </w:tc>
        <w:tc>
          <w:tcPr>
            <w:tcW w:w="1035" w:type="dxa"/>
            <w:vMerge w:val="continue"/>
            <w:vAlign w:val="center"/>
          </w:tcPr>
          <w:p w14:paraId="377ADD93">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8E2511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百安坝110千伏输变电新建工程（变电部分）</w:t>
            </w:r>
          </w:p>
        </w:tc>
        <w:tc>
          <w:tcPr>
            <w:tcW w:w="1854" w:type="dxa"/>
            <w:shd w:val="clear" w:color="auto" w:fill="auto"/>
            <w:vAlign w:val="center"/>
          </w:tcPr>
          <w:p w14:paraId="750012C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五桥街道</w:t>
            </w:r>
          </w:p>
        </w:tc>
        <w:tc>
          <w:tcPr>
            <w:tcW w:w="4849" w:type="dxa"/>
            <w:shd w:val="clear" w:color="auto" w:fill="auto"/>
            <w:vAlign w:val="center"/>
          </w:tcPr>
          <w:p w14:paraId="76BAA02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新建110千伏变电站1座，拟建设规模2×50MVA，配套建设110千伏廊道长度0.29千米。</w:t>
            </w:r>
          </w:p>
        </w:tc>
        <w:tc>
          <w:tcPr>
            <w:tcW w:w="1256" w:type="dxa"/>
            <w:shd w:val="clear" w:color="auto" w:fill="auto"/>
            <w:vAlign w:val="center"/>
          </w:tcPr>
          <w:p w14:paraId="49E2452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B98D46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42F190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278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5CD5C9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30</w:t>
            </w:r>
          </w:p>
        </w:tc>
        <w:tc>
          <w:tcPr>
            <w:tcW w:w="1035" w:type="dxa"/>
            <w:vMerge w:val="continue"/>
            <w:vAlign w:val="center"/>
          </w:tcPr>
          <w:p w14:paraId="51E5AED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31CE6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长春110千伏输变电新建工程</w:t>
            </w:r>
          </w:p>
        </w:tc>
        <w:tc>
          <w:tcPr>
            <w:tcW w:w="1854" w:type="dxa"/>
            <w:shd w:val="clear" w:color="auto" w:fill="auto"/>
            <w:vAlign w:val="center"/>
          </w:tcPr>
          <w:p w14:paraId="2AE6E3D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高梁镇</w:t>
            </w:r>
          </w:p>
        </w:tc>
        <w:tc>
          <w:tcPr>
            <w:tcW w:w="4849" w:type="dxa"/>
            <w:shd w:val="clear" w:color="auto" w:fill="auto"/>
            <w:vAlign w:val="center"/>
          </w:tcPr>
          <w:p w14:paraId="66244CF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新建110千伏变电站1座，拟建设规模2×50MVA，配套建设35千伏廊道长度0.62千米、110千伏廊道长度5.63千米。</w:t>
            </w:r>
          </w:p>
        </w:tc>
        <w:tc>
          <w:tcPr>
            <w:tcW w:w="1256" w:type="dxa"/>
            <w:shd w:val="clear" w:color="auto" w:fill="auto"/>
            <w:vAlign w:val="center"/>
          </w:tcPr>
          <w:p w14:paraId="2697B73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58D1B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045028A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346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D61F11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31</w:t>
            </w:r>
          </w:p>
        </w:tc>
        <w:tc>
          <w:tcPr>
            <w:tcW w:w="1035" w:type="dxa"/>
            <w:vMerge w:val="continue"/>
            <w:vAlign w:val="center"/>
          </w:tcPr>
          <w:p w14:paraId="2F168D5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3A015E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万河110千伏输变电新建工程（变电部分）</w:t>
            </w:r>
          </w:p>
        </w:tc>
        <w:tc>
          <w:tcPr>
            <w:tcW w:w="1854" w:type="dxa"/>
            <w:shd w:val="clear" w:color="auto" w:fill="auto"/>
            <w:vAlign w:val="center"/>
          </w:tcPr>
          <w:p w14:paraId="1D2AA0B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天城街道</w:t>
            </w:r>
          </w:p>
        </w:tc>
        <w:tc>
          <w:tcPr>
            <w:tcW w:w="4849" w:type="dxa"/>
            <w:shd w:val="clear" w:color="auto" w:fill="auto"/>
            <w:vAlign w:val="center"/>
          </w:tcPr>
          <w:p w14:paraId="7060376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新建110千伏变电站1座，变电容量终期2×50MVA，本期1×50MVA。</w:t>
            </w:r>
          </w:p>
        </w:tc>
        <w:tc>
          <w:tcPr>
            <w:tcW w:w="1256" w:type="dxa"/>
            <w:shd w:val="clear" w:color="auto" w:fill="auto"/>
            <w:vAlign w:val="center"/>
          </w:tcPr>
          <w:p w14:paraId="66424DF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D33FB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2026-2030</w:t>
            </w:r>
          </w:p>
        </w:tc>
        <w:tc>
          <w:tcPr>
            <w:tcW w:w="911" w:type="dxa"/>
            <w:shd w:val="clear" w:color="auto" w:fill="auto"/>
            <w:vAlign w:val="center"/>
          </w:tcPr>
          <w:p w14:paraId="437B80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1D4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ED6C1C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32</w:t>
            </w:r>
          </w:p>
        </w:tc>
        <w:tc>
          <w:tcPr>
            <w:tcW w:w="1035" w:type="dxa"/>
            <w:vMerge w:val="continue"/>
            <w:vAlign w:val="center"/>
          </w:tcPr>
          <w:p w14:paraId="32CD340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A1E3F9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驸马110千伏输变电工程（变电部分）</w:t>
            </w:r>
          </w:p>
        </w:tc>
        <w:tc>
          <w:tcPr>
            <w:tcW w:w="1854" w:type="dxa"/>
            <w:shd w:val="clear" w:color="auto" w:fill="auto"/>
            <w:vAlign w:val="center"/>
          </w:tcPr>
          <w:p w14:paraId="5DCCC3F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钟鼓楼街道</w:t>
            </w:r>
          </w:p>
        </w:tc>
        <w:tc>
          <w:tcPr>
            <w:tcW w:w="4849" w:type="dxa"/>
            <w:shd w:val="clear" w:color="auto" w:fill="auto"/>
            <w:vAlign w:val="center"/>
          </w:tcPr>
          <w:p w14:paraId="2A739D5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新建110千伏变电站1座，变电容量终期2×50MVA，本期1×50MVA。</w:t>
            </w:r>
          </w:p>
        </w:tc>
        <w:tc>
          <w:tcPr>
            <w:tcW w:w="1256" w:type="dxa"/>
            <w:shd w:val="clear" w:color="auto" w:fill="auto"/>
            <w:vAlign w:val="center"/>
          </w:tcPr>
          <w:p w14:paraId="61ED097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723EFF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2025-2034</w:t>
            </w:r>
          </w:p>
        </w:tc>
        <w:tc>
          <w:tcPr>
            <w:tcW w:w="911" w:type="dxa"/>
            <w:shd w:val="clear" w:color="auto" w:fill="auto"/>
            <w:vAlign w:val="center"/>
          </w:tcPr>
          <w:p w14:paraId="7830062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54D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53764B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33</w:t>
            </w:r>
          </w:p>
        </w:tc>
        <w:tc>
          <w:tcPr>
            <w:tcW w:w="1035" w:type="dxa"/>
            <w:vMerge w:val="continue"/>
            <w:vAlign w:val="center"/>
          </w:tcPr>
          <w:p w14:paraId="21CEACD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D9A6C7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重岩110千伏变电站新建工程</w:t>
            </w:r>
          </w:p>
        </w:tc>
        <w:tc>
          <w:tcPr>
            <w:tcW w:w="1854" w:type="dxa"/>
            <w:shd w:val="clear" w:color="auto" w:fill="auto"/>
            <w:vAlign w:val="center"/>
          </w:tcPr>
          <w:p w14:paraId="5DB1F5E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甘宁镇</w:t>
            </w:r>
          </w:p>
        </w:tc>
        <w:tc>
          <w:tcPr>
            <w:tcW w:w="4849" w:type="dxa"/>
            <w:shd w:val="clear" w:color="auto" w:fill="auto"/>
            <w:vAlign w:val="center"/>
          </w:tcPr>
          <w:p w14:paraId="2C22B61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新建110千伏变电站1座，变电容量终期2×50MVA，本期1×50MVA。</w:t>
            </w:r>
          </w:p>
        </w:tc>
        <w:tc>
          <w:tcPr>
            <w:tcW w:w="1256" w:type="dxa"/>
            <w:shd w:val="clear" w:color="auto" w:fill="auto"/>
            <w:vAlign w:val="center"/>
          </w:tcPr>
          <w:p w14:paraId="7F2B4C7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4BECDD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2030-2035</w:t>
            </w:r>
          </w:p>
        </w:tc>
        <w:tc>
          <w:tcPr>
            <w:tcW w:w="911" w:type="dxa"/>
            <w:shd w:val="clear" w:color="auto" w:fill="auto"/>
            <w:vAlign w:val="center"/>
          </w:tcPr>
          <w:p w14:paraId="30BF9FC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2CF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AC1B73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34</w:t>
            </w:r>
          </w:p>
        </w:tc>
        <w:tc>
          <w:tcPr>
            <w:tcW w:w="1035" w:type="dxa"/>
            <w:vMerge w:val="continue"/>
            <w:vAlign w:val="center"/>
          </w:tcPr>
          <w:p w14:paraId="6C8980A9">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75EFD5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110千伏溪口变电站新建工程</w:t>
            </w:r>
          </w:p>
        </w:tc>
        <w:tc>
          <w:tcPr>
            <w:tcW w:w="1854" w:type="dxa"/>
            <w:shd w:val="clear" w:color="auto" w:fill="auto"/>
            <w:vAlign w:val="center"/>
          </w:tcPr>
          <w:p w14:paraId="280FEF1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溪口乡</w:t>
            </w:r>
          </w:p>
        </w:tc>
        <w:tc>
          <w:tcPr>
            <w:tcW w:w="4849" w:type="dxa"/>
            <w:shd w:val="clear" w:color="auto" w:fill="auto"/>
            <w:vAlign w:val="center"/>
          </w:tcPr>
          <w:p w14:paraId="0301B39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新建110千伏变电站1座，变电容量终期2×50MVA，本期1×50MVA。</w:t>
            </w:r>
          </w:p>
        </w:tc>
        <w:tc>
          <w:tcPr>
            <w:tcW w:w="1256" w:type="dxa"/>
            <w:shd w:val="clear" w:color="auto" w:fill="auto"/>
            <w:vAlign w:val="center"/>
          </w:tcPr>
          <w:p w14:paraId="0345B0E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B3FA7B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2030-2032</w:t>
            </w:r>
          </w:p>
        </w:tc>
        <w:tc>
          <w:tcPr>
            <w:tcW w:w="911" w:type="dxa"/>
            <w:shd w:val="clear" w:color="auto" w:fill="auto"/>
            <w:vAlign w:val="center"/>
          </w:tcPr>
          <w:p w14:paraId="010E66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9CB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28D415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35</w:t>
            </w:r>
          </w:p>
        </w:tc>
        <w:tc>
          <w:tcPr>
            <w:tcW w:w="1035" w:type="dxa"/>
            <w:vMerge w:val="continue"/>
            <w:vAlign w:val="center"/>
          </w:tcPr>
          <w:p w14:paraId="67A9BB2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5571DF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新田110千伏杨柳嘴开关站新建工程</w:t>
            </w:r>
          </w:p>
        </w:tc>
        <w:tc>
          <w:tcPr>
            <w:tcW w:w="1854" w:type="dxa"/>
            <w:shd w:val="clear" w:color="auto" w:fill="auto"/>
            <w:vAlign w:val="center"/>
          </w:tcPr>
          <w:p w14:paraId="2415D42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5A80FDA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新建110千伏开关站1座，110千伏间隔8个，配套建设110千伏廊道长度1.12千米。</w:t>
            </w:r>
          </w:p>
        </w:tc>
        <w:tc>
          <w:tcPr>
            <w:tcW w:w="1256" w:type="dxa"/>
            <w:shd w:val="clear" w:color="auto" w:fill="auto"/>
            <w:vAlign w:val="center"/>
          </w:tcPr>
          <w:p w14:paraId="633DFE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A190B7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7238B78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317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5A7528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36</w:t>
            </w:r>
          </w:p>
        </w:tc>
        <w:tc>
          <w:tcPr>
            <w:tcW w:w="1035" w:type="dxa"/>
            <w:vMerge w:val="continue"/>
            <w:vAlign w:val="center"/>
          </w:tcPr>
          <w:p w14:paraId="565BAA2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6C7D70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重庆万州新田光伏项目110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送出工程</w:t>
            </w:r>
          </w:p>
        </w:tc>
        <w:tc>
          <w:tcPr>
            <w:tcW w:w="1854" w:type="dxa"/>
            <w:shd w:val="clear" w:color="auto" w:fill="auto"/>
            <w:vAlign w:val="center"/>
          </w:tcPr>
          <w:p w14:paraId="3FAFD3C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52DCD91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新建110千伏廊道长度8.45千米。</w:t>
            </w:r>
          </w:p>
        </w:tc>
        <w:tc>
          <w:tcPr>
            <w:tcW w:w="1256" w:type="dxa"/>
            <w:shd w:val="clear" w:color="auto" w:fill="auto"/>
            <w:vAlign w:val="center"/>
          </w:tcPr>
          <w:p w14:paraId="47238EB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51C60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69095F5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建成</w:t>
            </w:r>
          </w:p>
        </w:tc>
      </w:tr>
      <w:tr w14:paraId="79AD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9BE612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37</w:t>
            </w:r>
          </w:p>
        </w:tc>
        <w:tc>
          <w:tcPr>
            <w:tcW w:w="1035" w:type="dxa"/>
            <w:vMerge w:val="continue"/>
            <w:vAlign w:val="center"/>
          </w:tcPr>
          <w:p w14:paraId="27E8A54D">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DFB08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重庆万州鹿鸣垭风电场110千伏送出工程</w:t>
            </w:r>
          </w:p>
        </w:tc>
        <w:tc>
          <w:tcPr>
            <w:tcW w:w="1854" w:type="dxa"/>
            <w:shd w:val="clear" w:color="auto" w:fill="auto"/>
            <w:vAlign w:val="center"/>
          </w:tcPr>
          <w:p w14:paraId="1010D90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w:t>
            </w:r>
            <w:r>
              <w:rPr>
                <w:rFonts w:hint="eastAsia" w:ascii="Times New Roman" w:hAnsi="Times New Roman" w:eastAsia="方正仿宋_GBK"/>
                <w:kern w:val="0"/>
                <w:szCs w:val="21"/>
                <w:lang w:eastAsia="zh-CN"/>
              </w:rPr>
              <w:t>合土家族</w:t>
            </w:r>
            <w:r>
              <w:rPr>
                <w:rFonts w:hint="eastAsia" w:ascii="Times New Roman" w:hAnsi="Times New Roman" w:eastAsia="方正仿宋_GBK"/>
                <w:kern w:val="0"/>
                <w:szCs w:val="21"/>
              </w:rPr>
              <w:t>乡、长滩</w:t>
            </w:r>
            <w:r>
              <w:rPr>
                <w:rFonts w:hint="eastAsia" w:ascii="Times New Roman" w:hAnsi="Times New Roman" w:eastAsia="方正仿宋_GBK"/>
                <w:kern w:val="0"/>
                <w:szCs w:val="21"/>
                <w:lang w:eastAsia="zh-CN"/>
              </w:rPr>
              <w:t>镇</w:t>
            </w:r>
            <w:r>
              <w:rPr>
                <w:rFonts w:hint="eastAsia" w:ascii="Times New Roman" w:hAnsi="Times New Roman" w:eastAsia="方正仿宋_GBK"/>
                <w:kern w:val="0"/>
                <w:szCs w:val="21"/>
              </w:rPr>
              <w:t>、长岭镇</w:t>
            </w:r>
          </w:p>
        </w:tc>
        <w:tc>
          <w:tcPr>
            <w:tcW w:w="4849" w:type="dxa"/>
            <w:shd w:val="clear" w:color="auto" w:fill="auto"/>
            <w:vAlign w:val="center"/>
          </w:tcPr>
          <w:p w14:paraId="11FC309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新建110千伏廊道长度46千米。</w:t>
            </w:r>
          </w:p>
        </w:tc>
        <w:tc>
          <w:tcPr>
            <w:tcW w:w="1256" w:type="dxa"/>
            <w:shd w:val="clear" w:color="auto" w:fill="auto"/>
            <w:vAlign w:val="center"/>
          </w:tcPr>
          <w:p w14:paraId="328CAD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635A5B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076DD61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8BB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6D7E2B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38</w:t>
            </w:r>
          </w:p>
        </w:tc>
        <w:tc>
          <w:tcPr>
            <w:tcW w:w="1035" w:type="dxa"/>
            <w:vMerge w:val="continue"/>
            <w:vAlign w:val="center"/>
          </w:tcPr>
          <w:p w14:paraId="766E116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9E8E3C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重庆万州李家坪风电场110千伏送出工程</w:t>
            </w:r>
          </w:p>
        </w:tc>
        <w:tc>
          <w:tcPr>
            <w:tcW w:w="1854" w:type="dxa"/>
            <w:shd w:val="clear" w:color="auto" w:fill="auto"/>
            <w:vAlign w:val="center"/>
          </w:tcPr>
          <w:p w14:paraId="7EDC51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新田镇、走马镇、溪口乡</w:t>
            </w:r>
          </w:p>
        </w:tc>
        <w:tc>
          <w:tcPr>
            <w:tcW w:w="4849" w:type="dxa"/>
            <w:shd w:val="clear" w:color="auto" w:fill="auto"/>
            <w:vAlign w:val="center"/>
          </w:tcPr>
          <w:p w14:paraId="6C6F265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新建110千伏廊道长度21千米。</w:t>
            </w:r>
          </w:p>
        </w:tc>
        <w:tc>
          <w:tcPr>
            <w:tcW w:w="1256" w:type="dxa"/>
            <w:shd w:val="clear" w:color="auto" w:fill="auto"/>
            <w:vAlign w:val="center"/>
          </w:tcPr>
          <w:p w14:paraId="7143B63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DC2902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3644088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ED9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9BDB41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39</w:t>
            </w:r>
          </w:p>
        </w:tc>
        <w:tc>
          <w:tcPr>
            <w:tcW w:w="1035" w:type="dxa"/>
            <w:vMerge w:val="continue"/>
            <w:vAlign w:val="center"/>
          </w:tcPr>
          <w:p w14:paraId="4F6F997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46CCF5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重庆万州220千伏桐坪站110千伏送出工程</w:t>
            </w:r>
          </w:p>
        </w:tc>
        <w:tc>
          <w:tcPr>
            <w:tcW w:w="1854" w:type="dxa"/>
            <w:shd w:val="clear" w:color="auto" w:fill="auto"/>
            <w:vAlign w:val="center"/>
          </w:tcPr>
          <w:p w14:paraId="7BDD38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甘宁镇桐坪村</w:t>
            </w:r>
          </w:p>
        </w:tc>
        <w:tc>
          <w:tcPr>
            <w:tcW w:w="4849" w:type="dxa"/>
            <w:shd w:val="clear" w:color="auto" w:fill="auto"/>
            <w:vAlign w:val="center"/>
          </w:tcPr>
          <w:p w14:paraId="1CDA39F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新建110千伏廊道长度6.705千米。</w:t>
            </w:r>
          </w:p>
        </w:tc>
        <w:tc>
          <w:tcPr>
            <w:tcW w:w="1256" w:type="dxa"/>
            <w:shd w:val="clear" w:color="auto" w:fill="auto"/>
            <w:vAlign w:val="center"/>
          </w:tcPr>
          <w:p w14:paraId="2AE420A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A68BED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20F06C9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318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9F6D8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40</w:t>
            </w:r>
          </w:p>
        </w:tc>
        <w:tc>
          <w:tcPr>
            <w:tcW w:w="1035" w:type="dxa"/>
            <w:vMerge w:val="continue"/>
            <w:vAlign w:val="center"/>
          </w:tcPr>
          <w:p w14:paraId="6539ED5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C0BE4E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重庆万州220千伏金明站110千伏送出工程</w:t>
            </w:r>
          </w:p>
        </w:tc>
        <w:tc>
          <w:tcPr>
            <w:tcW w:w="1854" w:type="dxa"/>
            <w:shd w:val="clear" w:color="auto" w:fill="auto"/>
            <w:vAlign w:val="center"/>
          </w:tcPr>
          <w:p w14:paraId="185BCEE6">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九池</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16FA77E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新建110千伏廊道长度18.12千米。</w:t>
            </w:r>
          </w:p>
        </w:tc>
        <w:tc>
          <w:tcPr>
            <w:tcW w:w="1256" w:type="dxa"/>
            <w:shd w:val="clear" w:color="auto" w:fill="auto"/>
            <w:vAlign w:val="center"/>
          </w:tcPr>
          <w:p w14:paraId="7580E16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98B94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6F4748C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549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E4B86C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41</w:t>
            </w:r>
          </w:p>
        </w:tc>
        <w:tc>
          <w:tcPr>
            <w:tcW w:w="1035" w:type="dxa"/>
            <w:vMerge w:val="continue"/>
            <w:vAlign w:val="center"/>
          </w:tcPr>
          <w:p w14:paraId="7EB107A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BE6A70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重庆万州220千伏高峰站至三正牵110千伏线路改接至分水站线路工程</w:t>
            </w:r>
          </w:p>
        </w:tc>
        <w:tc>
          <w:tcPr>
            <w:tcW w:w="1854" w:type="dxa"/>
            <w:shd w:val="clear" w:color="auto" w:fill="auto"/>
            <w:vAlign w:val="center"/>
          </w:tcPr>
          <w:p w14:paraId="3B05F6A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分水镇</w:t>
            </w:r>
          </w:p>
        </w:tc>
        <w:tc>
          <w:tcPr>
            <w:tcW w:w="4849" w:type="dxa"/>
            <w:shd w:val="clear" w:color="auto" w:fill="auto"/>
            <w:vAlign w:val="center"/>
          </w:tcPr>
          <w:p w14:paraId="5080200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新建110千伏廊道长度19.6375千米。</w:t>
            </w:r>
          </w:p>
        </w:tc>
        <w:tc>
          <w:tcPr>
            <w:tcW w:w="1256" w:type="dxa"/>
            <w:shd w:val="clear" w:color="auto" w:fill="auto"/>
            <w:vAlign w:val="center"/>
          </w:tcPr>
          <w:p w14:paraId="6D16DAB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E62A35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2029-2030</w:t>
            </w:r>
          </w:p>
        </w:tc>
        <w:tc>
          <w:tcPr>
            <w:tcW w:w="911" w:type="dxa"/>
            <w:shd w:val="clear" w:color="auto" w:fill="auto"/>
            <w:vAlign w:val="center"/>
          </w:tcPr>
          <w:p w14:paraId="10E967C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5AA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A0E206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42</w:t>
            </w:r>
          </w:p>
        </w:tc>
        <w:tc>
          <w:tcPr>
            <w:tcW w:w="1035" w:type="dxa"/>
            <w:vMerge w:val="continue"/>
            <w:vAlign w:val="center"/>
          </w:tcPr>
          <w:p w14:paraId="7E11103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CAA643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万州鹿鸣垭风电110千伏送出工程</w:t>
            </w:r>
          </w:p>
        </w:tc>
        <w:tc>
          <w:tcPr>
            <w:tcW w:w="1854" w:type="dxa"/>
            <w:shd w:val="clear" w:color="auto" w:fill="auto"/>
            <w:vAlign w:val="center"/>
          </w:tcPr>
          <w:p w14:paraId="64DAE85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恒合</w:t>
            </w:r>
            <w:r>
              <w:rPr>
                <w:rFonts w:hint="eastAsia" w:ascii="Times New Roman" w:hAnsi="Times New Roman" w:eastAsia="方正仿宋_GBK"/>
                <w:kern w:val="0"/>
                <w:szCs w:val="21"/>
                <w:lang w:eastAsia="zh-CN"/>
              </w:rPr>
              <w:t>土家族乡</w:t>
            </w:r>
            <w:r>
              <w:rPr>
                <w:rFonts w:hint="eastAsia" w:ascii="Times New Roman" w:hAnsi="Times New Roman" w:eastAsia="方正仿宋_GBK"/>
                <w:kern w:val="0"/>
                <w:szCs w:val="21"/>
              </w:rPr>
              <w:t>、龙驹镇、长滩镇、茨竹乡、长岭镇、新田镇</w:t>
            </w:r>
          </w:p>
        </w:tc>
        <w:tc>
          <w:tcPr>
            <w:tcW w:w="4849" w:type="dxa"/>
            <w:shd w:val="clear" w:color="auto" w:fill="auto"/>
            <w:vAlign w:val="center"/>
          </w:tcPr>
          <w:p w14:paraId="1C4643C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新建110千伏廊道长度35.54千米。</w:t>
            </w:r>
          </w:p>
        </w:tc>
        <w:tc>
          <w:tcPr>
            <w:tcW w:w="1256" w:type="dxa"/>
            <w:shd w:val="clear" w:color="auto" w:fill="auto"/>
            <w:vAlign w:val="center"/>
          </w:tcPr>
          <w:p w14:paraId="06B04E2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12D9FA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04D4D6C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3D0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7ABED4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43</w:t>
            </w:r>
          </w:p>
        </w:tc>
        <w:tc>
          <w:tcPr>
            <w:tcW w:w="1035" w:type="dxa"/>
            <w:vMerge w:val="continue"/>
            <w:vAlign w:val="center"/>
          </w:tcPr>
          <w:p w14:paraId="767C149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A472C7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110千伏三正输变电增容改造工程</w:t>
            </w:r>
          </w:p>
        </w:tc>
        <w:tc>
          <w:tcPr>
            <w:tcW w:w="1854" w:type="dxa"/>
            <w:shd w:val="clear" w:color="auto" w:fill="auto"/>
            <w:vAlign w:val="center"/>
          </w:tcPr>
          <w:p w14:paraId="209C8B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高梁镇、李河镇、分水镇</w:t>
            </w:r>
          </w:p>
        </w:tc>
        <w:tc>
          <w:tcPr>
            <w:tcW w:w="4849" w:type="dxa"/>
            <w:shd w:val="clear" w:color="auto" w:fill="auto"/>
            <w:vAlign w:val="center"/>
          </w:tcPr>
          <w:p w14:paraId="012CD9D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新增110千伏主变1台，更换老化设备设施，新建110千伏廊道长度12.02千米。</w:t>
            </w:r>
          </w:p>
        </w:tc>
        <w:tc>
          <w:tcPr>
            <w:tcW w:w="1256" w:type="dxa"/>
            <w:shd w:val="clear" w:color="auto" w:fill="auto"/>
            <w:vAlign w:val="center"/>
          </w:tcPr>
          <w:p w14:paraId="7AE848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79002A0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4FD28C6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16A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50A6CB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44</w:t>
            </w:r>
          </w:p>
        </w:tc>
        <w:tc>
          <w:tcPr>
            <w:tcW w:w="1035" w:type="dxa"/>
            <w:vMerge w:val="continue"/>
            <w:vAlign w:val="center"/>
          </w:tcPr>
          <w:p w14:paraId="15BACE4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F41CEF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110千伏立苇输变电增容改造工程</w:t>
            </w:r>
          </w:p>
        </w:tc>
        <w:tc>
          <w:tcPr>
            <w:tcW w:w="1854" w:type="dxa"/>
            <w:shd w:val="clear" w:color="auto" w:fill="auto"/>
            <w:vAlign w:val="center"/>
          </w:tcPr>
          <w:p w14:paraId="628818B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长岭镇</w:t>
            </w:r>
          </w:p>
        </w:tc>
        <w:tc>
          <w:tcPr>
            <w:tcW w:w="4849" w:type="dxa"/>
            <w:shd w:val="clear" w:color="auto" w:fill="auto"/>
            <w:vAlign w:val="center"/>
          </w:tcPr>
          <w:p w14:paraId="4E65770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新增40MVA主变1台及配套设施，新建10千伏廊道长度4.59千米。</w:t>
            </w:r>
          </w:p>
        </w:tc>
        <w:tc>
          <w:tcPr>
            <w:tcW w:w="1256" w:type="dxa"/>
            <w:shd w:val="clear" w:color="auto" w:fill="auto"/>
            <w:vAlign w:val="center"/>
          </w:tcPr>
          <w:p w14:paraId="5C35FB0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3CCFC0A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51773B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1D2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F8A828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45</w:t>
            </w:r>
          </w:p>
        </w:tc>
        <w:tc>
          <w:tcPr>
            <w:tcW w:w="1035" w:type="dxa"/>
            <w:vMerge w:val="continue"/>
            <w:vAlign w:val="center"/>
          </w:tcPr>
          <w:p w14:paraId="304CE17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5BC666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龙驹变至恒合变110千伏线路工程</w:t>
            </w:r>
          </w:p>
        </w:tc>
        <w:tc>
          <w:tcPr>
            <w:tcW w:w="1854" w:type="dxa"/>
            <w:shd w:val="clear" w:color="auto" w:fill="auto"/>
            <w:vAlign w:val="center"/>
          </w:tcPr>
          <w:p w14:paraId="27972D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龙驹镇、恒合</w:t>
            </w:r>
            <w:r>
              <w:rPr>
                <w:rFonts w:hint="eastAsia" w:ascii="Times New Roman" w:hAnsi="Times New Roman" w:eastAsia="方正仿宋_GBK"/>
                <w:kern w:val="0"/>
                <w:szCs w:val="21"/>
                <w:lang w:eastAsia="zh-CN"/>
              </w:rPr>
              <w:t>土家族</w:t>
            </w:r>
            <w:r>
              <w:rPr>
                <w:rFonts w:hint="eastAsia" w:ascii="Times New Roman" w:hAnsi="Times New Roman" w:eastAsia="方正仿宋_GBK"/>
                <w:kern w:val="0"/>
                <w:szCs w:val="21"/>
              </w:rPr>
              <w:t>乡</w:t>
            </w:r>
          </w:p>
        </w:tc>
        <w:tc>
          <w:tcPr>
            <w:tcW w:w="4849" w:type="dxa"/>
            <w:shd w:val="clear" w:color="auto" w:fill="auto"/>
            <w:vAlign w:val="center"/>
          </w:tcPr>
          <w:p w14:paraId="116FE31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新建110千伏廊道长度16.12千米。</w:t>
            </w:r>
          </w:p>
        </w:tc>
        <w:tc>
          <w:tcPr>
            <w:tcW w:w="1256" w:type="dxa"/>
            <w:shd w:val="clear" w:color="auto" w:fill="auto"/>
            <w:vAlign w:val="center"/>
          </w:tcPr>
          <w:p w14:paraId="1A58E0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260CAE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2025-2032</w:t>
            </w:r>
          </w:p>
        </w:tc>
        <w:tc>
          <w:tcPr>
            <w:tcW w:w="911" w:type="dxa"/>
            <w:shd w:val="clear" w:color="auto" w:fill="auto"/>
            <w:vAlign w:val="center"/>
          </w:tcPr>
          <w:p w14:paraId="0D7F610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125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E32802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46</w:t>
            </w:r>
          </w:p>
        </w:tc>
        <w:tc>
          <w:tcPr>
            <w:tcW w:w="1035" w:type="dxa"/>
            <w:vMerge w:val="continue"/>
            <w:vAlign w:val="center"/>
          </w:tcPr>
          <w:p w14:paraId="7F4FCF0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05721A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新田-海螺水泥110千伏线路新建工程</w:t>
            </w:r>
          </w:p>
        </w:tc>
        <w:tc>
          <w:tcPr>
            <w:tcW w:w="1854" w:type="dxa"/>
            <w:shd w:val="clear" w:color="auto" w:fill="auto"/>
            <w:vAlign w:val="center"/>
          </w:tcPr>
          <w:p w14:paraId="0D5F7F2E">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新田镇、溪口</w:t>
            </w:r>
            <w:r>
              <w:rPr>
                <w:rFonts w:hint="eastAsia" w:ascii="Times New Roman" w:hAnsi="Times New Roman" w:eastAsia="方正仿宋_GBK"/>
                <w:kern w:val="0"/>
                <w:szCs w:val="21"/>
                <w:lang w:eastAsia="zh-CN"/>
              </w:rPr>
              <w:t>乡</w:t>
            </w:r>
          </w:p>
        </w:tc>
        <w:tc>
          <w:tcPr>
            <w:tcW w:w="4849" w:type="dxa"/>
            <w:shd w:val="clear" w:color="auto" w:fill="auto"/>
            <w:vAlign w:val="center"/>
          </w:tcPr>
          <w:p w14:paraId="761CFB3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新建110千伏廊道长度2×11.98千米。</w:t>
            </w:r>
          </w:p>
        </w:tc>
        <w:tc>
          <w:tcPr>
            <w:tcW w:w="1256" w:type="dxa"/>
            <w:shd w:val="clear" w:color="auto" w:fill="auto"/>
            <w:vAlign w:val="center"/>
          </w:tcPr>
          <w:p w14:paraId="2A6B095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BE36F0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3CEE92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4D4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7EDFA0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47</w:t>
            </w:r>
          </w:p>
        </w:tc>
        <w:tc>
          <w:tcPr>
            <w:tcW w:w="1035" w:type="dxa"/>
            <w:vMerge w:val="continue"/>
            <w:vAlign w:val="center"/>
          </w:tcPr>
          <w:p w14:paraId="7EC75E9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B13978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新田-西南水泥110千伏线路新建工程</w:t>
            </w:r>
          </w:p>
        </w:tc>
        <w:tc>
          <w:tcPr>
            <w:tcW w:w="1854" w:type="dxa"/>
            <w:shd w:val="clear" w:color="auto" w:fill="auto"/>
            <w:vAlign w:val="center"/>
          </w:tcPr>
          <w:p w14:paraId="3C8690D7">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新田镇、溪口</w:t>
            </w:r>
            <w:r>
              <w:rPr>
                <w:rFonts w:hint="eastAsia" w:ascii="Times New Roman" w:hAnsi="Times New Roman" w:eastAsia="方正仿宋_GBK"/>
                <w:kern w:val="0"/>
                <w:szCs w:val="21"/>
                <w:lang w:eastAsia="zh-CN"/>
              </w:rPr>
              <w:t>乡</w:t>
            </w:r>
          </w:p>
        </w:tc>
        <w:tc>
          <w:tcPr>
            <w:tcW w:w="4849" w:type="dxa"/>
            <w:shd w:val="clear" w:color="auto" w:fill="auto"/>
            <w:vAlign w:val="center"/>
          </w:tcPr>
          <w:p w14:paraId="5E6FE0E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新建110千伏廊道长度11.98千米。</w:t>
            </w:r>
          </w:p>
        </w:tc>
        <w:tc>
          <w:tcPr>
            <w:tcW w:w="1256" w:type="dxa"/>
            <w:shd w:val="clear" w:color="auto" w:fill="auto"/>
            <w:vAlign w:val="center"/>
          </w:tcPr>
          <w:p w14:paraId="458F246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1BDA4F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4F8681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CE7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01B359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48</w:t>
            </w:r>
          </w:p>
        </w:tc>
        <w:tc>
          <w:tcPr>
            <w:tcW w:w="1035" w:type="dxa"/>
            <w:vMerge w:val="continue"/>
            <w:vAlign w:val="center"/>
          </w:tcPr>
          <w:p w14:paraId="1C3D732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325CB9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110千伏熊家输变电增容改造工程</w:t>
            </w:r>
          </w:p>
        </w:tc>
        <w:tc>
          <w:tcPr>
            <w:tcW w:w="1854" w:type="dxa"/>
            <w:shd w:val="clear" w:color="auto" w:fill="auto"/>
            <w:vAlign w:val="center"/>
          </w:tcPr>
          <w:p w14:paraId="6FF56DB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w:t>
            </w:r>
          </w:p>
        </w:tc>
        <w:tc>
          <w:tcPr>
            <w:tcW w:w="4849" w:type="dxa"/>
            <w:shd w:val="clear" w:color="auto" w:fill="auto"/>
            <w:vAlign w:val="center"/>
          </w:tcPr>
          <w:p w14:paraId="3BA63A2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新增主变1台，新建110千伏廊道长度3.48千米。</w:t>
            </w:r>
          </w:p>
        </w:tc>
        <w:tc>
          <w:tcPr>
            <w:tcW w:w="1256" w:type="dxa"/>
            <w:shd w:val="clear" w:color="auto" w:fill="auto"/>
            <w:vAlign w:val="center"/>
          </w:tcPr>
          <w:p w14:paraId="39B1DC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C5518C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146D7E7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C28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DD7557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49</w:t>
            </w:r>
          </w:p>
        </w:tc>
        <w:tc>
          <w:tcPr>
            <w:tcW w:w="1035" w:type="dxa"/>
            <w:vMerge w:val="continue"/>
            <w:vAlign w:val="center"/>
          </w:tcPr>
          <w:p w14:paraId="6C0B36F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BA05E6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双河-油沙110千伏线路新建工程</w:t>
            </w:r>
          </w:p>
        </w:tc>
        <w:tc>
          <w:tcPr>
            <w:tcW w:w="1854" w:type="dxa"/>
            <w:shd w:val="clear" w:color="auto" w:fill="auto"/>
            <w:vAlign w:val="center"/>
          </w:tcPr>
          <w:p w14:paraId="4994FE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新田镇、茨竹乡、走马镇</w:t>
            </w:r>
          </w:p>
        </w:tc>
        <w:tc>
          <w:tcPr>
            <w:tcW w:w="4849" w:type="dxa"/>
            <w:shd w:val="clear" w:color="auto" w:fill="auto"/>
            <w:vAlign w:val="center"/>
          </w:tcPr>
          <w:p w14:paraId="56EE2D4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新建110千伏廊道长度10.88千米。</w:t>
            </w:r>
          </w:p>
        </w:tc>
        <w:tc>
          <w:tcPr>
            <w:tcW w:w="1256" w:type="dxa"/>
            <w:shd w:val="clear" w:color="auto" w:fill="auto"/>
            <w:vAlign w:val="center"/>
          </w:tcPr>
          <w:p w14:paraId="55FF704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40115A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47E3619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1B2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AD5698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50</w:t>
            </w:r>
          </w:p>
        </w:tc>
        <w:tc>
          <w:tcPr>
            <w:tcW w:w="1035" w:type="dxa"/>
            <w:vMerge w:val="continue"/>
            <w:vAlign w:val="center"/>
          </w:tcPr>
          <w:p w14:paraId="3DA9202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2A144F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龙驹变</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赶场电厂110千伏线路新建工程</w:t>
            </w:r>
          </w:p>
        </w:tc>
        <w:tc>
          <w:tcPr>
            <w:tcW w:w="1854" w:type="dxa"/>
            <w:shd w:val="clear" w:color="auto" w:fill="auto"/>
            <w:vAlign w:val="center"/>
          </w:tcPr>
          <w:p w14:paraId="11EAB38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龙驹镇</w:t>
            </w:r>
          </w:p>
        </w:tc>
        <w:tc>
          <w:tcPr>
            <w:tcW w:w="4849" w:type="dxa"/>
            <w:shd w:val="clear" w:color="auto" w:fill="auto"/>
            <w:vAlign w:val="center"/>
          </w:tcPr>
          <w:p w14:paraId="216D65F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新建110千伏廊道长度7.38千米。</w:t>
            </w:r>
          </w:p>
        </w:tc>
        <w:tc>
          <w:tcPr>
            <w:tcW w:w="1256" w:type="dxa"/>
            <w:shd w:val="clear" w:color="auto" w:fill="auto"/>
            <w:vAlign w:val="center"/>
          </w:tcPr>
          <w:p w14:paraId="2A66DDC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595D95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2025-2030</w:t>
            </w:r>
          </w:p>
        </w:tc>
        <w:tc>
          <w:tcPr>
            <w:tcW w:w="911" w:type="dxa"/>
            <w:shd w:val="clear" w:color="auto" w:fill="auto"/>
            <w:vAlign w:val="center"/>
          </w:tcPr>
          <w:p w14:paraId="4D22B95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8E5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076201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51</w:t>
            </w:r>
          </w:p>
        </w:tc>
        <w:tc>
          <w:tcPr>
            <w:tcW w:w="1035" w:type="dxa"/>
            <w:vMerge w:val="continue"/>
            <w:vAlign w:val="center"/>
          </w:tcPr>
          <w:p w14:paraId="60409FD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A95723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相思</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龙古变电站110千伏二回线路新建工程</w:t>
            </w:r>
          </w:p>
        </w:tc>
        <w:tc>
          <w:tcPr>
            <w:tcW w:w="1854" w:type="dxa"/>
            <w:shd w:val="clear" w:color="auto" w:fill="auto"/>
            <w:vAlign w:val="center"/>
          </w:tcPr>
          <w:p w14:paraId="4F13ABB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w:t>
            </w:r>
            <w:r>
              <w:rPr>
                <w:rFonts w:hint="eastAsia" w:ascii="Times New Roman" w:hAnsi="Times New Roman" w:eastAsia="方正仿宋_GBK"/>
                <w:kern w:val="0"/>
                <w:szCs w:val="21"/>
                <w:lang w:eastAsia="zh-CN"/>
              </w:rPr>
              <w:t>街道</w:t>
            </w:r>
            <w:r>
              <w:rPr>
                <w:rFonts w:hint="eastAsia" w:ascii="Times New Roman" w:hAnsi="Times New Roman" w:eastAsia="方正仿宋_GBK"/>
                <w:kern w:val="0"/>
                <w:szCs w:val="21"/>
              </w:rPr>
              <w:t>、甘宁镇、响水镇、龙沙镇</w:t>
            </w:r>
          </w:p>
        </w:tc>
        <w:tc>
          <w:tcPr>
            <w:tcW w:w="4849" w:type="dxa"/>
            <w:shd w:val="clear" w:color="auto" w:fill="auto"/>
            <w:vAlign w:val="center"/>
          </w:tcPr>
          <w:p w14:paraId="5B5FBF4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新建110千伏廊道长度18.59千米。</w:t>
            </w:r>
          </w:p>
        </w:tc>
        <w:tc>
          <w:tcPr>
            <w:tcW w:w="1256" w:type="dxa"/>
            <w:shd w:val="clear" w:color="auto" w:fill="auto"/>
            <w:vAlign w:val="center"/>
          </w:tcPr>
          <w:p w14:paraId="2094BFA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D7B5FD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2025-2030</w:t>
            </w:r>
          </w:p>
        </w:tc>
        <w:tc>
          <w:tcPr>
            <w:tcW w:w="911" w:type="dxa"/>
            <w:shd w:val="clear" w:color="auto" w:fill="auto"/>
            <w:vAlign w:val="center"/>
          </w:tcPr>
          <w:p w14:paraId="4B48EB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977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F1651A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52</w:t>
            </w:r>
          </w:p>
        </w:tc>
        <w:tc>
          <w:tcPr>
            <w:tcW w:w="1035" w:type="dxa"/>
            <w:vMerge w:val="continue"/>
            <w:vAlign w:val="center"/>
          </w:tcPr>
          <w:p w14:paraId="33C9B54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17F0418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申明变至映水变110千伏线路工程</w:t>
            </w:r>
          </w:p>
        </w:tc>
        <w:tc>
          <w:tcPr>
            <w:tcW w:w="1854" w:type="dxa"/>
            <w:shd w:val="clear" w:color="auto" w:fill="auto"/>
            <w:vAlign w:val="center"/>
          </w:tcPr>
          <w:p w14:paraId="6C8A8AB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沙河街道、周家坝街道</w:t>
            </w:r>
          </w:p>
        </w:tc>
        <w:tc>
          <w:tcPr>
            <w:tcW w:w="4849" w:type="dxa"/>
            <w:shd w:val="clear" w:color="auto" w:fill="auto"/>
            <w:vAlign w:val="center"/>
          </w:tcPr>
          <w:p w14:paraId="2C1FA5C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增容原35千伏申映线为110千伏线路，长度3.59千米。</w:t>
            </w:r>
          </w:p>
        </w:tc>
        <w:tc>
          <w:tcPr>
            <w:tcW w:w="1256" w:type="dxa"/>
            <w:shd w:val="clear" w:color="auto" w:fill="auto"/>
            <w:vAlign w:val="center"/>
          </w:tcPr>
          <w:p w14:paraId="5C6E14A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1D8B00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2030-2033</w:t>
            </w:r>
          </w:p>
        </w:tc>
        <w:tc>
          <w:tcPr>
            <w:tcW w:w="911" w:type="dxa"/>
            <w:shd w:val="clear" w:color="auto" w:fill="auto"/>
            <w:vAlign w:val="center"/>
          </w:tcPr>
          <w:p w14:paraId="7E5F3DC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C83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462E4D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53</w:t>
            </w:r>
          </w:p>
        </w:tc>
        <w:tc>
          <w:tcPr>
            <w:tcW w:w="1035" w:type="dxa"/>
            <w:vMerge w:val="continue"/>
            <w:vAlign w:val="center"/>
          </w:tcPr>
          <w:p w14:paraId="0B92912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27983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五科线110千伏线路新建工程</w:t>
            </w:r>
          </w:p>
        </w:tc>
        <w:tc>
          <w:tcPr>
            <w:tcW w:w="1854" w:type="dxa"/>
            <w:shd w:val="clear" w:color="auto" w:fill="auto"/>
            <w:vAlign w:val="center"/>
          </w:tcPr>
          <w:p w14:paraId="3485676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新田镇、百安坝街道</w:t>
            </w:r>
          </w:p>
        </w:tc>
        <w:tc>
          <w:tcPr>
            <w:tcW w:w="4849" w:type="dxa"/>
            <w:shd w:val="clear" w:color="auto" w:fill="auto"/>
            <w:vAlign w:val="center"/>
          </w:tcPr>
          <w:p w14:paraId="34919DE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新建110千伏廊道长度4.37千米。</w:t>
            </w:r>
          </w:p>
        </w:tc>
        <w:tc>
          <w:tcPr>
            <w:tcW w:w="1256" w:type="dxa"/>
            <w:shd w:val="clear" w:color="auto" w:fill="auto"/>
            <w:vAlign w:val="center"/>
          </w:tcPr>
          <w:p w14:paraId="4D3E72E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4CA456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202-2028</w:t>
            </w:r>
          </w:p>
        </w:tc>
        <w:tc>
          <w:tcPr>
            <w:tcW w:w="911" w:type="dxa"/>
            <w:shd w:val="clear" w:color="auto" w:fill="auto"/>
            <w:vAlign w:val="center"/>
          </w:tcPr>
          <w:p w14:paraId="5BB534D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656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319473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54</w:t>
            </w:r>
          </w:p>
        </w:tc>
        <w:tc>
          <w:tcPr>
            <w:tcW w:w="1035" w:type="dxa"/>
            <w:vMerge w:val="restart"/>
            <w:shd w:val="clear" w:color="auto" w:fill="auto"/>
            <w:vAlign w:val="center"/>
          </w:tcPr>
          <w:p w14:paraId="5148C8BB">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35</w:t>
            </w:r>
            <w:r>
              <w:rPr>
                <w:rFonts w:hint="eastAsia" w:ascii="Times New Roman" w:hAnsi="Times New Roman" w:eastAsia="方正仿宋_GBK"/>
                <w:kern w:val="0"/>
                <w:szCs w:val="21"/>
                <w:lang w:eastAsia="zh-CN"/>
              </w:rPr>
              <w:t>千伏</w:t>
            </w:r>
          </w:p>
        </w:tc>
        <w:tc>
          <w:tcPr>
            <w:tcW w:w="2692" w:type="dxa"/>
            <w:shd w:val="clear" w:color="auto" w:fill="auto"/>
            <w:vAlign w:val="center"/>
          </w:tcPr>
          <w:p w14:paraId="5077429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龙泉35千伏输变电改造工程（变电部分）</w:t>
            </w:r>
          </w:p>
        </w:tc>
        <w:tc>
          <w:tcPr>
            <w:tcW w:w="1854" w:type="dxa"/>
            <w:shd w:val="clear" w:color="auto" w:fill="auto"/>
            <w:vAlign w:val="center"/>
          </w:tcPr>
          <w:p w14:paraId="0E1E2BA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燕山乡</w:t>
            </w:r>
          </w:p>
        </w:tc>
        <w:tc>
          <w:tcPr>
            <w:tcW w:w="4849" w:type="dxa"/>
            <w:shd w:val="clear" w:color="auto" w:fill="auto"/>
            <w:vAlign w:val="center"/>
          </w:tcPr>
          <w:p w14:paraId="01C3FF4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异地选址重建龙泉变电站，改建35千伏线路1.56千米。</w:t>
            </w:r>
          </w:p>
        </w:tc>
        <w:tc>
          <w:tcPr>
            <w:tcW w:w="1256" w:type="dxa"/>
            <w:shd w:val="clear" w:color="auto" w:fill="auto"/>
            <w:vAlign w:val="center"/>
          </w:tcPr>
          <w:p w14:paraId="203D72E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10CB84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07ECC4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1AF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BB3DD3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55</w:t>
            </w:r>
          </w:p>
        </w:tc>
        <w:tc>
          <w:tcPr>
            <w:tcW w:w="1035" w:type="dxa"/>
            <w:vMerge w:val="continue"/>
            <w:vAlign w:val="center"/>
          </w:tcPr>
          <w:p w14:paraId="50D950BD">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C53F8F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大垭口35千伏输变电新建工程（变电部分）</w:t>
            </w:r>
          </w:p>
        </w:tc>
        <w:tc>
          <w:tcPr>
            <w:tcW w:w="1854" w:type="dxa"/>
            <w:shd w:val="clear" w:color="auto" w:fill="auto"/>
            <w:vAlign w:val="center"/>
          </w:tcPr>
          <w:p w14:paraId="28B0F20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天城街道</w:t>
            </w:r>
          </w:p>
        </w:tc>
        <w:tc>
          <w:tcPr>
            <w:tcW w:w="4849" w:type="dxa"/>
            <w:shd w:val="clear" w:color="auto" w:fill="auto"/>
            <w:vAlign w:val="center"/>
          </w:tcPr>
          <w:p w14:paraId="7DB0C4D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新建35千伏变电站1座，变电容量终期2台，本期主变压器1台，配套建设35千伏廊道长度6.64千米。</w:t>
            </w:r>
          </w:p>
        </w:tc>
        <w:tc>
          <w:tcPr>
            <w:tcW w:w="1256" w:type="dxa"/>
            <w:shd w:val="clear" w:color="auto" w:fill="auto"/>
            <w:vAlign w:val="center"/>
          </w:tcPr>
          <w:p w14:paraId="463B294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C73FB4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7EFEEB7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626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2C85C9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56</w:t>
            </w:r>
          </w:p>
        </w:tc>
        <w:tc>
          <w:tcPr>
            <w:tcW w:w="1035" w:type="dxa"/>
            <w:vMerge w:val="continue"/>
            <w:vAlign w:val="center"/>
          </w:tcPr>
          <w:p w14:paraId="564269BD">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1DB239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重庆万州黄柏35</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输变电工程</w:t>
            </w:r>
          </w:p>
        </w:tc>
        <w:tc>
          <w:tcPr>
            <w:tcW w:w="1854" w:type="dxa"/>
            <w:shd w:val="clear" w:color="auto" w:fill="auto"/>
            <w:vAlign w:val="center"/>
          </w:tcPr>
          <w:p w14:paraId="154C068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黄柏乡</w:t>
            </w:r>
          </w:p>
        </w:tc>
        <w:tc>
          <w:tcPr>
            <w:tcW w:w="4849" w:type="dxa"/>
            <w:shd w:val="clear" w:color="auto" w:fill="auto"/>
            <w:vAlign w:val="center"/>
          </w:tcPr>
          <w:p w14:paraId="2C19339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新建35千伏变电站1座，本期按1台6.3兆伏安建设，配套建设35千伏廊道长度9.1千米。</w:t>
            </w:r>
          </w:p>
        </w:tc>
        <w:tc>
          <w:tcPr>
            <w:tcW w:w="1256" w:type="dxa"/>
            <w:shd w:val="clear" w:color="auto" w:fill="auto"/>
            <w:vAlign w:val="center"/>
          </w:tcPr>
          <w:p w14:paraId="6576524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53DDBB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2025-2030</w:t>
            </w:r>
          </w:p>
        </w:tc>
        <w:tc>
          <w:tcPr>
            <w:tcW w:w="911" w:type="dxa"/>
            <w:shd w:val="clear" w:color="auto" w:fill="auto"/>
            <w:vAlign w:val="center"/>
          </w:tcPr>
          <w:p w14:paraId="53BA727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65E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DDE413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57</w:t>
            </w:r>
          </w:p>
        </w:tc>
        <w:tc>
          <w:tcPr>
            <w:tcW w:w="1035" w:type="dxa"/>
            <w:vMerge w:val="continue"/>
            <w:vAlign w:val="center"/>
          </w:tcPr>
          <w:p w14:paraId="26C60E03">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8B3034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长坪35千伏线路新建工程</w:t>
            </w:r>
          </w:p>
        </w:tc>
        <w:tc>
          <w:tcPr>
            <w:tcW w:w="1854" w:type="dxa"/>
            <w:shd w:val="clear" w:color="auto" w:fill="auto"/>
            <w:vAlign w:val="center"/>
          </w:tcPr>
          <w:p w14:paraId="00B5C18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熊家镇、天城街道</w:t>
            </w:r>
          </w:p>
        </w:tc>
        <w:tc>
          <w:tcPr>
            <w:tcW w:w="4849" w:type="dxa"/>
            <w:shd w:val="clear" w:color="auto" w:fill="auto"/>
            <w:vAlign w:val="center"/>
          </w:tcPr>
          <w:p w14:paraId="31D4D881">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新建35千伏廊道长度9.41千米。</w:t>
            </w:r>
          </w:p>
        </w:tc>
        <w:tc>
          <w:tcPr>
            <w:tcW w:w="1256" w:type="dxa"/>
            <w:shd w:val="clear" w:color="auto" w:fill="auto"/>
            <w:vAlign w:val="center"/>
          </w:tcPr>
          <w:p w14:paraId="596C2E4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304600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2022-2023</w:t>
            </w:r>
          </w:p>
        </w:tc>
        <w:tc>
          <w:tcPr>
            <w:tcW w:w="911" w:type="dxa"/>
            <w:shd w:val="clear" w:color="auto" w:fill="auto"/>
            <w:vAlign w:val="center"/>
          </w:tcPr>
          <w:p w14:paraId="5303990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89C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CAEC2C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58</w:t>
            </w:r>
          </w:p>
        </w:tc>
        <w:tc>
          <w:tcPr>
            <w:tcW w:w="1035" w:type="dxa"/>
            <w:vMerge w:val="continue"/>
            <w:vAlign w:val="center"/>
          </w:tcPr>
          <w:p w14:paraId="65ECCEC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9BD154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龙古</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瀼渡35千伏线路新建工程</w:t>
            </w:r>
          </w:p>
        </w:tc>
        <w:tc>
          <w:tcPr>
            <w:tcW w:w="1854" w:type="dxa"/>
            <w:shd w:val="clear" w:color="auto" w:fill="auto"/>
            <w:vAlign w:val="center"/>
          </w:tcPr>
          <w:p w14:paraId="6EF148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龙沙镇、瀼渡镇</w:t>
            </w:r>
          </w:p>
        </w:tc>
        <w:tc>
          <w:tcPr>
            <w:tcW w:w="4849" w:type="dxa"/>
            <w:shd w:val="clear" w:color="auto" w:fill="auto"/>
            <w:vAlign w:val="center"/>
          </w:tcPr>
          <w:p w14:paraId="51B82D2A">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新建35千伏廊道长度8.19千米。</w:t>
            </w:r>
          </w:p>
        </w:tc>
        <w:tc>
          <w:tcPr>
            <w:tcW w:w="1256" w:type="dxa"/>
            <w:shd w:val="clear" w:color="auto" w:fill="auto"/>
            <w:vAlign w:val="center"/>
          </w:tcPr>
          <w:p w14:paraId="65B0196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FB0DDD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61F36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57E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F49A24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59</w:t>
            </w:r>
          </w:p>
        </w:tc>
        <w:tc>
          <w:tcPr>
            <w:tcW w:w="1035" w:type="dxa"/>
            <w:vMerge w:val="continue"/>
            <w:vAlign w:val="center"/>
          </w:tcPr>
          <w:p w14:paraId="681F1B9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F4A4D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白土35千伏II回线路新建工程</w:t>
            </w:r>
          </w:p>
        </w:tc>
        <w:tc>
          <w:tcPr>
            <w:tcW w:w="1854" w:type="dxa"/>
            <w:shd w:val="clear" w:color="auto" w:fill="auto"/>
            <w:vAlign w:val="center"/>
          </w:tcPr>
          <w:p w14:paraId="7DB048D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龙驹镇、白土镇</w:t>
            </w:r>
          </w:p>
        </w:tc>
        <w:tc>
          <w:tcPr>
            <w:tcW w:w="4849" w:type="dxa"/>
            <w:shd w:val="clear" w:color="auto" w:fill="auto"/>
            <w:vAlign w:val="center"/>
          </w:tcPr>
          <w:p w14:paraId="4CC92CA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新建35千伏廊道长度17.56千米。</w:t>
            </w:r>
          </w:p>
        </w:tc>
        <w:tc>
          <w:tcPr>
            <w:tcW w:w="1256" w:type="dxa"/>
            <w:shd w:val="clear" w:color="auto" w:fill="auto"/>
            <w:vAlign w:val="center"/>
          </w:tcPr>
          <w:p w14:paraId="6E93E2F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6BCE81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D8587D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D79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658776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60</w:t>
            </w:r>
          </w:p>
        </w:tc>
        <w:tc>
          <w:tcPr>
            <w:tcW w:w="1035" w:type="dxa"/>
            <w:vMerge w:val="continue"/>
            <w:vAlign w:val="center"/>
          </w:tcPr>
          <w:p w14:paraId="2CEBD72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E0928A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罗田35千伏II回线路新建工程</w:t>
            </w:r>
          </w:p>
        </w:tc>
        <w:tc>
          <w:tcPr>
            <w:tcW w:w="1854" w:type="dxa"/>
            <w:shd w:val="clear" w:color="auto" w:fill="auto"/>
            <w:vAlign w:val="center"/>
          </w:tcPr>
          <w:p w14:paraId="0E1B97E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龙驹镇、罗田镇</w:t>
            </w:r>
          </w:p>
        </w:tc>
        <w:tc>
          <w:tcPr>
            <w:tcW w:w="4849" w:type="dxa"/>
            <w:shd w:val="clear" w:color="auto" w:fill="auto"/>
            <w:vAlign w:val="center"/>
          </w:tcPr>
          <w:p w14:paraId="38692EF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新建35千伏廊道长度13.74千米。</w:t>
            </w:r>
          </w:p>
        </w:tc>
        <w:tc>
          <w:tcPr>
            <w:tcW w:w="1256" w:type="dxa"/>
            <w:shd w:val="clear" w:color="auto" w:fill="auto"/>
            <w:vAlign w:val="center"/>
          </w:tcPr>
          <w:p w14:paraId="26F75BC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0141F6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69002E6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9F8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0805C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61</w:t>
            </w:r>
          </w:p>
        </w:tc>
        <w:tc>
          <w:tcPr>
            <w:tcW w:w="1035" w:type="dxa"/>
            <w:vMerge w:val="restart"/>
            <w:shd w:val="clear" w:color="auto" w:fill="auto"/>
            <w:vAlign w:val="center"/>
          </w:tcPr>
          <w:p w14:paraId="3D3FC92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中低压配电网络项目</w:t>
            </w:r>
          </w:p>
        </w:tc>
        <w:tc>
          <w:tcPr>
            <w:tcW w:w="2692" w:type="dxa"/>
            <w:shd w:val="clear" w:color="auto" w:fill="auto"/>
            <w:vAlign w:val="center"/>
          </w:tcPr>
          <w:p w14:paraId="215B25E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农村中低压配电网络规划项目</w:t>
            </w:r>
          </w:p>
        </w:tc>
        <w:tc>
          <w:tcPr>
            <w:tcW w:w="1854" w:type="dxa"/>
            <w:shd w:val="clear" w:color="auto" w:fill="auto"/>
            <w:vAlign w:val="center"/>
          </w:tcPr>
          <w:p w14:paraId="174F1B0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1CB4EAB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配变1059台，变电容量190MVA；10千伏线路1326公里；低压线路78公里；户表36.6万只。</w:t>
            </w:r>
          </w:p>
        </w:tc>
        <w:tc>
          <w:tcPr>
            <w:tcW w:w="1256" w:type="dxa"/>
            <w:shd w:val="clear" w:color="auto" w:fill="auto"/>
            <w:vAlign w:val="center"/>
          </w:tcPr>
          <w:p w14:paraId="112AD45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396801B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2021-2025</w:t>
            </w:r>
          </w:p>
        </w:tc>
        <w:tc>
          <w:tcPr>
            <w:tcW w:w="911" w:type="dxa"/>
            <w:shd w:val="clear" w:color="auto" w:fill="auto"/>
            <w:vAlign w:val="center"/>
          </w:tcPr>
          <w:p w14:paraId="01D6A3A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162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1B7A3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62</w:t>
            </w:r>
          </w:p>
        </w:tc>
        <w:tc>
          <w:tcPr>
            <w:tcW w:w="1035" w:type="dxa"/>
            <w:vMerge w:val="continue"/>
            <w:vAlign w:val="center"/>
          </w:tcPr>
          <w:p w14:paraId="19DB23E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9D6E84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城区中低压配电网络规划项目</w:t>
            </w:r>
          </w:p>
        </w:tc>
        <w:tc>
          <w:tcPr>
            <w:tcW w:w="1854" w:type="dxa"/>
            <w:shd w:val="clear" w:color="auto" w:fill="auto"/>
            <w:vAlign w:val="center"/>
          </w:tcPr>
          <w:p w14:paraId="7A3F0D2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4D41FB1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配变771台，变电容量435MVA；10千伏电缆线路65.2公里，架空线路10条9.3公里，柱上开关36台，电缆分支箱101台；户表19.93万只。</w:t>
            </w:r>
          </w:p>
        </w:tc>
        <w:tc>
          <w:tcPr>
            <w:tcW w:w="1256" w:type="dxa"/>
            <w:shd w:val="clear" w:color="auto" w:fill="auto"/>
            <w:vAlign w:val="center"/>
          </w:tcPr>
          <w:p w14:paraId="23F7EFE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5837DC5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2021-2025</w:t>
            </w:r>
          </w:p>
        </w:tc>
        <w:tc>
          <w:tcPr>
            <w:tcW w:w="911" w:type="dxa"/>
            <w:shd w:val="clear" w:color="auto" w:fill="auto"/>
            <w:vAlign w:val="center"/>
          </w:tcPr>
          <w:p w14:paraId="431B143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B36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noWrap/>
            <w:vAlign w:val="center"/>
          </w:tcPr>
          <w:p w14:paraId="4F16158F">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二、电源项目</w:t>
            </w:r>
          </w:p>
        </w:tc>
      </w:tr>
      <w:tr w14:paraId="09C8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D99AF9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63</w:t>
            </w:r>
          </w:p>
        </w:tc>
        <w:tc>
          <w:tcPr>
            <w:tcW w:w="1035" w:type="dxa"/>
            <w:vMerge w:val="restart"/>
            <w:shd w:val="clear" w:color="auto" w:fill="auto"/>
            <w:vAlign w:val="center"/>
          </w:tcPr>
          <w:p w14:paraId="3867D0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燃煤发电</w:t>
            </w:r>
          </w:p>
        </w:tc>
        <w:tc>
          <w:tcPr>
            <w:tcW w:w="2692" w:type="dxa"/>
            <w:shd w:val="clear" w:color="auto" w:fill="auto"/>
            <w:vAlign w:val="center"/>
          </w:tcPr>
          <w:p w14:paraId="7526A4C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国能万州电厂二期扩建工程</w:t>
            </w:r>
          </w:p>
        </w:tc>
        <w:tc>
          <w:tcPr>
            <w:tcW w:w="1854" w:type="dxa"/>
            <w:shd w:val="clear" w:color="auto" w:fill="auto"/>
            <w:vAlign w:val="center"/>
          </w:tcPr>
          <w:p w14:paraId="716E099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64043F97">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建设2×100万千瓦超超临界燃煤发电机组及配套码头和50万吨级储煤场</w:t>
            </w:r>
          </w:p>
        </w:tc>
        <w:tc>
          <w:tcPr>
            <w:tcW w:w="1256" w:type="dxa"/>
            <w:shd w:val="clear" w:color="auto" w:fill="auto"/>
            <w:vAlign w:val="center"/>
          </w:tcPr>
          <w:p w14:paraId="77A2779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扩建</w:t>
            </w:r>
          </w:p>
        </w:tc>
        <w:tc>
          <w:tcPr>
            <w:tcW w:w="1371" w:type="dxa"/>
            <w:shd w:val="clear" w:color="auto" w:fill="auto"/>
            <w:vAlign w:val="center"/>
          </w:tcPr>
          <w:p w14:paraId="029064A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2023-2026</w:t>
            </w:r>
          </w:p>
        </w:tc>
        <w:tc>
          <w:tcPr>
            <w:tcW w:w="911" w:type="dxa"/>
            <w:shd w:val="clear" w:color="auto" w:fill="auto"/>
            <w:vAlign w:val="center"/>
          </w:tcPr>
          <w:p w14:paraId="29741EE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67D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A3B14B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64</w:t>
            </w:r>
          </w:p>
        </w:tc>
        <w:tc>
          <w:tcPr>
            <w:tcW w:w="1035" w:type="dxa"/>
            <w:vMerge w:val="continue"/>
            <w:vAlign w:val="center"/>
          </w:tcPr>
          <w:p w14:paraId="5ECA93C5">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7688F1B">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三峡水利供区燃煤发电项目</w:t>
            </w:r>
          </w:p>
        </w:tc>
        <w:tc>
          <w:tcPr>
            <w:tcW w:w="1854" w:type="dxa"/>
            <w:shd w:val="clear" w:color="auto" w:fill="auto"/>
            <w:vAlign w:val="center"/>
          </w:tcPr>
          <w:p w14:paraId="24CABA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lang w:eastAsia="zh-CN"/>
              </w:rPr>
              <w:t>长岭镇</w:t>
            </w:r>
          </w:p>
        </w:tc>
        <w:tc>
          <w:tcPr>
            <w:tcW w:w="4849" w:type="dxa"/>
            <w:shd w:val="clear" w:color="auto" w:fill="auto"/>
            <w:vAlign w:val="center"/>
          </w:tcPr>
          <w:p w14:paraId="0CEA779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结合三峡水利供区内用电、用热需求，规划建设燃煤发电厂或园区热电联产项目。</w:t>
            </w:r>
          </w:p>
        </w:tc>
        <w:tc>
          <w:tcPr>
            <w:tcW w:w="1256" w:type="dxa"/>
            <w:shd w:val="clear" w:color="auto" w:fill="auto"/>
            <w:vAlign w:val="center"/>
          </w:tcPr>
          <w:p w14:paraId="4008433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C9118B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2024-2026</w:t>
            </w:r>
          </w:p>
        </w:tc>
        <w:tc>
          <w:tcPr>
            <w:tcW w:w="911" w:type="dxa"/>
            <w:shd w:val="clear" w:color="auto" w:fill="auto"/>
            <w:vAlign w:val="center"/>
          </w:tcPr>
          <w:p w14:paraId="3CD745F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A1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0CA3DCF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65</w:t>
            </w:r>
          </w:p>
        </w:tc>
        <w:tc>
          <w:tcPr>
            <w:tcW w:w="1035" w:type="dxa"/>
            <w:vMerge w:val="restart"/>
            <w:shd w:val="clear" w:color="auto" w:fill="auto"/>
            <w:vAlign w:val="center"/>
          </w:tcPr>
          <w:p w14:paraId="28829CE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热电联产</w:t>
            </w:r>
          </w:p>
        </w:tc>
        <w:tc>
          <w:tcPr>
            <w:tcW w:w="2692" w:type="dxa"/>
            <w:shd w:val="clear" w:color="auto" w:fill="auto"/>
            <w:vAlign w:val="center"/>
          </w:tcPr>
          <w:p w14:paraId="3202D6C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九龙园热电联产项目</w:t>
            </w:r>
          </w:p>
        </w:tc>
        <w:tc>
          <w:tcPr>
            <w:tcW w:w="1854" w:type="dxa"/>
            <w:shd w:val="clear" w:color="auto" w:fill="auto"/>
            <w:vAlign w:val="center"/>
          </w:tcPr>
          <w:p w14:paraId="615855A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龙都街道</w:t>
            </w:r>
          </w:p>
        </w:tc>
        <w:tc>
          <w:tcPr>
            <w:tcW w:w="4849" w:type="dxa"/>
            <w:shd w:val="clear" w:color="auto" w:fill="auto"/>
            <w:vAlign w:val="center"/>
          </w:tcPr>
          <w:p w14:paraId="746ACDC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建设16.8万千瓦热电联产机组</w:t>
            </w:r>
          </w:p>
        </w:tc>
        <w:tc>
          <w:tcPr>
            <w:tcW w:w="1256" w:type="dxa"/>
            <w:shd w:val="clear" w:color="auto" w:fill="auto"/>
            <w:vAlign w:val="center"/>
          </w:tcPr>
          <w:p w14:paraId="3EF2644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387B58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2021-2025</w:t>
            </w:r>
          </w:p>
        </w:tc>
        <w:tc>
          <w:tcPr>
            <w:tcW w:w="911" w:type="dxa"/>
            <w:shd w:val="clear" w:color="auto" w:fill="auto"/>
            <w:vAlign w:val="center"/>
          </w:tcPr>
          <w:p w14:paraId="06AF4C8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7EF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B43EBF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66</w:t>
            </w:r>
          </w:p>
        </w:tc>
        <w:tc>
          <w:tcPr>
            <w:tcW w:w="1035" w:type="dxa"/>
            <w:vMerge w:val="continue"/>
            <w:vAlign w:val="center"/>
          </w:tcPr>
          <w:p w14:paraId="5F90AAF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50669C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长岭园热电联产项目</w:t>
            </w:r>
          </w:p>
        </w:tc>
        <w:tc>
          <w:tcPr>
            <w:tcW w:w="1854" w:type="dxa"/>
            <w:shd w:val="clear" w:color="auto" w:fill="auto"/>
            <w:vAlign w:val="center"/>
          </w:tcPr>
          <w:p w14:paraId="566AC37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长岭镇</w:t>
            </w:r>
          </w:p>
        </w:tc>
        <w:tc>
          <w:tcPr>
            <w:tcW w:w="4849" w:type="dxa"/>
            <w:shd w:val="clear" w:color="auto" w:fill="auto"/>
            <w:vAlign w:val="center"/>
          </w:tcPr>
          <w:p w14:paraId="4F72B872">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规划建设2×50万千瓦热电联产机组</w:t>
            </w:r>
          </w:p>
        </w:tc>
        <w:tc>
          <w:tcPr>
            <w:tcW w:w="1256" w:type="dxa"/>
            <w:shd w:val="clear" w:color="auto" w:fill="auto"/>
            <w:vAlign w:val="center"/>
          </w:tcPr>
          <w:p w14:paraId="4A17A48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31D4A4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2025-2035</w:t>
            </w:r>
          </w:p>
        </w:tc>
        <w:tc>
          <w:tcPr>
            <w:tcW w:w="911" w:type="dxa"/>
            <w:shd w:val="clear" w:color="auto" w:fill="auto"/>
            <w:vAlign w:val="center"/>
          </w:tcPr>
          <w:p w14:paraId="6CD6901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965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37A5A8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67</w:t>
            </w:r>
          </w:p>
        </w:tc>
        <w:tc>
          <w:tcPr>
            <w:tcW w:w="1035" w:type="dxa"/>
            <w:shd w:val="clear" w:color="auto" w:fill="auto"/>
            <w:vAlign w:val="center"/>
          </w:tcPr>
          <w:p w14:paraId="32A98F7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天然气发电</w:t>
            </w:r>
          </w:p>
        </w:tc>
        <w:tc>
          <w:tcPr>
            <w:tcW w:w="2692" w:type="dxa"/>
            <w:shd w:val="clear" w:color="auto" w:fill="auto"/>
            <w:vAlign w:val="center"/>
          </w:tcPr>
          <w:p w14:paraId="0871B20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万州燃气发电项目</w:t>
            </w:r>
          </w:p>
        </w:tc>
        <w:tc>
          <w:tcPr>
            <w:tcW w:w="1854" w:type="dxa"/>
            <w:shd w:val="clear" w:color="auto" w:fill="auto"/>
            <w:vAlign w:val="center"/>
          </w:tcPr>
          <w:p w14:paraId="5243F31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高峰街道相思村</w:t>
            </w:r>
          </w:p>
        </w:tc>
        <w:tc>
          <w:tcPr>
            <w:tcW w:w="4849" w:type="dxa"/>
            <w:shd w:val="clear" w:color="auto" w:fill="auto"/>
            <w:vAlign w:val="center"/>
          </w:tcPr>
          <w:p w14:paraId="7185928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建设1台套9F燃气-蒸汽联合循环发电机组，装机规模490MW，同步配套建设烟气脱硝装置等设施。</w:t>
            </w:r>
          </w:p>
        </w:tc>
        <w:tc>
          <w:tcPr>
            <w:tcW w:w="1256" w:type="dxa"/>
            <w:shd w:val="clear" w:color="auto" w:fill="auto"/>
            <w:vAlign w:val="center"/>
          </w:tcPr>
          <w:p w14:paraId="287E143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3F0C65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16CF4D1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09D0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0B4864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68</w:t>
            </w:r>
          </w:p>
        </w:tc>
        <w:tc>
          <w:tcPr>
            <w:tcW w:w="1035" w:type="dxa"/>
            <w:vMerge w:val="restart"/>
            <w:shd w:val="clear" w:color="auto" w:fill="auto"/>
            <w:vAlign w:val="center"/>
          </w:tcPr>
          <w:p w14:paraId="591E449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风电</w:t>
            </w:r>
          </w:p>
        </w:tc>
        <w:tc>
          <w:tcPr>
            <w:tcW w:w="2692" w:type="dxa"/>
            <w:shd w:val="clear" w:color="auto" w:fill="auto"/>
            <w:vAlign w:val="center"/>
          </w:tcPr>
          <w:p w14:paraId="0120029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万州鹿鸣垭风电场</w:t>
            </w:r>
          </w:p>
        </w:tc>
        <w:tc>
          <w:tcPr>
            <w:tcW w:w="1854" w:type="dxa"/>
            <w:shd w:val="clear" w:color="auto" w:fill="auto"/>
            <w:vAlign w:val="center"/>
          </w:tcPr>
          <w:p w14:paraId="52F9FB7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恒合</w:t>
            </w:r>
            <w:r>
              <w:rPr>
                <w:rFonts w:hint="eastAsia" w:ascii="Times New Roman" w:hAnsi="Times New Roman" w:eastAsia="方正仿宋_GBK"/>
                <w:kern w:val="0"/>
                <w:szCs w:val="21"/>
                <w:lang w:eastAsia="zh-CN"/>
              </w:rPr>
              <w:t>土家族</w:t>
            </w:r>
            <w:r>
              <w:rPr>
                <w:rFonts w:hint="eastAsia" w:ascii="Times New Roman" w:hAnsi="Times New Roman" w:eastAsia="方正仿宋_GBK"/>
                <w:kern w:val="0"/>
                <w:szCs w:val="21"/>
              </w:rPr>
              <w:t>乡玉都村</w:t>
            </w:r>
          </w:p>
        </w:tc>
        <w:tc>
          <w:tcPr>
            <w:tcW w:w="4849" w:type="dxa"/>
            <w:shd w:val="clear" w:color="auto" w:fill="auto"/>
            <w:vAlign w:val="center"/>
          </w:tcPr>
          <w:p w14:paraId="22ED249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建设19台单机容量0.5万千瓦风力发电机组，总装机容量9.5万千瓦，同步配套建设10%,时长1h储能。</w:t>
            </w:r>
          </w:p>
        </w:tc>
        <w:tc>
          <w:tcPr>
            <w:tcW w:w="1256" w:type="dxa"/>
            <w:shd w:val="clear" w:color="auto" w:fill="auto"/>
            <w:vAlign w:val="center"/>
          </w:tcPr>
          <w:p w14:paraId="3CB340B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FF738D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060333A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360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4B8D85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69</w:t>
            </w:r>
          </w:p>
        </w:tc>
        <w:tc>
          <w:tcPr>
            <w:tcW w:w="1035" w:type="dxa"/>
            <w:vMerge w:val="continue"/>
            <w:vAlign w:val="center"/>
          </w:tcPr>
          <w:p w14:paraId="7386669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0E4919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万州李家坪风电项目</w:t>
            </w:r>
          </w:p>
        </w:tc>
        <w:tc>
          <w:tcPr>
            <w:tcW w:w="1854" w:type="dxa"/>
            <w:shd w:val="clear" w:color="auto" w:fill="auto"/>
            <w:vAlign w:val="center"/>
          </w:tcPr>
          <w:p w14:paraId="15AC03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燕山乡东峡村、泉水村</w:t>
            </w:r>
            <w:r>
              <w:rPr>
                <w:rFonts w:hint="eastAsia" w:ascii="Times New Roman" w:hAnsi="Times New Roman" w:eastAsia="方正仿宋_GBK"/>
                <w:kern w:val="0"/>
                <w:szCs w:val="21"/>
                <w:lang w:eastAsia="zh-CN"/>
              </w:rPr>
              <w:t>，</w:t>
            </w:r>
            <w:r>
              <w:rPr>
                <w:rFonts w:hint="eastAsia" w:ascii="Times New Roman" w:hAnsi="Times New Roman" w:eastAsia="方正仿宋_GBK"/>
                <w:kern w:val="0"/>
                <w:szCs w:val="21"/>
              </w:rPr>
              <w:t>新乡镇龙泉村</w:t>
            </w:r>
          </w:p>
        </w:tc>
        <w:tc>
          <w:tcPr>
            <w:tcW w:w="4849" w:type="dxa"/>
            <w:shd w:val="clear" w:color="auto" w:fill="auto"/>
            <w:vAlign w:val="center"/>
          </w:tcPr>
          <w:p w14:paraId="075E2B0A">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装机60MW，新建风电机组12台和110</w:t>
            </w:r>
            <w:r>
              <w:rPr>
                <w:rFonts w:hint="eastAsia" w:ascii="Times New Roman" w:hAnsi="Times New Roman" w:eastAsia="方正仿宋_GBK"/>
                <w:kern w:val="0"/>
                <w:szCs w:val="21"/>
                <w:lang w:eastAsia="zh-CN"/>
              </w:rPr>
              <w:t>千伏</w:t>
            </w:r>
            <w:r>
              <w:rPr>
                <w:rFonts w:hint="eastAsia" w:ascii="Times New Roman" w:hAnsi="Times New Roman" w:eastAsia="方正仿宋_GBK"/>
                <w:kern w:val="0"/>
                <w:szCs w:val="21"/>
              </w:rPr>
              <w:t>升压站一座，配套完成设备采购与安装，道路与水环保等工程。</w:t>
            </w:r>
          </w:p>
        </w:tc>
        <w:tc>
          <w:tcPr>
            <w:tcW w:w="1256" w:type="dxa"/>
            <w:shd w:val="clear" w:color="auto" w:fill="auto"/>
            <w:vAlign w:val="center"/>
          </w:tcPr>
          <w:p w14:paraId="1A16CB5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A7F2B7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5E4157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6D6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382FE4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70</w:t>
            </w:r>
          </w:p>
        </w:tc>
        <w:tc>
          <w:tcPr>
            <w:tcW w:w="1035" w:type="dxa"/>
            <w:vMerge w:val="continue"/>
            <w:vAlign w:val="center"/>
          </w:tcPr>
          <w:p w14:paraId="281E7FE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6E9500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蒲叶林风电场三期</w:t>
            </w:r>
          </w:p>
        </w:tc>
        <w:tc>
          <w:tcPr>
            <w:tcW w:w="1854" w:type="dxa"/>
            <w:shd w:val="clear" w:color="auto" w:fill="auto"/>
            <w:vAlign w:val="center"/>
          </w:tcPr>
          <w:p w14:paraId="2F8F4FA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普子乡七曜村</w:t>
            </w:r>
          </w:p>
        </w:tc>
        <w:tc>
          <w:tcPr>
            <w:tcW w:w="4849" w:type="dxa"/>
            <w:shd w:val="clear" w:color="auto" w:fill="auto"/>
            <w:vAlign w:val="center"/>
          </w:tcPr>
          <w:p w14:paraId="2C068ED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建设装机25WM的风电场项目。</w:t>
            </w:r>
          </w:p>
        </w:tc>
        <w:tc>
          <w:tcPr>
            <w:tcW w:w="1256" w:type="dxa"/>
            <w:shd w:val="clear" w:color="auto" w:fill="auto"/>
            <w:vAlign w:val="center"/>
          </w:tcPr>
          <w:p w14:paraId="79A31C3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扩建</w:t>
            </w:r>
          </w:p>
        </w:tc>
        <w:tc>
          <w:tcPr>
            <w:tcW w:w="1371" w:type="dxa"/>
            <w:shd w:val="clear" w:color="auto" w:fill="auto"/>
            <w:vAlign w:val="center"/>
          </w:tcPr>
          <w:p w14:paraId="4F9645C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2024-2026</w:t>
            </w:r>
          </w:p>
        </w:tc>
        <w:tc>
          <w:tcPr>
            <w:tcW w:w="911" w:type="dxa"/>
            <w:shd w:val="clear" w:color="auto" w:fill="auto"/>
            <w:vAlign w:val="center"/>
          </w:tcPr>
          <w:p w14:paraId="3E8DB63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517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CD312E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71</w:t>
            </w:r>
          </w:p>
        </w:tc>
        <w:tc>
          <w:tcPr>
            <w:tcW w:w="1035" w:type="dxa"/>
            <w:vMerge w:val="restart"/>
            <w:shd w:val="clear" w:color="auto" w:fill="auto"/>
            <w:vAlign w:val="center"/>
          </w:tcPr>
          <w:p w14:paraId="4B3E205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水电</w:t>
            </w:r>
          </w:p>
        </w:tc>
        <w:tc>
          <w:tcPr>
            <w:tcW w:w="2692" w:type="dxa"/>
            <w:shd w:val="clear" w:color="auto" w:fill="auto"/>
            <w:vAlign w:val="center"/>
          </w:tcPr>
          <w:p w14:paraId="54E1F84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大滩口二期</w:t>
            </w:r>
          </w:p>
        </w:tc>
        <w:tc>
          <w:tcPr>
            <w:tcW w:w="1854" w:type="dxa"/>
            <w:shd w:val="clear" w:color="auto" w:fill="auto"/>
            <w:vAlign w:val="center"/>
          </w:tcPr>
          <w:p w14:paraId="382051CC">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走马镇凉风村</w:t>
            </w:r>
          </w:p>
        </w:tc>
        <w:tc>
          <w:tcPr>
            <w:tcW w:w="4849" w:type="dxa"/>
            <w:shd w:val="clear" w:color="auto" w:fill="auto"/>
            <w:vAlign w:val="center"/>
          </w:tcPr>
          <w:p w14:paraId="0B7A86A2">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设计装机容量为</w:t>
            </w:r>
            <w:r>
              <w:rPr>
                <w:rFonts w:hint="eastAsia" w:ascii="Times New Roman" w:hAnsi="Times New Roman" w:eastAsia="方正仿宋_GBK"/>
                <w:kern w:val="0"/>
                <w:szCs w:val="21"/>
                <w:highlight w:val="none"/>
              </w:rPr>
              <w:t>2×8</w:t>
            </w:r>
            <w:r>
              <w:rPr>
                <w:rFonts w:hint="eastAsia" w:ascii="Times New Roman" w:hAnsi="Times New Roman" w:eastAsia="方正仿宋_GBK"/>
                <w:kern w:val="0"/>
                <w:szCs w:val="21"/>
              </w:rPr>
              <w:t>兆瓦。</w:t>
            </w:r>
          </w:p>
        </w:tc>
        <w:tc>
          <w:tcPr>
            <w:tcW w:w="1256" w:type="dxa"/>
            <w:shd w:val="clear" w:color="auto" w:fill="auto"/>
            <w:vAlign w:val="center"/>
          </w:tcPr>
          <w:p w14:paraId="1277EE2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改扩建</w:t>
            </w:r>
          </w:p>
        </w:tc>
        <w:tc>
          <w:tcPr>
            <w:tcW w:w="1371" w:type="dxa"/>
            <w:shd w:val="clear" w:color="auto" w:fill="auto"/>
            <w:vAlign w:val="center"/>
          </w:tcPr>
          <w:p w14:paraId="300B91E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w:t>
            </w:r>
          </w:p>
        </w:tc>
        <w:tc>
          <w:tcPr>
            <w:tcW w:w="911" w:type="dxa"/>
            <w:shd w:val="clear" w:color="auto" w:fill="auto"/>
            <w:vAlign w:val="center"/>
          </w:tcPr>
          <w:p w14:paraId="32C886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D89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D60A11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72</w:t>
            </w:r>
          </w:p>
        </w:tc>
        <w:tc>
          <w:tcPr>
            <w:tcW w:w="1035" w:type="dxa"/>
            <w:vMerge w:val="continue"/>
            <w:vAlign w:val="center"/>
          </w:tcPr>
          <w:p w14:paraId="5814A94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B76022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保安电站</w:t>
            </w:r>
          </w:p>
        </w:tc>
        <w:tc>
          <w:tcPr>
            <w:tcW w:w="1854" w:type="dxa"/>
            <w:shd w:val="clear" w:color="auto" w:fill="auto"/>
            <w:vAlign w:val="center"/>
          </w:tcPr>
          <w:p w14:paraId="5ADF83CD">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百安坝</w:t>
            </w:r>
            <w:r>
              <w:rPr>
                <w:rFonts w:hint="eastAsia" w:ascii="Times New Roman" w:hAnsi="Times New Roman" w:eastAsia="方正仿宋_GBK"/>
                <w:kern w:val="0"/>
                <w:szCs w:val="21"/>
                <w:lang w:eastAsia="zh-CN"/>
              </w:rPr>
              <w:t>街道</w:t>
            </w:r>
          </w:p>
        </w:tc>
        <w:tc>
          <w:tcPr>
            <w:tcW w:w="4849" w:type="dxa"/>
            <w:shd w:val="clear" w:color="auto" w:fill="auto"/>
            <w:vAlign w:val="center"/>
          </w:tcPr>
          <w:p w14:paraId="336D127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设计装机容量为3.6兆瓦。</w:t>
            </w:r>
          </w:p>
        </w:tc>
        <w:tc>
          <w:tcPr>
            <w:tcW w:w="1256" w:type="dxa"/>
            <w:shd w:val="clear" w:color="auto" w:fill="auto"/>
            <w:vAlign w:val="center"/>
          </w:tcPr>
          <w:p w14:paraId="4426FF2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859980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2021-2025</w:t>
            </w:r>
          </w:p>
        </w:tc>
        <w:tc>
          <w:tcPr>
            <w:tcW w:w="911" w:type="dxa"/>
            <w:shd w:val="clear" w:color="auto" w:fill="auto"/>
            <w:vAlign w:val="center"/>
          </w:tcPr>
          <w:p w14:paraId="0A015D4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773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77D1A8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73</w:t>
            </w:r>
          </w:p>
        </w:tc>
        <w:tc>
          <w:tcPr>
            <w:tcW w:w="1035" w:type="dxa"/>
            <w:vMerge w:val="continue"/>
            <w:vAlign w:val="center"/>
          </w:tcPr>
          <w:p w14:paraId="0C0A05A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94804D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罗田抽水蓄能电站项目</w:t>
            </w:r>
          </w:p>
        </w:tc>
        <w:tc>
          <w:tcPr>
            <w:tcW w:w="1854" w:type="dxa"/>
            <w:shd w:val="clear" w:color="auto" w:fill="auto"/>
            <w:vAlign w:val="center"/>
          </w:tcPr>
          <w:p w14:paraId="5AF5256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罗田镇枫香村</w:t>
            </w:r>
          </w:p>
        </w:tc>
        <w:tc>
          <w:tcPr>
            <w:tcW w:w="4849" w:type="dxa"/>
            <w:shd w:val="clear" w:color="auto" w:fill="auto"/>
            <w:vAlign w:val="center"/>
          </w:tcPr>
          <w:p w14:paraId="288BCA6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初拟装机规模1500MW，装有4台375MW的水泵水轮电动发电机组。</w:t>
            </w:r>
          </w:p>
        </w:tc>
        <w:tc>
          <w:tcPr>
            <w:tcW w:w="1256" w:type="dxa"/>
            <w:shd w:val="clear" w:color="auto" w:fill="auto"/>
            <w:vAlign w:val="center"/>
          </w:tcPr>
          <w:p w14:paraId="7C2C898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3F222E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2024-2030</w:t>
            </w:r>
          </w:p>
        </w:tc>
        <w:tc>
          <w:tcPr>
            <w:tcW w:w="911" w:type="dxa"/>
            <w:shd w:val="clear" w:color="auto" w:fill="auto"/>
            <w:vAlign w:val="center"/>
          </w:tcPr>
          <w:p w14:paraId="3D15BC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6A4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3667FF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74</w:t>
            </w:r>
          </w:p>
        </w:tc>
        <w:tc>
          <w:tcPr>
            <w:tcW w:w="1035" w:type="dxa"/>
            <w:vMerge w:val="restart"/>
            <w:shd w:val="clear" w:color="auto" w:fill="auto"/>
            <w:vAlign w:val="center"/>
          </w:tcPr>
          <w:p w14:paraId="40DD82A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光伏发电</w:t>
            </w:r>
          </w:p>
        </w:tc>
        <w:tc>
          <w:tcPr>
            <w:tcW w:w="2692" w:type="dxa"/>
            <w:shd w:val="clear" w:color="auto" w:fill="auto"/>
            <w:vAlign w:val="center"/>
          </w:tcPr>
          <w:p w14:paraId="6523692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武陵光伏发电项目</w:t>
            </w:r>
          </w:p>
        </w:tc>
        <w:tc>
          <w:tcPr>
            <w:tcW w:w="1854" w:type="dxa"/>
            <w:shd w:val="clear" w:color="auto" w:fill="auto"/>
            <w:vAlign w:val="center"/>
          </w:tcPr>
          <w:p w14:paraId="4CE25C9E">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highlight w:val="none"/>
                <w:lang w:eastAsia="zh-CN"/>
              </w:rPr>
              <w:t>武陵镇</w:t>
            </w:r>
          </w:p>
        </w:tc>
        <w:tc>
          <w:tcPr>
            <w:tcW w:w="4849" w:type="dxa"/>
            <w:shd w:val="clear" w:color="auto" w:fill="auto"/>
            <w:vAlign w:val="center"/>
          </w:tcPr>
          <w:p w14:paraId="560DF348">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在武陵镇建设光伏电站，项目装机2.4万千瓦，计划总投资0.7亿。</w:t>
            </w:r>
          </w:p>
        </w:tc>
        <w:tc>
          <w:tcPr>
            <w:tcW w:w="1256" w:type="dxa"/>
            <w:shd w:val="clear" w:color="auto" w:fill="auto"/>
            <w:vAlign w:val="center"/>
          </w:tcPr>
          <w:p w14:paraId="4E6D169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FB8FD8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2023-2024</w:t>
            </w:r>
          </w:p>
        </w:tc>
        <w:tc>
          <w:tcPr>
            <w:tcW w:w="911" w:type="dxa"/>
            <w:shd w:val="clear" w:color="auto" w:fill="auto"/>
            <w:vAlign w:val="center"/>
          </w:tcPr>
          <w:p w14:paraId="5240B60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7B6A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91284D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75</w:t>
            </w:r>
          </w:p>
        </w:tc>
        <w:tc>
          <w:tcPr>
            <w:tcW w:w="1035" w:type="dxa"/>
            <w:vMerge w:val="continue"/>
            <w:vAlign w:val="center"/>
          </w:tcPr>
          <w:p w14:paraId="5D29FE3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A38298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鱼背山水风光多能互补实验基地项目</w:t>
            </w:r>
          </w:p>
        </w:tc>
        <w:tc>
          <w:tcPr>
            <w:tcW w:w="1854" w:type="dxa"/>
            <w:shd w:val="clear" w:color="auto" w:fill="auto"/>
            <w:vAlign w:val="center"/>
          </w:tcPr>
          <w:p w14:paraId="26C8ABCB">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lang w:eastAsia="zh-CN"/>
              </w:rPr>
              <w:t>走马镇</w:t>
            </w:r>
          </w:p>
        </w:tc>
        <w:tc>
          <w:tcPr>
            <w:tcW w:w="4849" w:type="dxa"/>
            <w:shd w:val="clear" w:color="auto" w:fill="auto"/>
            <w:vAlign w:val="center"/>
          </w:tcPr>
          <w:p w14:paraId="49B055C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项目位于鱼背山电厂，利用水库坝面、泄洪水坝，附近闲置地块，建设光伏发电装机容量5.9MW、风力发电装机容量0.5MW，计划总投资4000万元，建成后年均上网电量508万千瓦时，为三峡水利万州电网水风光多能互补提供小容量验证依据。</w:t>
            </w:r>
          </w:p>
        </w:tc>
        <w:tc>
          <w:tcPr>
            <w:tcW w:w="1256" w:type="dxa"/>
            <w:shd w:val="clear" w:color="auto" w:fill="auto"/>
            <w:vAlign w:val="center"/>
          </w:tcPr>
          <w:p w14:paraId="395B111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5B5453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2024-2026</w:t>
            </w:r>
          </w:p>
        </w:tc>
        <w:tc>
          <w:tcPr>
            <w:tcW w:w="911" w:type="dxa"/>
            <w:shd w:val="clear" w:color="auto" w:fill="auto"/>
            <w:vAlign w:val="center"/>
          </w:tcPr>
          <w:p w14:paraId="7EC1280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D3C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94C9B2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76</w:t>
            </w:r>
          </w:p>
        </w:tc>
        <w:tc>
          <w:tcPr>
            <w:tcW w:w="1035" w:type="dxa"/>
            <w:shd w:val="clear" w:color="auto" w:fill="auto"/>
            <w:vAlign w:val="center"/>
          </w:tcPr>
          <w:p w14:paraId="4BA6214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生物质能</w:t>
            </w:r>
          </w:p>
        </w:tc>
        <w:tc>
          <w:tcPr>
            <w:tcW w:w="2692" w:type="dxa"/>
            <w:shd w:val="clear" w:color="auto" w:fill="auto"/>
            <w:vAlign w:val="center"/>
          </w:tcPr>
          <w:p w14:paraId="2FB823E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垃圾焚烧发电二期</w:t>
            </w:r>
          </w:p>
        </w:tc>
        <w:tc>
          <w:tcPr>
            <w:tcW w:w="1854" w:type="dxa"/>
            <w:shd w:val="clear" w:color="auto" w:fill="auto"/>
            <w:vAlign w:val="center"/>
          </w:tcPr>
          <w:p w14:paraId="7A171E1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2F171AC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垃圾焚烧发电二期设计处理规模为400吨/天，装机容量为1万千瓦。</w:t>
            </w:r>
          </w:p>
        </w:tc>
        <w:tc>
          <w:tcPr>
            <w:tcW w:w="1256" w:type="dxa"/>
            <w:shd w:val="clear" w:color="auto" w:fill="auto"/>
            <w:vAlign w:val="center"/>
          </w:tcPr>
          <w:p w14:paraId="09D1630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247F95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2026-2028</w:t>
            </w:r>
          </w:p>
        </w:tc>
        <w:tc>
          <w:tcPr>
            <w:tcW w:w="911" w:type="dxa"/>
            <w:shd w:val="clear" w:color="auto" w:fill="auto"/>
            <w:vAlign w:val="center"/>
          </w:tcPr>
          <w:p w14:paraId="295C42D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A36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C4BB57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77</w:t>
            </w:r>
          </w:p>
        </w:tc>
        <w:tc>
          <w:tcPr>
            <w:tcW w:w="1035" w:type="dxa"/>
            <w:vMerge w:val="restart"/>
            <w:shd w:val="clear" w:color="auto" w:fill="auto"/>
            <w:vAlign w:val="center"/>
          </w:tcPr>
          <w:p w14:paraId="6FA33D4F">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储能</w:t>
            </w:r>
          </w:p>
        </w:tc>
        <w:tc>
          <w:tcPr>
            <w:tcW w:w="2692" w:type="dxa"/>
            <w:shd w:val="clear" w:color="auto" w:fill="auto"/>
            <w:vAlign w:val="center"/>
          </w:tcPr>
          <w:p w14:paraId="1E9D3EDE">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电网侧储能电站</w:t>
            </w:r>
          </w:p>
        </w:tc>
        <w:tc>
          <w:tcPr>
            <w:tcW w:w="1854" w:type="dxa"/>
            <w:shd w:val="clear" w:color="auto" w:fill="auto"/>
            <w:vAlign w:val="center"/>
          </w:tcPr>
          <w:p w14:paraId="549765B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063D435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结合电网调峰调频需求，争取社会业主投资建设电网侧储能电站，初步计划规模10万千瓦/20万千瓦时。</w:t>
            </w:r>
          </w:p>
        </w:tc>
        <w:tc>
          <w:tcPr>
            <w:tcW w:w="1256" w:type="dxa"/>
            <w:shd w:val="clear" w:color="auto" w:fill="auto"/>
            <w:vAlign w:val="center"/>
          </w:tcPr>
          <w:p w14:paraId="22236E6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4283EF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71EDB9C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AD4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5BC8A4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78</w:t>
            </w:r>
          </w:p>
        </w:tc>
        <w:tc>
          <w:tcPr>
            <w:tcW w:w="1035" w:type="dxa"/>
            <w:vMerge w:val="continue"/>
            <w:vAlign w:val="center"/>
          </w:tcPr>
          <w:p w14:paraId="06CBD8C6">
            <w:pPr>
              <w:widowControl/>
              <w:spacing w:line="300" w:lineRule="exact"/>
              <w:jc w:val="left"/>
              <w:rPr>
                <w:rFonts w:ascii="Times New Roman" w:hAnsi="Times New Roman" w:eastAsia="方正仿宋_GBK" w:cs="宋体"/>
                <w:kern w:val="0"/>
                <w:szCs w:val="21"/>
              </w:rPr>
            </w:pPr>
          </w:p>
        </w:tc>
        <w:tc>
          <w:tcPr>
            <w:tcW w:w="2692" w:type="dxa"/>
            <w:shd w:val="clear" w:color="auto" w:fill="auto"/>
            <w:vAlign w:val="center"/>
          </w:tcPr>
          <w:p w14:paraId="207BB095">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用户侧储能电站</w:t>
            </w:r>
          </w:p>
        </w:tc>
        <w:tc>
          <w:tcPr>
            <w:tcW w:w="1854" w:type="dxa"/>
            <w:shd w:val="clear" w:color="auto" w:fill="auto"/>
            <w:vAlign w:val="center"/>
          </w:tcPr>
          <w:p w14:paraId="103E1EF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70343FE6">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结合企业用电需求，鼓励企业自建或通过综合能源服务等方式建设企业储能电站。</w:t>
            </w:r>
          </w:p>
        </w:tc>
        <w:tc>
          <w:tcPr>
            <w:tcW w:w="1256" w:type="dxa"/>
            <w:shd w:val="clear" w:color="auto" w:fill="auto"/>
            <w:vAlign w:val="center"/>
          </w:tcPr>
          <w:p w14:paraId="1E0441E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499A5F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07D1E7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8F5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noWrap/>
            <w:vAlign w:val="center"/>
          </w:tcPr>
          <w:p w14:paraId="4C608236">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三、天然气</w:t>
            </w:r>
          </w:p>
        </w:tc>
      </w:tr>
      <w:tr w14:paraId="7C6B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4E579D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79</w:t>
            </w:r>
          </w:p>
        </w:tc>
        <w:tc>
          <w:tcPr>
            <w:tcW w:w="1035" w:type="dxa"/>
            <w:vMerge w:val="restart"/>
            <w:shd w:val="clear" w:color="auto" w:fill="auto"/>
            <w:vAlign w:val="center"/>
          </w:tcPr>
          <w:p w14:paraId="31780BB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储配站</w:t>
            </w:r>
          </w:p>
        </w:tc>
        <w:tc>
          <w:tcPr>
            <w:tcW w:w="2692" w:type="dxa"/>
            <w:shd w:val="clear" w:color="auto" w:fill="auto"/>
            <w:vAlign w:val="center"/>
          </w:tcPr>
          <w:p w14:paraId="732293B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五桥保安储配站</w:t>
            </w:r>
          </w:p>
        </w:tc>
        <w:tc>
          <w:tcPr>
            <w:tcW w:w="1854" w:type="dxa"/>
            <w:shd w:val="clear" w:color="auto" w:fill="auto"/>
            <w:vAlign w:val="center"/>
          </w:tcPr>
          <w:p w14:paraId="2D3E32B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百安坝街道保安村</w:t>
            </w:r>
          </w:p>
        </w:tc>
        <w:tc>
          <w:tcPr>
            <w:tcW w:w="4849" w:type="dxa"/>
            <w:shd w:val="clear" w:color="auto" w:fill="auto"/>
            <w:vAlign w:val="center"/>
          </w:tcPr>
          <w:p w14:paraId="0F4FE56B">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设计供气能力100万方/天，储气能力32万方。</w:t>
            </w:r>
          </w:p>
        </w:tc>
        <w:tc>
          <w:tcPr>
            <w:tcW w:w="1256" w:type="dxa"/>
            <w:shd w:val="clear" w:color="auto" w:fill="auto"/>
            <w:vAlign w:val="center"/>
          </w:tcPr>
          <w:p w14:paraId="5FAE390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66AE9B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5567219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CF5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42F0CC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80</w:t>
            </w:r>
          </w:p>
        </w:tc>
        <w:tc>
          <w:tcPr>
            <w:tcW w:w="1035" w:type="dxa"/>
            <w:vMerge w:val="continue"/>
            <w:vAlign w:val="center"/>
          </w:tcPr>
          <w:p w14:paraId="3BC6480F">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9FEFAC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陈家坝储配站</w:t>
            </w:r>
          </w:p>
        </w:tc>
        <w:tc>
          <w:tcPr>
            <w:tcW w:w="1854" w:type="dxa"/>
            <w:shd w:val="clear" w:color="auto" w:fill="auto"/>
            <w:vAlign w:val="center"/>
          </w:tcPr>
          <w:p w14:paraId="2656271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陈家坝街道密溪沟片区</w:t>
            </w:r>
          </w:p>
        </w:tc>
        <w:tc>
          <w:tcPr>
            <w:tcW w:w="4849" w:type="dxa"/>
            <w:shd w:val="clear" w:color="auto" w:fill="auto"/>
            <w:vAlign w:val="center"/>
          </w:tcPr>
          <w:p w14:paraId="5A6F2EFE">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设计供气能力30万方/天。</w:t>
            </w:r>
          </w:p>
        </w:tc>
        <w:tc>
          <w:tcPr>
            <w:tcW w:w="1256" w:type="dxa"/>
            <w:shd w:val="clear" w:color="auto" w:fill="auto"/>
            <w:vAlign w:val="center"/>
          </w:tcPr>
          <w:p w14:paraId="1D66EB4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994F12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6CB0403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FF3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DE44F5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81</w:t>
            </w:r>
          </w:p>
        </w:tc>
        <w:tc>
          <w:tcPr>
            <w:tcW w:w="1035" w:type="dxa"/>
            <w:vMerge w:val="continue"/>
            <w:vAlign w:val="center"/>
          </w:tcPr>
          <w:p w14:paraId="66B81AB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5728F9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枇杷坪储配站</w:t>
            </w:r>
          </w:p>
        </w:tc>
        <w:tc>
          <w:tcPr>
            <w:tcW w:w="1854" w:type="dxa"/>
            <w:shd w:val="clear" w:color="auto" w:fill="auto"/>
            <w:vAlign w:val="center"/>
          </w:tcPr>
          <w:p w14:paraId="123AC70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钟鼓楼街道</w:t>
            </w:r>
          </w:p>
        </w:tc>
        <w:tc>
          <w:tcPr>
            <w:tcW w:w="4849" w:type="dxa"/>
            <w:shd w:val="clear" w:color="auto" w:fill="auto"/>
            <w:vAlign w:val="center"/>
          </w:tcPr>
          <w:p w14:paraId="7227E1A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设计供气能力30万方/天。</w:t>
            </w:r>
          </w:p>
        </w:tc>
        <w:tc>
          <w:tcPr>
            <w:tcW w:w="1256" w:type="dxa"/>
            <w:shd w:val="clear" w:color="auto" w:fill="auto"/>
            <w:vAlign w:val="center"/>
          </w:tcPr>
          <w:p w14:paraId="3A00934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048DAB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2025-2030</w:t>
            </w:r>
          </w:p>
        </w:tc>
        <w:tc>
          <w:tcPr>
            <w:tcW w:w="911" w:type="dxa"/>
            <w:shd w:val="clear" w:color="auto" w:fill="auto"/>
            <w:vAlign w:val="center"/>
          </w:tcPr>
          <w:p w14:paraId="7453DA7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AC3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2BB8C6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82</w:t>
            </w:r>
          </w:p>
        </w:tc>
        <w:tc>
          <w:tcPr>
            <w:tcW w:w="1035" w:type="dxa"/>
            <w:vMerge w:val="continue"/>
            <w:vAlign w:val="center"/>
          </w:tcPr>
          <w:p w14:paraId="1F59394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8669449">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新田园配气站</w:t>
            </w:r>
          </w:p>
        </w:tc>
        <w:tc>
          <w:tcPr>
            <w:tcW w:w="1854" w:type="dxa"/>
            <w:shd w:val="clear" w:color="auto" w:fill="auto"/>
            <w:vAlign w:val="center"/>
          </w:tcPr>
          <w:p w14:paraId="5047C3C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lang w:eastAsia="zh-CN"/>
              </w:rPr>
              <w:t>万州经开区</w:t>
            </w:r>
            <w:r>
              <w:rPr>
                <w:rFonts w:hint="eastAsia" w:ascii="Times New Roman" w:hAnsi="Times New Roman" w:eastAsia="方正仿宋_GBK"/>
                <w:kern w:val="0"/>
                <w:szCs w:val="21"/>
                <w:highlight w:val="none"/>
              </w:rPr>
              <w:t>新田园</w:t>
            </w:r>
          </w:p>
        </w:tc>
        <w:tc>
          <w:tcPr>
            <w:tcW w:w="4849" w:type="dxa"/>
            <w:shd w:val="clear" w:color="auto" w:fill="auto"/>
            <w:vAlign w:val="center"/>
          </w:tcPr>
          <w:p w14:paraId="5AAF375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设计供气规模按10万方/天、8000方/小时。</w:t>
            </w:r>
          </w:p>
        </w:tc>
        <w:tc>
          <w:tcPr>
            <w:tcW w:w="1256" w:type="dxa"/>
            <w:shd w:val="clear" w:color="auto" w:fill="auto"/>
            <w:vAlign w:val="center"/>
          </w:tcPr>
          <w:p w14:paraId="2FB48E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219D5D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59D6313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518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5A3C5F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83</w:t>
            </w:r>
          </w:p>
        </w:tc>
        <w:tc>
          <w:tcPr>
            <w:tcW w:w="1035" w:type="dxa"/>
            <w:vMerge w:val="continue"/>
            <w:vAlign w:val="center"/>
          </w:tcPr>
          <w:p w14:paraId="0AA4BB2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042CB6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九龙储配站</w:t>
            </w:r>
          </w:p>
        </w:tc>
        <w:tc>
          <w:tcPr>
            <w:tcW w:w="1854" w:type="dxa"/>
            <w:shd w:val="clear" w:color="auto" w:fill="auto"/>
            <w:vAlign w:val="center"/>
          </w:tcPr>
          <w:p w14:paraId="452123DE">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lang w:eastAsia="zh-CN"/>
              </w:rPr>
              <w:t>万州</w:t>
            </w:r>
            <w:r>
              <w:rPr>
                <w:rFonts w:hint="eastAsia" w:ascii="Times New Roman" w:hAnsi="Times New Roman" w:eastAsia="方正仿宋_GBK" w:cs="宋体"/>
                <w:kern w:val="0"/>
                <w:szCs w:val="21"/>
              </w:rPr>
              <w:t>经开区九龙园</w:t>
            </w:r>
          </w:p>
        </w:tc>
        <w:tc>
          <w:tcPr>
            <w:tcW w:w="4849" w:type="dxa"/>
            <w:shd w:val="clear" w:color="auto" w:fill="auto"/>
            <w:vAlign w:val="center"/>
          </w:tcPr>
          <w:p w14:paraId="737EE3BA">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设计压力1.6MPa，设计规模480×10</w:t>
            </w:r>
            <w:r>
              <w:rPr>
                <w:rFonts w:hint="eastAsia" w:ascii="Times New Roman" w:hAnsi="Times New Roman" w:eastAsia="方正仿宋_GBK"/>
                <w:kern w:val="0"/>
                <w:szCs w:val="21"/>
                <w:vertAlign w:val="superscript"/>
              </w:rPr>
              <w:t>4</w:t>
            </w:r>
            <w:r>
              <w:rPr>
                <w:rFonts w:hint="eastAsia" w:ascii="Times New Roman" w:hAnsi="Times New Roman" w:eastAsia="方正仿宋_GBK"/>
                <w:kern w:val="0"/>
                <w:szCs w:val="21"/>
              </w:rPr>
              <w:t>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/d，建设2000m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储罐4座。</w:t>
            </w:r>
          </w:p>
        </w:tc>
        <w:tc>
          <w:tcPr>
            <w:tcW w:w="1256" w:type="dxa"/>
            <w:shd w:val="clear" w:color="auto" w:fill="auto"/>
            <w:vAlign w:val="center"/>
          </w:tcPr>
          <w:p w14:paraId="639A374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C1C165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46412D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28ED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B9BD2E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84</w:t>
            </w:r>
          </w:p>
        </w:tc>
        <w:tc>
          <w:tcPr>
            <w:tcW w:w="1035" w:type="dxa"/>
            <w:vMerge w:val="continue"/>
            <w:vAlign w:val="center"/>
          </w:tcPr>
          <w:p w14:paraId="580B6C0C">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A21B90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董家配气站</w:t>
            </w:r>
          </w:p>
        </w:tc>
        <w:tc>
          <w:tcPr>
            <w:tcW w:w="1854" w:type="dxa"/>
            <w:shd w:val="clear" w:color="auto" w:fill="auto"/>
            <w:vAlign w:val="center"/>
          </w:tcPr>
          <w:p w14:paraId="547DA2A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熊家镇</w:t>
            </w:r>
          </w:p>
        </w:tc>
        <w:tc>
          <w:tcPr>
            <w:tcW w:w="4849" w:type="dxa"/>
            <w:shd w:val="clear" w:color="auto" w:fill="auto"/>
            <w:vAlign w:val="center"/>
          </w:tcPr>
          <w:p w14:paraId="15D87259">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设计压力2.5MPa，设计规模20×10</w:t>
            </w:r>
            <w:r>
              <w:rPr>
                <w:rFonts w:hint="eastAsia" w:ascii="Times New Roman" w:hAnsi="Times New Roman" w:eastAsia="方正仿宋_GBK"/>
                <w:kern w:val="0"/>
                <w:szCs w:val="21"/>
                <w:vertAlign w:val="superscript"/>
              </w:rPr>
              <w:t>4</w:t>
            </w:r>
            <w:r>
              <w:rPr>
                <w:rFonts w:hint="eastAsia" w:ascii="Times New Roman" w:hAnsi="Times New Roman" w:eastAsia="方正仿宋_GBK"/>
                <w:kern w:val="0"/>
                <w:szCs w:val="21"/>
              </w:rPr>
              <w:t>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w:t>
            </w:r>
          </w:p>
        </w:tc>
        <w:tc>
          <w:tcPr>
            <w:tcW w:w="1256" w:type="dxa"/>
            <w:shd w:val="clear" w:color="auto" w:fill="auto"/>
            <w:vAlign w:val="center"/>
          </w:tcPr>
          <w:p w14:paraId="13EE082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800087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61FF00B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2C2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1E358CB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85</w:t>
            </w:r>
          </w:p>
        </w:tc>
        <w:tc>
          <w:tcPr>
            <w:tcW w:w="1035" w:type="dxa"/>
            <w:vMerge w:val="continue"/>
            <w:vAlign w:val="center"/>
          </w:tcPr>
          <w:p w14:paraId="592D9E97">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206198E3">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万博橇装站</w:t>
            </w:r>
          </w:p>
        </w:tc>
        <w:tc>
          <w:tcPr>
            <w:tcW w:w="1854" w:type="dxa"/>
            <w:shd w:val="clear" w:color="auto" w:fill="auto"/>
            <w:vAlign w:val="center"/>
          </w:tcPr>
          <w:p w14:paraId="5B213F0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万州经开区九龙园</w:t>
            </w:r>
          </w:p>
        </w:tc>
        <w:tc>
          <w:tcPr>
            <w:tcW w:w="4849" w:type="dxa"/>
            <w:shd w:val="clear" w:color="auto" w:fill="auto"/>
            <w:vAlign w:val="center"/>
          </w:tcPr>
          <w:p w14:paraId="242EE39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设计压力1.6MPa，设计规模90×10</w:t>
            </w:r>
            <w:r>
              <w:rPr>
                <w:rFonts w:hint="eastAsia" w:ascii="Times New Roman" w:hAnsi="Times New Roman" w:eastAsia="方正仿宋_GBK"/>
                <w:kern w:val="0"/>
                <w:szCs w:val="21"/>
                <w:vertAlign w:val="superscript"/>
              </w:rPr>
              <w:t>4</w:t>
            </w:r>
            <w:r>
              <w:rPr>
                <w:rFonts w:hint="eastAsia" w:ascii="Times New Roman" w:hAnsi="Times New Roman" w:eastAsia="方正仿宋_GBK"/>
                <w:kern w:val="0"/>
                <w:szCs w:val="21"/>
              </w:rPr>
              <w:t>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w:t>
            </w:r>
          </w:p>
        </w:tc>
        <w:tc>
          <w:tcPr>
            <w:tcW w:w="1256" w:type="dxa"/>
            <w:shd w:val="clear" w:color="auto" w:fill="auto"/>
            <w:vAlign w:val="center"/>
          </w:tcPr>
          <w:p w14:paraId="686ECA8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7E7AFD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7EC8D2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6E5D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55B56A3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86</w:t>
            </w:r>
          </w:p>
        </w:tc>
        <w:tc>
          <w:tcPr>
            <w:tcW w:w="1035" w:type="dxa"/>
            <w:shd w:val="clear" w:color="auto" w:fill="auto"/>
            <w:vAlign w:val="center"/>
          </w:tcPr>
          <w:p w14:paraId="23BC364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天然气开采</w:t>
            </w:r>
          </w:p>
        </w:tc>
        <w:tc>
          <w:tcPr>
            <w:tcW w:w="2692" w:type="dxa"/>
            <w:shd w:val="clear" w:color="auto" w:fill="auto"/>
            <w:vAlign w:val="center"/>
          </w:tcPr>
          <w:p w14:paraId="74AEC77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采气场及净化厂</w:t>
            </w:r>
          </w:p>
        </w:tc>
        <w:tc>
          <w:tcPr>
            <w:tcW w:w="1854" w:type="dxa"/>
            <w:shd w:val="clear" w:color="auto" w:fill="auto"/>
            <w:vAlign w:val="center"/>
          </w:tcPr>
          <w:p w14:paraId="3E97B6D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分水镇、熊家镇等</w:t>
            </w:r>
          </w:p>
        </w:tc>
        <w:tc>
          <w:tcPr>
            <w:tcW w:w="4849" w:type="dxa"/>
            <w:shd w:val="clear" w:color="auto" w:fill="auto"/>
            <w:vAlign w:val="center"/>
          </w:tcPr>
          <w:p w14:paraId="1EB02905">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实施老气田补充产能、新建采气场及净化厂，争取采气总量达到10亿方/年。</w:t>
            </w:r>
          </w:p>
        </w:tc>
        <w:tc>
          <w:tcPr>
            <w:tcW w:w="1256" w:type="dxa"/>
            <w:shd w:val="clear" w:color="auto" w:fill="auto"/>
            <w:vAlign w:val="center"/>
          </w:tcPr>
          <w:p w14:paraId="06EA582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9433DC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E6270A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729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6D7BD5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87</w:t>
            </w:r>
          </w:p>
        </w:tc>
        <w:tc>
          <w:tcPr>
            <w:tcW w:w="1035" w:type="dxa"/>
            <w:vMerge w:val="restart"/>
            <w:shd w:val="clear" w:color="auto" w:fill="auto"/>
            <w:vAlign w:val="center"/>
          </w:tcPr>
          <w:p w14:paraId="68FB33A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管道</w:t>
            </w:r>
          </w:p>
        </w:tc>
        <w:tc>
          <w:tcPr>
            <w:tcW w:w="2692" w:type="dxa"/>
            <w:shd w:val="clear" w:color="auto" w:fill="auto"/>
            <w:vAlign w:val="center"/>
          </w:tcPr>
          <w:p w14:paraId="53E1822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五桥保安储配站配套管线工程</w:t>
            </w:r>
          </w:p>
        </w:tc>
        <w:tc>
          <w:tcPr>
            <w:tcW w:w="1854" w:type="dxa"/>
            <w:shd w:val="clear" w:color="auto" w:fill="auto"/>
            <w:vAlign w:val="center"/>
          </w:tcPr>
          <w:p w14:paraId="4151C89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00A737C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新建1条DN200高压燃气进站管道、1条DN300的次高压燃气进站管道、1条DN400的中压燃气出站管道，进站配套管线约3.2公里，出站配套管线约4公里。</w:t>
            </w:r>
          </w:p>
        </w:tc>
        <w:tc>
          <w:tcPr>
            <w:tcW w:w="1256" w:type="dxa"/>
            <w:shd w:val="clear" w:color="auto" w:fill="auto"/>
            <w:vAlign w:val="center"/>
          </w:tcPr>
          <w:p w14:paraId="499703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38C1A13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5F6F667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432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67C11AD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88</w:t>
            </w:r>
          </w:p>
        </w:tc>
        <w:tc>
          <w:tcPr>
            <w:tcW w:w="1035" w:type="dxa"/>
            <w:vMerge w:val="continue"/>
            <w:vAlign w:val="center"/>
          </w:tcPr>
          <w:p w14:paraId="18AC5F8B">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327991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新田园配气站配套管线工程</w:t>
            </w:r>
          </w:p>
        </w:tc>
        <w:tc>
          <w:tcPr>
            <w:tcW w:w="1854" w:type="dxa"/>
            <w:shd w:val="clear" w:color="auto" w:fill="auto"/>
            <w:vAlign w:val="center"/>
          </w:tcPr>
          <w:p w14:paraId="134EC5C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1FA868F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新建管径DN150的进、出站管线各一条，进站管线约1.7公里，出站管线约1.0公里。</w:t>
            </w:r>
          </w:p>
        </w:tc>
        <w:tc>
          <w:tcPr>
            <w:tcW w:w="1256" w:type="dxa"/>
            <w:shd w:val="clear" w:color="auto" w:fill="auto"/>
            <w:vAlign w:val="center"/>
          </w:tcPr>
          <w:p w14:paraId="614B28A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xml:space="preserve">新建 </w:t>
            </w:r>
          </w:p>
        </w:tc>
        <w:tc>
          <w:tcPr>
            <w:tcW w:w="1371" w:type="dxa"/>
            <w:shd w:val="clear" w:color="auto" w:fill="auto"/>
            <w:vAlign w:val="center"/>
          </w:tcPr>
          <w:p w14:paraId="4247B7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7B7B51D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62E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3E374D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89</w:t>
            </w:r>
          </w:p>
        </w:tc>
        <w:tc>
          <w:tcPr>
            <w:tcW w:w="1035" w:type="dxa"/>
            <w:vMerge w:val="continue"/>
            <w:vAlign w:val="center"/>
          </w:tcPr>
          <w:p w14:paraId="37318BD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6A8A5A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第二过江管线</w:t>
            </w:r>
          </w:p>
        </w:tc>
        <w:tc>
          <w:tcPr>
            <w:tcW w:w="1854" w:type="dxa"/>
            <w:shd w:val="clear" w:color="auto" w:fill="auto"/>
            <w:vAlign w:val="center"/>
          </w:tcPr>
          <w:p w14:paraId="52F8B90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60A1D037">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在五桥保安储配站与桐元储配站之间建设第二过江管线（两条），规格为DN300设计压力4.0Mpa、长3公里，DN500设计压力6.3Mpa、长3公里。</w:t>
            </w:r>
          </w:p>
        </w:tc>
        <w:tc>
          <w:tcPr>
            <w:tcW w:w="1256" w:type="dxa"/>
            <w:shd w:val="clear" w:color="auto" w:fill="auto"/>
            <w:vAlign w:val="center"/>
          </w:tcPr>
          <w:p w14:paraId="6746E60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D799E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29D6A18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549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9255EF6">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90</w:t>
            </w:r>
          </w:p>
        </w:tc>
        <w:tc>
          <w:tcPr>
            <w:tcW w:w="1035" w:type="dxa"/>
            <w:vMerge w:val="continue"/>
            <w:vAlign w:val="center"/>
          </w:tcPr>
          <w:p w14:paraId="412F148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3EEBAC8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高压外环线</w:t>
            </w:r>
          </w:p>
        </w:tc>
        <w:tc>
          <w:tcPr>
            <w:tcW w:w="1854" w:type="dxa"/>
            <w:shd w:val="clear" w:color="auto" w:fill="auto"/>
            <w:vAlign w:val="center"/>
          </w:tcPr>
          <w:p w14:paraId="33385ED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64BEBAF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高压外环线统一采用DN300的管径，4.0MPa的设计压力，全长约87公里，现状15公里，新建72公里。</w:t>
            </w:r>
          </w:p>
        </w:tc>
        <w:tc>
          <w:tcPr>
            <w:tcW w:w="1256" w:type="dxa"/>
            <w:shd w:val="clear" w:color="auto" w:fill="auto"/>
            <w:vAlign w:val="center"/>
          </w:tcPr>
          <w:p w14:paraId="049B0043">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76B1FC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44EB1CC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F67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2DEED7F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91</w:t>
            </w:r>
          </w:p>
        </w:tc>
        <w:tc>
          <w:tcPr>
            <w:tcW w:w="1035" w:type="dxa"/>
            <w:vMerge w:val="continue"/>
            <w:vAlign w:val="center"/>
          </w:tcPr>
          <w:p w14:paraId="368801C8">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0B59229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川气东送王场分输站至五桥储配站输气管线</w:t>
            </w:r>
          </w:p>
        </w:tc>
        <w:tc>
          <w:tcPr>
            <w:tcW w:w="1854" w:type="dxa"/>
            <w:shd w:val="clear" w:color="auto" w:fill="auto"/>
            <w:vAlign w:val="center"/>
          </w:tcPr>
          <w:p w14:paraId="6DEBAC3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7E0EA8D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新建输气管道管径DN450，设计输气压力4.0MPa，长约65km，输气能力100万方/天。</w:t>
            </w:r>
          </w:p>
        </w:tc>
        <w:tc>
          <w:tcPr>
            <w:tcW w:w="1256" w:type="dxa"/>
            <w:shd w:val="clear" w:color="auto" w:fill="auto"/>
            <w:vAlign w:val="center"/>
          </w:tcPr>
          <w:p w14:paraId="5E60847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改建</w:t>
            </w:r>
          </w:p>
        </w:tc>
        <w:tc>
          <w:tcPr>
            <w:tcW w:w="1371" w:type="dxa"/>
            <w:shd w:val="clear" w:color="auto" w:fill="auto"/>
            <w:vAlign w:val="center"/>
          </w:tcPr>
          <w:p w14:paraId="7B875DF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59D4B7AC">
            <w:pPr>
              <w:widowControl/>
              <w:spacing w:line="300" w:lineRule="exact"/>
              <w:jc w:val="center"/>
              <w:rPr>
                <w:rFonts w:ascii="Times New Roman" w:hAnsi="Times New Roman" w:eastAsia="方正仿宋_GBK"/>
                <w:b/>
                <w:bCs/>
                <w:kern w:val="0"/>
                <w:szCs w:val="21"/>
              </w:rPr>
            </w:pPr>
            <w:r>
              <w:rPr>
                <w:rFonts w:hint="eastAsia" w:ascii="Times New Roman" w:hAnsi="Times New Roman" w:eastAsia="方正仿宋_GBK"/>
                <w:b/>
                <w:bCs/>
                <w:kern w:val="0"/>
                <w:szCs w:val="21"/>
              </w:rPr>
              <w:t>　</w:t>
            </w:r>
          </w:p>
        </w:tc>
      </w:tr>
      <w:tr w14:paraId="5BEC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3D784E0F">
            <w:pPr>
              <w:widowControl/>
              <w:spacing w:line="300" w:lineRule="exact"/>
              <w:jc w:val="center"/>
              <w:rPr>
                <w:rFonts w:hint="default" w:ascii="Times New Roman" w:hAnsi="Times New Roman" w:eastAsia="方正仿宋_GBK"/>
                <w:kern w:val="0"/>
                <w:szCs w:val="21"/>
                <w:lang w:val="en-US" w:eastAsia="zh-CN"/>
              </w:rPr>
            </w:pPr>
            <w:r>
              <w:rPr>
                <w:rFonts w:hint="eastAsia" w:ascii="Times New Roman" w:hAnsi="Times New Roman" w:eastAsia="方正仿宋_GBK"/>
                <w:kern w:val="0"/>
                <w:szCs w:val="21"/>
                <w:lang w:val="en-US" w:eastAsia="zh-CN"/>
              </w:rPr>
              <w:t>92</w:t>
            </w:r>
          </w:p>
        </w:tc>
        <w:tc>
          <w:tcPr>
            <w:tcW w:w="1035" w:type="dxa"/>
            <w:vMerge w:val="continue"/>
            <w:vAlign w:val="center"/>
          </w:tcPr>
          <w:p w14:paraId="6DCB0FEA">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6A3A12F0">
            <w:pPr>
              <w:widowControl/>
              <w:spacing w:line="300" w:lineRule="exact"/>
              <w:jc w:val="center"/>
              <w:rPr>
                <w:rFonts w:hint="eastAsia" w:ascii="Times New Roman" w:hAnsi="Times New Roman" w:eastAsia="方正仿宋_GBK"/>
                <w:kern w:val="0"/>
                <w:szCs w:val="21"/>
              </w:rPr>
            </w:pPr>
            <w:r>
              <w:rPr>
                <w:rFonts w:hint="eastAsia" w:ascii="Times New Roman" w:hAnsi="Times New Roman" w:eastAsia="方正仿宋_GBK"/>
                <w:kern w:val="0"/>
                <w:szCs w:val="21"/>
              </w:rPr>
              <w:t>梁平至万州天然气长输管道</w:t>
            </w:r>
          </w:p>
        </w:tc>
        <w:tc>
          <w:tcPr>
            <w:tcW w:w="1854" w:type="dxa"/>
            <w:shd w:val="clear" w:color="auto" w:fill="auto"/>
            <w:vAlign w:val="center"/>
          </w:tcPr>
          <w:p w14:paraId="7E825527">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highlight w:val="none"/>
                <w:lang w:eastAsia="zh-CN"/>
              </w:rPr>
              <w:t>万州区</w:t>
            </w:r>
          </w:p>
        </w:tc>
        <w:tc>
          <w:tcPr>
            <w:tcW w:w="4849" w:type="dxa"/>
            <w:shd w:val="clear" w:color="auto" w:fill="auto"/>
            <w:vAlign w:val="center"/>
          </w:tcPr>
          <w:p w14:paraId="092B515B">
            <w:pPr>
              <w:widowControl/>
              <w:spacing w:line="300" w:lineRule="exact"/>
              <w:jc w:val="left"/>
              <w:rPr>
                <w:rFonts w:hint="default" w:ascii="Times New Roman" w:hAnsi="Times New Roman" w:eastAsia="方正仿宋_GBK"/>
                <w:kern w:val="0"/>
                <w:szCs w:val="21"/>
                <w:lang w:val="en-US" w:eastAsia="zh-CN"/>
              </w:rPr>
            </w:pPr>
            <w:r>
              <w:rPr>
                <w:rFonts w:hint="eastAsia" w:ascii="Times New Roman" w:hAnsi="Times New Roman" w:eastAsia="方正仿宋_GBK"/>
                <w:kern w:val="0"/>
                <w:szCs w:val="21"/>
                <w:lang w:eastAsia="zh-CN"/>
              </w:rPr>
              <w:t>规划建设梁平至万州第二天然气管道。</w:t>
            </w:r>
          </w:p>
        </w:tc>
        <w:tc>
          <w:tcPr>
            <w:tcW w:w="1256" w:type="dxa"/>
            <w:shd w:val="clear" w:color="auto" w:fill="auto"/>
            <w:vAlign w:val="center"/>
          </w:tcPr>
          <w:p w14:paraId="2CA5D932">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lang w:eastAsia="zh-CN"/>
              </w:rPr>
              <w:t>新建</w:t>
            </w:r>
          </w:p>
        </w:tc>
        <w:tc>
          <w:tcPr>
            <w:tcW w:w="1371" w:type="dxa"/>
            <w:shd w:val="clear" w:color="auto" w:fill="auto"/>
            <w:vAlign w:val="center"/>
          </w:tcPr>
          <w:p w14:paraId="4079C2C9">
            <w:pPr>
              <w:widowControl/>
              <w:spacing w:line="300" w:lineRule="exact"/>
              <w:jc w:val="center"/>
              <w:rPr>
                <w:rFonts w:hint="default" w:ascii="Times New Roman" w:hAnsi="Times New Roman" w:eastAsia="方正仿宋_GBK"/>
                <w:kern w:val="0"/>
                <w:szCs w:val="21"/>
                <w:lang w:val="en-US" w:eastAsia="zh-CN"/>
              </w:rPr>
            </w:pPr>
            <w:r>
              <w:rPr>
                <w:rFonts w:hint="eastAsia" w:ascii="Times New Roman" w:hAnsi="Times New Roman" w:eastAsia="方正仿宋_GBK"/>
                <w:kern w:val="0"/>
                <w:szCs w:val="21"/>
                <w:lang w:val="en-US" w:eastAsia="zh-CN"/>
              </w:rPr>
              <w:t>2025-2026</w:t>
            </w:r>
          </w:p>
        </w:tc>
        <w:tc>
          <w:tcPr>
            <w:tcW w:w="911" w:type="dxa"/>
            <w:shd w:val="clear" w:color="auto" w:fill="auto"/>
            <w:vAlign w:val="center"/>
          </w:tcPr>
          <w:p w14:paraId="5DA2455F">
            <w:pPr>
              <w:widowControl/>
              <w:spacing w:line="300" w:lineRule="exact"/>
              <w:jc w:val="center"/>
              <w:rPr>
                <w:rFonts w:hint="eastAsia" w:ascii="Times New Roman" w:hAnsi="Times New Roman" w:eastAsia="方正仿宋_GBK"/>
                <w:kern w:val="0"/>
                <w:szCs w:val="21"/>
              </w:rPr>
            </w:pPr>
            <w:r>
              <w:rPr>
                <w:rFonts w:hint="eastAsia" w:ascii="Times New Roman" w:hAnsi="Times New Roman" w:eastAsia="方正仿宋_GBK"/>
                <w:b/>
                <w:bCs/>
                <w:kern w:val="0"/>
                <w:szCs w:val="21"/>
              </w:rPr>
              <w:t>　</w:t>
            </w:r>
          </w:p>
        </w:tc>
      </w:tr>
      <w:tr w14:paraId="3DC0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82612D3">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lang w:val="en-US" w:eastAsia="zh-CN"/>
              </w:rPr>
              <w:t>93</w:t>
            </w:r>
          </w:p>
        </w:tc>
        <w:tc>
          <w:tcPr>
            <w:tcW w:w="1035" w:type="dxa"/>
            <w:vMerge w:val="continue"/>
            <w:vAlign w:val="center"/>
          </w:tcPr>
          <w:p w14:paraId="06A4ED40">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4D6C55B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桐元储配站至万州配气站联络管道工程</w:t>
            </w:r>
          </w:p>
        </w:tc>
        <w:tc>
          <w:tcPr>
            <w:tcW w:w="1854" w:type="dxa"/>
            <w:shd w:val="clear" w:color="auto" w:fill="auto"/>
            <w:vAlign w:val="center"/>
          </w:tcPr>
          <w:p w14:paraId="6001003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lang w:eastAsia="zh-CN"/>
              </w:rPr>
              <w:t>万州</w:t>
            </w:r>
            <w:r>
              <w:rPr>
                <w:rFonts w:hint="eastAsia" w:ascii="Times New Roman" w:hAnsi="Times New Roman" w:eastAsia="方正仿宋_GBK"/>
                <w:kern w:val="0"/>
                <w:szCs w:val="21"/>
              </w:rPr>
              <w:t>经开区九龙园</w:t>
            </w:r>
          </w:p>
        </w:tc>
        <w:tc>
          <w:tcPr>
            <w:tcW w:w="4849" w:type="dxa"/>
            <w:shd w:val="clear" w:color="auto" w:fill="auto"/>
            <w:vAlign w:val="center"/>
          </w:tcPr>
          <w:p w14:paraId="41F4EEBD">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高压管道，设计压力4.0MPa，D168×6.3 L245N-2.22km。</w:t>
            </w:r>
          </w:p>
        </w:tc>
        <w:tc>
          <w:tcPr>
            <w:tcW w:w="1256" w:type="dxa"/>
            <w:shd w:val="clear" w:color="auto" w:fill="auto"/>
            <w:vAlign w:val="center"/>
          </w:tcPr>
          <w:p w14:paraId="619024D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61E0BD9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6C272A2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4383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41BDAD49">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4</w:t>
            </w:r>
          </w:p>
        </w:tc>
        <w:tc>
          <w:tcPr>
            <w:tcW w:w="1035" w:type="dxa"/>
            <w:vMerge w:val="continue"/>
            <w:vAlign w:val="center"/>
          </w:tcPr>
          <w:p w14:paraId="5EDE201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728BB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双河口至高峰燃气管道老化更新改造工程</w:t>
            </w:r>
          </w:p>
        </w:tc>
        <w:tc>
          <w:tcPr>
            <w:tcW w:w="1854" w:type="dxa"/>
            <w:shd w:val="clear" w:color="auto" w:fill="auto"/>
            <w:vAlign w:val="center"/>
          </w:tcPr>
          <w:p w14:paraId="1EE1DF3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highlight w:val="none"/>
              </w:rPr>
              <w:t>万州区</w:t>
            </w:r>
          </w:p>
        </w:tc>
        <w:tc>
          <w:tcPr>
            <w:tcW w:w="4849" w:type="dxa"/>
            <w:shd w:val="clear" w:color="auto" w:fill="auto"/>
            <w:vAlign w:val="center"/>
          </w:tcPr>
          <w:p w14:paraId="19F7F36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建设一条中压管道经经开大道并穿越灵凤山至经开区高峰园，替换双河口至高峰老旧管道：D377×8 20#无缝钢管-3.72km；D325×8 20#无缝钢管-1.29km；D325×10 20#无缝钢管-1.86km；De315 PE100 SDR11燃气聚乙烯管-1.0km。全长7.87公里。</w:t>
            </w:r>
          </w:p>
        </w:tc>
        <w:tc>
          <w:tcPr>
            <w:tcW w:w="1256" w:type="dxa"/>
            <w:shd w:val="clear" w:color="auto" w:fill="auto"/>
            <w:vAlign w:val="center"/>
          </w:tcPr>
          <w:p w14:paraId="2C48CF1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2C7FBCF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2024-2025</w:t>
            </w:r>
          </w:p>
        </w:tc>
        <w:tc>
          <w:tcPr>
            <w:tcW w:w="911" w:type="dxa"/>
            <w:shd w:val="clear" w:color="auto" w:fill="auto"/>
            <w:vAlign w:val="center"/>
          </w:tcPr>
          <w:p w14:paraId="3BAC494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691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vAlign w:val="center"/>
          </w:tcPr>
          <w:p w14:paraId="64090B79">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四、成品油</w:t>
            </w:r>
          </w:p>
        </w:tc>
      </w:tr>
      <w:tr w14:paraId="4592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D161C6A">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5</w:t>
            </w:r>
          </w:p>
        </w:tc>
        <w:tc>
          <w:tcPr>
            <w:tcW w:w="1035" w:type="dxa"/>
            <w:vMerge w:val="restart"/>
            <w:shd w:val="clear" w:color="auto" w:fill="auto"/>
            <w:noWrap/>
            <w:vAlign w:val="center"/>
          </w:tcPr>
          <w:p w14:paraId="16BC271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油库</w:t>
            </w:r>
          </w:p>
        </w:tc>
        <w:tc>
          <w:tcPr>
            <w:tcW w:w="2692" w:type="dxa"/>
            <w:shd w:val="clear" w:color="auto" w:fill="auto"/>
            <w:vAlign w:val="center"/>
          </w:tcPr>
          <w:p w14:paraId="3B250CC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小周危化作业区</w:t>
            </w:r>
          </w:p>
        </w:tc>
        <w:tc>
          <w:tcPr>
            <w:tcW w:w="1854" w:type="dxa"/>
            <w:shd w:val="clear" w:color="auto" w:fill="auto"/>
            <w:vAlign w:val="center"/>
          </w:tcPr>
          <w:p w14:paraId="6FE773F1">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小周镇</w:t>
            </w:r>
          </w:p>
        </w:tc>
        <w:tc>
          <w:tcPr>
            <w:tcW w:w="4849" w:type="dxa"/>
            <w:shd w:val="clear" w:color="auto" w:fill="auto"/>
            <w:vAlign w:val="center"/>
          </w:tcPr>
          <w:p w14:paraId="1A89194C">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新建油库及配套危化码头，新增储油能力7万吨。</w:t>
            </w:r>
          </w:p>
        </w:tc>
        <w:tc>
          <w:tcPr>
            <w:tcW w:w="1256" w:type="dxa"/>
            <w:shd w:val="clear" w:color="auto" w:fill="auto"/>
            <w:vAlign w:val="center"/>
          </w:tcPr>
          <w:p w14:paraId="65ED5638">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7B9714B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2023-2030</w:t>
            </w:r>
          </w:p>
        </w:tc>
        <w:tc>
          <w:tcPr>
            <w:tcW w:w="911" w:type="dxa"/>
            <w:shd w:val="clear" w:color="auto" w:fill="auto"/>
            <w:vAlign w:val="center"/>
          </w:tcPr>
          <w:p w14:paraId="23AD066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154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noWrap/>
            <w:vAlign w:val="center"/>
          </w:tcPr>
          <w:p w14:paraId="78424624">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6</w:t>
            </w:r>
          </w:p>
        </w:tc>
        <w:tc>
          <w:tcPr>
            <w:tcW w:w="1035" w:type="dxa"/>
            <w:vMerge w:val="continue"/>
            <w:vAlign w:val="center"/>
          </w:tcPr>
          <w:p w14:paraId="24226BFC">
            <w:pPr>
              <w:widowControl/>
              <w:spacing w:line="300" w:lineRule="exact"/>
              <w:jc w:val="left"/>
              <w:rPr>
                <w:rFonts w:ascii="Times New Roman" w:hAnsi="Times New Roman" w:eastAsia="方正仿宋_GBK"/>
                <w:kern w:val="0"/>
                <w:szCs w:val="21"/>
              </w:rPr>
            </w:pPr>
          </w:p>
        </w:tc>
        <w:tc>
          <w:tcPr>
            <w:tcW w:w="2692" w:type="dxa"/>
            <w:shd w:val="clear" w:color="auto" w:fill="auto"/>
            <w:noWrap/>
            <w:vAlign w:val="center"/>
          </w:tcPr>
          <w:p w14:paraId="3207CC0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九龙油库改建项目</w:t>
            </w:r>
          </w:p>
        </w:tc>
        <w:tc>
          <w:tcPr>
            <w:tcW w:w="1854" w:type="dxa"/>
            <w:shd w:val="clear" w:color="auto" w:fill="auto"/>
            <w:vAlign w:val="center"/>
          </w:tcPr>
          <w:p w14:paraId="50FF34D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龙都街道</w:t>
            </w:r>
          </w:p>
        </w:tc>
        <w:tc>
          <w:tcPr>
            <w:tcW w:w="4849" w:type="dxa"/>
            <w:shd w:val="clear" w:color="auto" w:fill="auto"/>
            <w:vAlign w:val="center"/>
          </w:tcPr>
          <w:p w14:paraId="16C8C7D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对原有九龙油库升级改造，改造后储油能力3万吨。</w:t>
            </w:r>
          </w:p>
        </w:tc>
        <w:tc>
          <w:tcPr>
            <w:tcW w:w="1256" w:type="dxa"/>
            <w:shd w:val="clear" w:color="auto" w:fill="auto"/>
            <w:noWrap/>
            <w:vAlign w:val="center"/>
          </w:tcPr>
          <w:p w14:paraId="2BF3E7B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改建</w:t>
            </w:r>
          </w:p>
        </w:tc>
        <w:tc>
          <w:tcPr>
            <w:tcW w:w="1371" w:type="dxa"/>
            <w:shd w:val="clear" w:color="auto" w:fill="auto"/>
            <w:noWrap/>
            <w:vAlign w:val="center"/>
          </w:tcPr>
          <w:p w14:paraId="5BD6E70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vAlign w:val="center"/>
          </w:tcPr>
          <w:p w14:paraId="2487F55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42B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noWrap/>
            <w:vAlign w:val="center"/>
          </w:tcPr>
          <w:p w14:paraId="11F8E2B2">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五、煤炭</w:t>
            </w:r>
          </w:p>
        </w:tc>
      </w:tr>
      <w:tr w14:paraId="4D4D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2C739D41">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7</w:t>
            </w:r>
          </w:p>
        </w:tc>
        <w:tc>
          <w:tcPr>
            <w:tcW w:w="1035" w:type="dxa"/>
            <w:shd w:val="clear" w:color="auto" w:fill="auto"/>
            <w:vAlign w:val="center"/>
          </w:tcPr>
          <w:p w14:paraId="2580CA2D">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煤炭</w:t>
            </w:r>
          </w:p>
        </w:tc>
        <w:tc>
          <w:tcPr>
            <w:tcW w:w="2692" w:type="dxa"/>
            <w:shd w:val="clear" w:color="auto" w:fill="auto"/>
            <w:vAlign w:val="center"/>
          </w:tcPr>
          <w:p w14:paraId="0ECACF9E">
            <w:pPr>
              <w:widowControl/>
              <w:spacing w:line="300" w:lineRule="exact"/>
              <w:jc w:val="center"/>
              <w:rPr>
                <w:rFonts w:ascii="Times New Roman" w:hAnsi="Times New Roman" w:eastAsia="方正仿宋_GBK" w:cs="宋体"/>
                <w:kern w:val="0"/>
                <w:szCs w:val="21"/>
              </w:rPr>
            </w:pPr>
            <w:r>
              <w:rPr>
                <w:rFonts w:hint="eastAsia" w:ascii="Times New Roman" w:hAnsi="Times New Roman" w:eastAsia="方正仿宋_GBK" w:cs="宋体"/>
                <w:kern w:val="0"/>
                <w:szCs w:val="21"/>
              </w:rPr>
              <w:t>万州新田储煤基地</w:t>
            </w:r>
          </w:p>
        </w:tc>
        <w:tc>
          <w:tcPr>
            <w:tcW w:w="1854" w:type="dxa"/>
            <w:shd w:val="clear" w:color="auto" w:fill="auto"/>
            <w:vAlign w:val="center"/>
          </w:tcPr>
          <w:p w14:paraId="12FAE8CC">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新田镇</w:t>
            </w:r>
          </w:p>
        </w:tc>
        <w:tc>
          <w:tcPr>
            <w:tcW w:w="4849" w:type="dxa"/>
            <w:shd w:val="clear" w:color="auto" w:fill="auto"/>
            <w:vAlign w:val="center"/>
          </w:tcPr>
          <w:p w14:paraId="1D5DA352">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建设储煤基地，静态储煤能力100万吨。</w:t>
            </w:r>
          </w:p>
        </w:tc>
        <w:tc>
          <w:tcPr>
            <w:tcW w:w="1256" w:type="dxa"/>
            <w:shd w:val="clear" w:color="auto" w:fill="auto"/>
            <w:vAlign w:val="center"/>
          </w:tcPr>
          <w:p w14:paraId="1D3E2B1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0D74D17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2024-2030</w:t>
            </w:r>
          </w:p>
        </w:tc>
        <w:tc>
          <w:tcPr>
            <w:tcW w:w="911" w:type="dxa"/>
            <w:shd w:val="clear" w:color="auto" w:fill="auto"/>
            <w:vAlign w:val="center"/>
          </w:tcPr>
          <w:p w14:paraId="4C42541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1A7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40" w:type="dxa"/>
            <w:gridSpan w:val="8"/>
            <w:shd w:val="clear" w:color="auto" w:fill="auto"/>
            <w:noWrap/>
            <w:vAlign w:val="center"/>
          </w:tcPr>
          <w:p w14:paraId="4EE8A675">
            <w:pPr>
              <w:widowControl/>
              <w:spacing w:line="300" w:lineRule="exact"/>
              <w:jc w:val="left"/>
              <w:rPr>
                <w:rFonts w:ascii="Times New Roman" w:hAnsi="Times New Roman" w:eastAsia="方正仿宋_GBK" w:cs="宋体"/>
                <w:b/>
                <w:kern w:val="0"/>
                <w:szCs w:val="21"/>
              </w:rPr>
            </w:pPr>
            <w:r>
              <w:rPr>
                <w:rFonts w:hint="eastAsia" w:ascii="Times New Roman" w:hAnsi="Times New Roman" w:eastAsia="方正仿宋_GBK" w:cs="宋体"/>
                <w:b/>
                <w:kern w:val="0"/>
                <w:szCs w:val="21"/>
              </w:rPr>
              <w:t>六、综合能源站</w:t>
            </w:r>
          </w:p>
        </w:tc>
      </w:tr>
      <w:tr w14:paraId="2C72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21E83842">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8</w:t>
            </w:r>
          </w:p>
        </w:tc>
        <w:tc>
          <w:tcPr>
            <w:tcW w:w="1035" w:type="dxa"/>
            <w:vMerge w:val="restart"/>
            <w:shd w:val="clear" w:color="auto" w:fill="auto"/>
            <w:vAlign w:val="center"/>
          </w:tcPr>
          <w:p w14:paraId="73284B7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基础设施</w:t>
            </w:r>
          </w:p>
        </w:tc>
        <w:tc>
          <w:tcPr>
            <w:tcW w:w="2692" w:type="dxa"/>
            <w:shd w:val="clear" w:color="auto" w:fill="auto"/>
            <w:vAlign w:val="center"/>
          </w:tcPr>
          <w:p w14:paraId="1201F522">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综合能源站</w:t>
            </w:r>
          </w:p>
        </w:tc>
        <w:tc>
          <w:tcPr>
            <w:tcW w:w="1854" w:type="dxa"/>
            <w:shd w:val="clear" w:color="auto" w:fill="auto"/>
            <w:vAlign w:val="center"/>
          </w:tcPr>
          <w:p w14:paraId="76C59C9E">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18255C94">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建设综合能源站95座，其中中心城区48座、乡镇47座。</w:t>
            </w:r>
          </w:p>
        </w:tc>
        <w:tc>
          <w:tcPr>
            <w:tcW w:w="1256" w:type="dxa"/>
            <w:shd w:val="clear" w:color="auto" w:fill="auto"/>
            <w:vAlign w:val="center"/>
          </w:tcPr>
          <w:p w14:paraId="4987C6C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新建及改建</w:t>
            </w:r>
          </w:p>
        </w:tc>
        <w:tc>
          <w:tcPr>
            <w:tcW w:w="1371" w:type="dxa"/>
            <w:shd w:val="clear" w:color="auto" w:fill="auto"/>
            <w:vAlign w:val="center"/>
          </w:tcPr>
          <w:p w14:paraId="1AC5CFC5">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2023-2035</w:t>
            </w:r>
          </w:p>
        </w:tc>
        <w:tc>
          <w:tcPr>
            <w:tcW w:w="911" w:type="dxa"/>
            <w:shd w:val="clear" w:color="auto" w:fill="auto"/>
            <w:noWrap/>
            <w:vAlign w:val="center"/>
          </w:tcPr>
          <w:p w14:paraId="6BB8DB03">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5CAE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053B3BBA">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9</w:t>
            </w:r>
            <w:r>
              <w:rPr>
                <w:rFonts w:hint="eastAsia" w:ascii="Times New Roman" w:hAnsi="Times New Roman" w:eastAsia="方正仿宋_GBK"/>
                <w:kern w:val="0"/>
                <w:szCs w:val="21"/>
                <w:lang w:val="en-US" w:eastAsia="zh-CN"/>
              </w:rPr>
              <w:t>9</w:t>
            </w:r>
          </w:p>
        </w:tc>
        <w:tc>
          <w:tcPr>
            <w:tcW w:w="1035" w:type="dxa"/>
            <w:vMerge w:val="continue"/>
            <w:vAlign w:val="center"/>
          </w:tcPr>
          <w:p w14:paraId="45D8B616">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511A3C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充电基础设施</w:t>
            </w:r>
          </w:p>
        </w:tc>
        <w:tc>
          <w:tcPr>
            <w:tcW w:w="1854" w:type="dxa"/>
            <w:shd w:val="clear" w:color="auto" w:fill="auto"/>
            <w:vAlign w:val="center"/>
          </w:tcPr>
          <w:p w14:paraId="0E43A809">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541138A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建设公共充电桩1.63万个。</w:t>
            </w:r>
          </w:p>
        </w:tc>
        <w:tc>
          <w:tcPr>
            <w:tcW w:w="1256" w:type="dxa"/>
            <w:shd w:val="clear" w:color="auto" w:fill="auto"/>
            <w:vAlign w:val="center"/>
          </w:tcPr>
          <w:p w14:paraId="75AF57D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46FC3DAA">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2023-2035</w:t>
            </w:r>
          </w:p>
        </w:tc>
        <w:tc>
          <w:tcPr>
            <w:tcW w:w="911" w:type="dxa"/>
            <w:shd w:val="clear" w:color="auto" w:fill="auto"/>
            <w:noWrap/>
            <w:vAlign w:val="center"/>
          </w:tcPr>
          <w:p w14:paraId="122B0D1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9DD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67D1D35F">
            <w:pPr>
              <w:widowControl/>
              <w:spacing w:line="300" w:lineRule="exact"/>
              <w:jc w:val="center"/>
              <w:rPr>
                <w:rFonts w:hint="default" w:ascii="Times New Roman" w:hAnsi="Times New Roman" w:eastAsia="方正仿宋_GBK"/>
                <w:kern w:val="0"/>
                <w:szCs w:val="21"/>
                <w:lang w:val="en-US" w:eastAsia="zh-CN"/>
              </w:rPr>
            </w:pPr>
            <w:r>
              <w:rPr>
                <w:rFonts w:hint="eastAsia" w:ascii="Times New Roman" w:hAnsi="Times New Roman" w:eastAsia="方正仿宋_GBK"/>
                <w:kern w:val="0"/>
                <w:szCs w:val="21"/>
                <w:lang w:val="en-US" w:eastAsia="zh-CN"/>
              </w:rPr>
              <w:t>100</w:t>
            </w:r>
          </w:p>
        </w:tc>
        <w:tc>
          <w:tcPr>
            <w:tcW w:w="1035" w:type="dxa"/>
            <w:vMerge w:val="continue"/>
            <w:vAlign w:val="center"/>
          </w:tcPr>
          <w:p w14:paraId="7363BFA1">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5E80C61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万州LNG加注码头</w:t>
            </w:r>
          </w:p>
        </w:tc>
        <w:tc>
          <w:tcPr>
            <w:tcW w:w="1854" w:type="dxa"/>
            <w:shd w:val="clear" w:color="auto" w:fill="auto"/>
            <w:vAlign w:val="center"/>
          </w:tcPr>
          <w:p w14:paraId="6E66B7B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5A20C01F">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设计压力1.6MPa，LNG船舶加气能力为20×10</w:t>
            </w:r>
            <w:r>
              <w:rPr>
                <w:rFonts w:hint="eastAsia" w:ascii="Times New Roman" w:hAnsi="Times New Roman" w:eastAsia="方正仿宋_GBK"/>
                <w:kern w:val="0"/>
                <w:szCs w:val="21"/>
                <w:vertAlign w:val="superscript"/>
              </w:rPr>
              <w:t>4</w:t>
            </w:r>
            <w:r>
              <w:rPr>
                <w:rFonts w:hint="eastAsia" w:ascii="Times New Roman" w:hAnsi="Times New Roman" w:eastAsia="方正仿宋_GBK"/>
                <w:kern w:val="0"/>
                <w:szCs w:val="21"/>
              </w:rPr>
              <w:t>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/d，LNG汽车加气能力为4×104Nm</w:t>
            </w:r>
            <w:r>
              <w:rPr>
                <w:rFonts w:hint="eastAsia" w:ascii="Times New Roman" w:hAnsi="Times New Roman" w:eastAsia="方正仿宋_GBK"/>
                <w:kern w:val="0"/>
                <w:szCs w:val="21"/>
                <w:vertAlign w:val="superscript"/>
              </w:rPr>
              <w:t>3</w:t>
            </w:r>
            <w:r>
              <w:rPr>
                <w:rFonts w:hint="eastAsia" w:ascii="Times New Roman" w:hAnsi="Times New Roman" w:eastAsia="方正仿宋_GBK"/>
                <w:kern w:val="0"/>
                <w:szCs w:val="21"/>
              </w:rPr>
              <w:t>/d。</w:t>
            </w:r>
          </w:p>
        </w:tc>
        <w:tc>
          <w:tcPr>
            <w:tcW w:w="1256" w:type="dxa"/>
            <w:shd w:val="clear" w:color="auto" w:fill="auto"/>
            <w:vAlign w:val="center"/>
          </w:tcPr>
          <w:p w14:paraId="0C23183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5E7D244B">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2023-2025</w:t>
            </w:r>
          </w:p>
        </w:tc>
        <w:tc>
          <w:tcPr>
            <w:tcW w:w="911" w:type="dxa"/>
            <w:shd w:val="clear" w:color="auto" w:fill="auto"/>
            <w:noWrap/>
            <w:vAlign w:val="center"/>
          </w:tcPr>
          <w:p w14:paraId="174DB500">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　</w:t>
            </w:r>
          </w:p>
        </w:tc>
      </w:tr>
      <w:tr w14:paraId="358C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shd w:val="clear" w:color="auto" w:fill="auto"/>
            <w:vAlign w:val="center"/>
          </w:tcPr>
          <w:p w14:paraId="1CE9B524">
            <w:pPr>
              <w:widowControl/>
              <w:spacing w:line="300" w:lineRule="exact"/>
              <w:jc w:val="center"/>
              <w:rPr>
                <w:rFonts w:hint="eastAsia" w:ascii="Times New Roman" w:hAnsi="Times New Roman" w:eastAsia="方正仿宋_GBK"/>
                <w:kern w:val="0"/>
                <w:szCs w:val="21"/>
                <w:lang w:eastAsia="zh-CN"/>
              </w:rPr>
            </w:pPr>
            <w:r>
              <w:rPr>
                <w:rFonts w:hint="eastAsia" w:ascii="Times New Roman" w:hAnsi="Times New Roman" w:eastAsia="方正仿宋_GBK"/>
                <w:kern w:val="0"/>
                <w:szCs w:val="21"/>
              </w:rPr>
              <w:t>10</w:t>
            </w:r>
            <w:r>
              <w:rPr>
                <w:rFonts w:hint="eastAsia" w:ascii="Times New Roman" w:hAnsi="Times New Roman" w:eastAsia="方正仿宋_GBK"/>
                <w:kern w:val="0"/>
                <w:szCs w:val="21"/>
                <w:lang w:val="en-US" w:eastAsia="zh-CN"/>
              </w:rPr>
              <w:t>1</w:t>
            </w:r>
          </w:p>
        </w:tc>
        <w:tc>
          <w:tcPr>
            <w:tcW w:w="1035" w:type="dxa"/>
            <w:vMerge w:val="continue"/>
            <w:vAlign w:val="center"/>
          </w:tcPr>
          <w:p w14:paraId="4E85BA3E">
            <w:pPr>
              <w:widowControl/>
              <w:spacing w:line="300" w:lineRule="exact"/>
              <w:jc w:val="left"/>
              <w:rPr>
                <w:rFonts w:ascii="Times New Roman" w:hAnsi="Times New Roman" w:eastAsia="方正仿宋_GBK"/>
                <w:kern w:val="0"/>
                <w:szCs w:val="21"/>
              </w:rPr>
            </w:pPr>
          </w:p>
        </w:tc>
        <w:tc>
          <w:tcPr>
            <w:tcW w:w="2692" w:type="dxa"/>
            <w:shd w:val="clear" w:color="auto" w:fill="auto"/>
            <w:vAlign w:val="center"/>
          </w:tcPr>
          <w:p w14:paraId="792E0684">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氢能产业基地</w:t>
            </w:r>
          </w:p>
        </w:tc>
        <w:tc>
          <w:tcPr>
            <w:tcW w:w="1854" w:type="dxa"/>
            <w:shd w:val="clear" w:color="auto" w:fill="auto"/>
            <w:vAlign w:val="center"/>
          </w:tcPr>
          <w:p w14:paraId="256155F0">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万州区</w:t>
            </w:r>
          </w:p>
        </w:tc>
        <w:tc>
          <w:tcPr>
            <w:tcW w:w="4849" w:type="dxa"/>
            <w:shd w:val="clear" w:color="auto" w:fill="auto"/>
            <w:vAlign w:val="center"/>
          </w:tcPr>
          <w:p w14:paraId="145FF478">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探索打造氢能产业基地，建设制氢、储氢、用氢等氢能产业链条，打造绿色氢能生产基地项目。</w:t>
            </w:r>
          </w:p>
        </w:tc>
        <w:tc>
          <w:tcPr>
            <w:tcW w:w="1256" w:type="dxa"/>
            <w:shd w:val="clear" w:color="auto" w:fill="auto"/>
            <w:vAlign w:val="center"/>
          </w:tcPr>
          <w:p w14:paraId="31924E37">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新建</w:t>
            </w:r>
          </w:p>
        </w:tc>
        <w:tc>
          <w:tcPr>
            <w:tcW w:w="1371" w:type="dxa"/>
            <w:shd w:val="clear" w:color="auto" w:fill="auto"/>
            <w:vAlign w:val="center"/>
          </w:tcPr>
          <w:p w14:paraId="135EDF2F">
            <w:pPr>
              <w:widowControl/>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2030-2035</w:t>
            </w:r>
          </w:p>
        </w:tc>
        <w:tc>
          <w:tcPr>
            <w:tcW w:w="911" w:type="dxa"/>
            <w:shd w:val="clear" w:color="auto" w:fill="auto"/>
            <w:noWrap/>
            <w:vAlign w:val="center"/>
          </w:tcPr>
          <w:p w14:paraId="0A09679B">
            <w:pPr>
              <w:widowControl/>
              <w:spacing w:line="300" w:lineRule="exact"/>
              <w:jc w:val="left"/>
              <w:rPr>
                <w:rFonts w:ascii="Times New Roman" w:hAnsi="Times New Roman" w:eastAsia="方正仿宋_GBK"/>
                <w:kern w:val="0"/>
                <w:szCs w:val="21"/>
              </w:rPr>
            </w:pPr>
            <w:r>
              <w:rPr>
                <w:rFonts w:hint="eastAsia" w:ascii="Times New Roman" w:hAnsi="Times New Roman" w:eastAsia="方正仿宋_GBK"/>
                <w:kern w:val="0"/>
                <w:szCs w:val="21"/>
              </w:rPr>
              <w:t>　</w:t>
            </w:r>
          </w:p>
        </w:tc>
      </w:tr>
    </w:tbl>
    <w:p w14:paraId="033F11AA">
      <w:pPr>
        <w:spacing w:line="600" w:lineRule="exact"/>
        <w:ind w:firstLine="640" w:firstLineChars="200"/>
        <w:rPr>
          <w:rFonts w:ascii="Times New Roman" w:hAnsi="Times New Roman" w:eastAsia="方正仿宋_GBK"/>
          <w:sz w:val="32"/>
          <w:szCs w:val="32"/>
        </w:rPr>
        <w:sectPr>
          <w:pgSz w:w="16838" w:h="11906" w:orient="landscape"/>
          <w:pgMar w:top="1797" w:right="1157" w:bottom="1797" w:left="1157" w:header="851" w:footer="992" w:gutter="0"/>
          <w:cols w:space="425" w:num="1"/>
          <w:docGrid w:type="lines" w:linePitch="312" w:charSpace="0"/>
        </w:sectPr>
      </w:pPr>
    </w:p>
    <w:p w14:paraId="65B2C12A">
      <w:pPr>
        <w:spacing w:line="240" w:lineRule="auto"/>
        <w:ind w:firstLine="0" w:firstLineChars="0"/>
        <w:sectPr>
          <w:pgSz w:w="16838" w:h="11906" w:orient="landscape"/>
          <w:pgMar w:top="57" w:right="57" w:bottom="57" w:left="57" w:header="851" w:footer="992" w:gutter="0"/>
          <w:cols w:space="425" w:num="1"/>
          <w:docGrid w:type="lines" w:linePitch="312" w:charSpace="0"/>
        </w:sectPr>
      </w:pPr>
      <w:r>
        <w:drawing>
          <wp:anchor distT="0" distB="0" distL="114300" distR="114300" simplePos="0" relativeHeight="251661312" behindDoc="0" locked="0" layoutInCell="1" allowOverlap="1">
            <wp:simplePos x="0" y="0"/>
            <wp:positionH relativeFrom="column">
              <wp:posOffset>0</wp:posOffset>
            </wp:positionH>
            <wp:positionV relativeFrom="paragraph">
              <wp:posOffset>72390</wp:posOffset>
            </wp:positionV>
            <wp:extent cx="10719435" cy="7580630"/>
            <wp:effectExtent l="0" t="0" r="5715" b="1270"/>
            <wp:wrapSquare wrapText="bothSides"/>
            <wp:docPr id="5" name="图片 5" descr="1.万州全域天然气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万州全域天然气设施规划图"/>
                    <pic:cNvPicPr>
                      <a:picLocks noChangeAspect="1"/>
                    </pic:cNvPicPr>
                  </pic:nvPicPr>
                  <pic:blipFill>
                    <a:blip r:embed="rId15"/>
                    <a:stretch>
                      <a:fillRect/>
                    </a:stretch>
                  </pic:blipFill>
                  <pic:spPr>
                    <a:xfrm>
                      <a:off x="0" y="0"/>
                      <a:ext cx="10719435" cy="7580630"/>
                    </a:xfrm>
                    <a:prstGeom prst="rect">
                      <a:avLst/>
                    </a:prstGeom>
                  </pic:spPr>
                </pic:pic>
              </a:graphicData>
            </a:graphic>
          </wp:anchor>
        </w:drawing>
      </w:r>
    </w:p>
    <w:p w14:paraId="4885102B">
      <w:pPr>
        <w:spacing w:line="240" w:lineRule="auto"/>
        <w:ind w:firstLine="0" w:firstLineChars="0"/>
        <w:sectPr>
          <w:footerReference r:id="rId8" w:type="default"/>
          <w:pgSz w:w="11906" w:h="16838"/>
          <w:pgMar w:top="57" w:right="57" w:bottom="57" w:left="1797" w:header="851" w:footer="992" w:gutter="0"/>
          <w:cols w:space="425" w:num="1"/>
          <w:docGrid w:type="lines" w:linePitch="312" w:charSpace="0"/>
        </w:sectPr>
      </w:pPr>
      <w:r>
        <w:drawing>
          <wp:anchor distT="0" distB="0" distL="114300" distR="114300" simplePos="0" relativeHeight="251662336" behindDoc="0" locked="0" layoutInCell="1" allowOverlap="1">
            <wp:simplePos x="0" y="0"/>
            <wp:positionH relativeFrom="column">
              <wp:posOffset>-1086485</wp:posOffset>
            </wp:positionH>
            <wp:positionV relativeFrom="paragraph">
              <wp:posOffset>-601980</wp:posOffset>
            </wp:positionV>
            <wp:extent cx="7466965" cy="10559415"/>
            <wp:effectExtent l="0" t="0" r="635" b="13335"/>
            <wp:wrapSquare wrapText="bothSides"/>
            <wp:docPr id="6" name="图片 6" descr="2.万州城区天然气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万州城区天然气设施规划图"/>
                    <pic:cNvPicPr>
                      <a:picLocks noChangeAspect="1"/>
                    </pic:cNvPicPr>
                  </pic:nvPicPr>
                  <pic:blipFill>
                    <a:blip r:embed="rId16"/>
                    <a:stretch>
                      <a:fillRect/>
                    </a:stretch>
                  </pic:blipFill>
                  <pic:spPr>
                    <a:xfrm>
                      <a:off x="0" y="0"/>
                      <a:ext cx="7466965" cy="10559415"/>
                    </a:xfrm>
                    <a:prstGeom prst="rect">
                      <a:avLst/>
                    </a:prstGeom>
                  </pic:spPr>
                </pic:pic>
              </a:graphicData>
            </a:graphic>
          </wp:anchor>
        </w:drawing>
      </w:r>
    </w:p>
    <w:p w14:paraId="168A8D7A">
      <w:pPr>
        <w:spacing w:line="240" w:lineRule="auto"/>
        <w:ind w:firstLine="0" w:firstLineChars="0"/>
        <w:sectPr>
          <w:pgSz w:w="16838" w:h="11906" w:orient="landscape"/>
          <w:pgMar w:top="57" w:right="57" w:bottom="57" w:left="57" w:header="851" w:footer="992" w:gutter="0"/>
          <w:cols w:space="425" w:num="1"/>
          <w:docGrid w:type="lines" w:linePitch="312" w:charSpace="0"/>
        </w:sectPr>
      </w:pPr>
      <w:r>
        <w:drawing>
          <wp:anchor distT="0" distB="0" distL="114300" distR="114300" simplePos="0" relativeHeight="251663360" behindDoc="0" locked="0" layoutInCell="1" allowOverlap="1">
            <wp:simplePos x="0" y="0"/>
            <wp:positionH relativeFrom="column">
              <wp:posOffset>-15875</wp:posOffset>
            </wp:positionH>
            <wp:positionV relativeFrom="paragraph">
              <wp:posOffset>-609600</wp:posOffset>
            </wp:positionV>
            <wp:extent cx="10629900" cy="7517130"/>
            <wp:effectExtent l="0" t="0" r="0" b="7620"/>
            <wp:wrapSquare wrapText="bothSides"/>
            <wp:docPr id="7" name="图片 7" descr="3.万州全域电力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万州全域电力设施规划图"/>
                    <pic:cNvPicPr>
                      <a:picLocks noChangeAspect="1"/>
                    </pic:cNvPicPr>
                  </pic:nvPicPr>
                  <pic:blipFill>
                    <a:blip r:embed="rId17"/>
                    <a:stretch>
                      <a:fillRect/>
                    </a:stretch>
                  </pic:blipFill>
                  <pic:spPr>
                    <a:xfrm>
                      <a:off x="0" y="0"/>
                      <a:ext cx="10629900" cy="7517130"/>
                    </a:xfrm>
                    <a:prstGeom prst="rect">
                      <a:avLst/>
                    </a:prstGeom>
                  </pic:spPr>
                </pic:pic>
              </a:graphicData>
            </a:graphic>
          </wp:anchor>
        </w:drawing>
      </w:r>
    </w:p>
    <w:p w14:paraId="226F2DF0">
      <w:pPr>
        <w:spacing w:line="240" w:lineRule="auto"/>
        <w:ind w:firstLine="0" w:firstLineChars="0"/>
        <w:sectPr>
          <w:pgSz w:w="11906" w:h="16838"/>
          <w:pgMar w:top="57" w:right="57" w:bottom="57" w:left="57" w:header="851" w:footer="992" w:gutter="0"/>
          <w:cols w:space="425" w:num="1"/>
          <w:docGrid w:type="lines" w:linePitch="312" w:charSpace="0"/>
        </w:sectPr>
      </w:pPr>
      <w:r>
        <w:drawing>
          <wp:anchor distT="0" distB="0" distL="114300" distR="114300" simplePos="0" relativeHeight="251664384" behindDoc="0" locked="0" layoutInCell="1" allowOverlap="1">
            <wp:simplePos x="0" y="0"/>
            <wp:positionH relativeFrom="column">
              <wp:posOffset>2540</wp:posOffset>
            </wp:positionH>
            <wp:positionV relativeFrom="paragraph">
              <wp:posOffset>-652780</wp:posOffset>
            </wp:positionV>
            <wp:extent cx="7487920" cy="10588625"/>
            <wp:effectExtent l="0" t="0" r="17780" b="3175"/>
            <wp:wrapSquare wrapText="bothSides"/>
            <wp:docPr id="8" name="图片 8" descr="4.万州城区电力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万州城区电力设施规划图"/>
                    <pic:cNvPicPr>
                      <a:picLocks noChangeAspect="1"/>
                    </pic:cNvPicPr>
                  </pic:nvPicPr>
                  <pic:blipFill>
                    <a:blip r:embed="rId18"/>
                    <a:stretch>
                      <a:fillRect/>
                    </a:stretch>
                  </pic:blipFill>
                  <pic:spPr>
                    <a:xfrm>
                      <a:off x="0" y="0"/>
                      <a:ext cx="7487920" cy="10588625"/>
                    </a:xfrm>
                    <a:prstGeom prst="rect">
                      <a:avLst/>
                    </a:prstGeom>
                  </pic:spPr>
                </pic:pic>
              </a:graphicData>
            </a:graphic>
          </wp:anchor>
        </w:drawing>
      </w:r>
    </w:p>
    <w:p w14:paraId="32A59CEB">
      <w:pPr>
        <w:spacing w:line="240" w:lineRule="auto"/>
        <w:ind w:firstLine="0" w:firstLineChars="0"/>
        <w:rPr>
          <w:rFonts w:hint="eastAsia" w:ascii="Times New Roman" w:hAnsi="Times New Roman" w:eastAsia="方正仿宋_GBK"/>
          <w:sz w:val="32"/>
          <w:szCs w:val="32"/>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11430</wp:posOffset>
            </wp:positionV>
            <wp:extent cx="10590530" cy="7488555"/>
            <wp:effectExtent l="0" t="0" r="1270" b="17145"/>
            <wp:wrapSquare wrapText="bothSides"/>
            <wp:docPr id="9" name="图片 9" descr="5.万州区全域电源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万州区全域电源规划图"/>
                    <pic:cNvPicPr>
                      <a:picLocks noChangeAspect="1"/>
                    </pic:cNvPicPr>
                  </pic:nvPicPr>
                  <pic:blipFill>
                    <a:blip r:embed="rId19"/>
                    <a:stretch>
                      <a:fillRect/>
                    </a:stretch>
                  </pic:blipFill>
                  <pic:spPr>
                    <a:xfrm>
                      <a:off x="0" y="0"/>
                      <a:ext cx="10590530" cy="7488555"/>
                    </a:xfrm>
                    <a:prstGeom prst="rect">
                      <a:avLst/>
                    </a:prstGeom>
                  </pic:spPr>
                </pic:pic>
              </a:graphicData>
            </a:graphic>
          </wp:anchor>
        </w:drawing>
      </w:r>
    </w:p>
    <w:sectPr>
      <w:footerReference r:id="rId9" w:type="default"/>
      <w:pgSz w:w="16838" w:h="11906" w:orient="landscape"/>
      <w:pgMar w:top="57" w:right="57" w:bottom="57" w:left="5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K">
    <w:altName w:val="微软雅黑"/>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黑体_GBK">
    <w:altName w:val="微软雅黑"/>
    <w:panose1 w:val="02000000000000000000"/>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方正楷体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2890"/>
      <w:showingPlcHdr/>
    </w:sdtPr>
    <w:sdtEndPr>
      <w:rPr>
        <w:rFonts w:ascii="Times New Roman" w:hAnsi="Times New Roman"/>
      </w:rPr>
    </w:sdtEndPr>
    <w:sdtContent>
      <w:p w14:paraId="62EA8FD3">
        <w:pPr>
          <w:pStyle w:val="10"/>
          <w:jc w:val="right"/>
        </w:pPr>
      </w:p>
    </w:sdtContent>
  </w:sdt>
  <w:p w14:paraId="6A02C67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2889"/>
    </w:sdtPr>
    <w:sdtEndPr>
      <w:rPr>
        <w:rFonts w:ascii="Times New Roman" w:hAnsi="Times New Roman"/>
      </w:rPr>
    </w:sdtEndPr>
    <w:sdtContent>
      <w:p w14:paraId="3E639F74">
        <w:pPr>
          <w:pStyle w:val="10"/>
          <w:rPr>
            <w:rFonts w:ascii="Times New Roman" w:hAnsi="Times New Roman"/>
          </w:rPr>
        </w:pPr>
      </w:p>
    </w:sdtContent>
  </w:sdt>
  <w:p w14:paraId="719E014C">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2891"/>
    </w:sdtPr>
    <w:sdtEndPr>
      <w:rPr>
        <w:rFonts w:ascii="Times New Roman" w:hAnsi="Times New Roman" w:cs="Times New Roman"/>
        <w:sz w:val="20"/>
      </w:rPr>
    </w:sdtEndPr>
    <w:sdtContent>
      <w:p w14:paraId="2CEDA1A2">
        <w:pPr>
          <w:pStyle w:val="10"/>
          <w:jc w:val="center"/>
          <w:rPr>
            <w:rFonts w:ascii="Times New Roman" w:hAnsi="Times New Roman" w:cs="Times New Roman"/>
            <w:sz w:val="20"/>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1</w:t>
        </w:r>
        <w:r>
          <w:rPr>
            <w:rFonts w:ascii="Times New Roman" w:hAnsi="Times New Roman" w:cs="Times New Roman"/>
            <w:sz w:val="2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388836423"/>
    </w:sdtPr>
    <w:sdtEndPr>
      <w:rPr>
        <w:rFonts w:ascii="Times New Roman" w:hAnsi="Times New Roman" w:cs="Times New Roman"/>
        <w:sz w:val="20"/>
        <w:lang w:val="zh-CN"/>
      </w:rPr>
    </w:sdtEndPr>
    <w:sdtContent>
      <w:p w14:paraId="57BBF0F6">
        <w:pPr>
          <w:pStyle w:val="10"/>
          <w:jc w:val="center"/>
          <w:rPr>
            <w:rFonts w:ascii="Times New Roman" w:hAnsi="Times New Roman" w:cs="Times New Roman"/>
            <w:sz w:val="20"/>
            <w:lang w:val="zh-CN"/>
          </w:rPr>
        </w:pPr>
        <w:r>
          <w:rPr>
            <w:rFonts w:ascii="Times New Roman" w:hAnsi="Times New Roman" w:cs="Times New Roman"/>
            <w:sz w:val="20"/>
            <w:lang w:val="zh-CN"/>
          </w:rPr>
          <w:fldChar w:fldCharType="begin"/>
        </w:r>
        <w:r>
          <w:rPr>
            <w:rFonts w:ascii="Times New Roman" w:hAnsi="Times New Roman" w:cs="Times New Roman"/>
            <w:sz w:val="20"/>
            <w:lang w:val="zh-CN"/>
          </w:rPr>
          <w:instrText xml:space="preserve">PAGE   \* MERGEFORMAT</w:instrText>
        </w:r>
        <w:r>
          <w:rPr>
            <w:rFonts w:ascii="Times New Roman" w:hAnsi="Times New Roman" w:cs="Times New Roman"/>
            <w:sz w:val="20"/>
            <w:lang w:val="zh-CN"/>
          </w:rPr>
          <w:fldChar w:fldCharType="separate"/>
        </w:r>
        <w:r>
          <w:rPr>
            <w:rFonts w:ascii="Times New Roman" w:hAnsi="Times New Roman" w:cs="Times New Roman"/>
            <w:sz w:val="20"/>
            <w:lang w:val="zh-CN"/>
          </w:rPr>
          <w:t>41</w:t>
        </w:r>
        <w:r>
          <w:rPr>
            <w:rFonts w:ascii="Times New Roman" w:hAnsi="Times New Roman" w:cs="Times New Roman"/>
            <w:sz w:val="20"/>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5AC0E">
    <w:pPr>
      <w:pStyle w:val="10"/>
      <w:rPr>
        <w:rFonts w:ascii="Times New Roman" w:hAnsi="Times New Roman" w:cs="Times New Roman"/>
        <w:sz w:val="20"/>
        <w:lang w:val="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38BDF">
    <w:pPr>
      <w:pStyle w:val="10"/>
      <w:rPr>
        <w:rFonts w:ascii="Times New Roman" w:hAnsi="Times New Roman" w:cs="Times New Roman"/>
        <w:sz w:val="20"/>
        <w:lang w:val="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E63A5">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551D4"/>
    <w:rsid w:val="00000B6F"/>
    <w:rsid w:val="00001F28"/>
    <w:rsid w:val="000031DC"/>
    <w:rsid w:val="00004F58"/>
    <w:rsid w:val="00006192"/>
    <w:rsid w:val="00006B6D"/>
    <w:rsid w:val="00006C66"/>
    <w:rsid w:val="00007AA4"/>
    <w:rsid w:val="00010760"/>
    <w:rsid w:val="00010799"/>
    <w:rsid w:val="000107C8"/>
    <w:rsid w:val="00012654"/>
    <w:rsid w:val="00012832"/>
    <w:rsid w:val="000148CA"/>
    <w:rsid w:val="0001591A"/>
    <w:rsid w:val="00016643"/>
    <w:rsid w:val="000169E7"/>
    <w:rsid w:val="000203FC"/>
    <w:rsid w:val="0002059C"/>
    <w:rsid w:val="00022EEF"/>
    <w:rsid w:val="00023F7D"/>
    <w:rsid w:val="00026232"/>
    <w:rsid w:val="00026BBD"/>
    <w:rsid w:val="00027631"/>
    <w:rsid w:val="00030FAC"/>
    <w:rsid w:val="00031578"/>
    <w:rsid w:val="00031B56"/>
    <w:rsid w:val="00034012"/>
    <w:rsid w:val="000342F2"/>
    <w:rsid w:val="00034DD9"/>
    <w:rsid w:val="000358F1"/>
    <w:rsid w:val="00035994"/>
    <w:rsid w:val="00036649"/>
    <w:rsid w:val="000379E4"/>
    <w:rsid w:val="00040B31"/>
    <w:rsid w:val="00041743"/>
    <w:rsid w:val="0004195A"/>
    <w:rsid w:val="00041C73"/>
    <w:rsid w:val="0004272A"/>
    <w:rsid w:val="00044ED4"/>
    <w:rsid w:val="00046941"/>
    <w:rsid w:val="00046A04"/>
    <w:rsid w:val="00047C7F"/>
    <w:rsid w:val="0005023D"/>
    <w:rsid w:val="00050CF8"/>
    <w:rsid w:val="00050D49"/>
    <w:rsid w:val="00050F8B"/>
    <w:rsid w:val="0005265F"/>
    <w:rsid w:val="00052893"/>
    <w:rsid w:val="000531C7"/>
    <w:rsid w:val="00053BED"/>
    <w:rsid w:val="00054DDA"/>
    <w:rsid w:val="00054EF0"/>
    <w:rsid w:val="00054F30"/>
    <w:rsid w:val="00056F18"/>
    <w:rsid w:val="000576C2"/>
    <w:rsid w:val="00057809"/>
    <w:rsid w:val="00057C2A"/>
    <w:rsid w:val="000603BE"/>
    <w:rsid w:val="000618A5"/>
    <w:rsid w:val="00063AF6"/>
    <w:rsid w:val="00063F62"/>
    <w:rsid w:val="00064B49"/>
    <w:rsid w:val="00064CF0"/>
    <w:rsid w:val="000663DB"/>
    <w:rsid w:val="00066942"/>
    <w:rsid w:val="00066E9A"/>
    <w:rsid w:val="0006793C"/>
    <w:rsid w:val="0007101F"/>
    <w:rsid w:val="00072B4A"/>
    <w:rsid w:val="000735A0"/>
    <w:rsid w:val="00073854"/>
    <w:rsid w:val="00073950"/>
    <w:rsid w:val="00074BC8"/>
    <w:rsid w:val="000758F7"/>
    <w:rsid w:val="00076E3C"/>
    <w:rsid w:val="00080A9A"/>
    <w:rsid w:val="00080D15"/>
    <w:rsid w:val="00080DAD"/>
    <w:rsid w:val="00081F14"/>
    <w:rsid w:val="0008355B"/>
    <w:rsid w:val="0008649E"/>
    <w:rsid w:val="000868B9"/>
    <w:rsid w:val="000873E0"/>
    <w:rsid w:val="00090E89"/>
    <w:rsid w:val="000932C0"/>
    <w:rsid w:val="0009330F"/>
    <w:rsid w:val="00094D1C"/>
    <w:rsid w:val="0009538A"/>
    <w:rsid w:val="00096C76"/>
    <w:rsid w:val="000A0274"/>
    <w:rsid w:val="000A096F"/>
    <w:rsid w:val="000A1D8E"/>
    <w:rsid w:val="000A2CA3"/>
    <w:rsid w:val="000A3422"/>
    <w:rsid w:val="000A41D2"/>
    <w:rsid w:val="000A5B56"/>
    <w:rsid w:val="000A65F6"/>
    <w:rsid w:val="000A6AAA"/>
    <w:rsid w:val="000A7BB5"/>
    <w:rsid w:val="000B0E98"/>
    <w:rsid w:val="000B1052"/>
    <w:rsid w:val="000B1FCC"/>
    <w:rsid w:val="000B27EB"/>
    <w:rsid w:val="000B35AF"/>
    <w:rsid w:val="000B36EC"/>
    <w:rsid w:val="000B42EB"/>
    <w:rsid w:val="000B4630"/>
    <w:rsid w:val="000B5AD0"/>
    <w:rsid w:val="000C00FD"/>
    <w:rsid w:val="000C18D3"/>
    <w:rsid w:val="000C1B66"/>
    <w:rsid w:val="000C3AA2"/>
    <w:rsid w:val="000C43F2"/>
    <w:rsid w:val="000C4C46"/>
    <w:rsid w:val="000C4E0D"/>
    <w:rsid w:val="000C53D5"/>
    <w:rsid w:val="000C5C47"/>
    <w:rsid w:val="000C7B37"/>
    <w:rsid w:val="000D0B3F"/>
    <w:rsid w:val="000D1196"/>
    <w:rsid w:val="000D19D6"/>
    <w:rsid w:val="000D31C0"/>
    <w:rsid w:val="000D50A4"/>
    <w:rsid w:val="000D5A2F"/>
    <w:rsid w:val="000D709F"/>
    <w:rsid w:val="000D7F7D"/>
    <w:rsid w:val="000E0EA2"/>
    <w:rsid w:val="000E0EDD"/>
    <w:rsid w:val="000E10CC"/>
    <w:rsid w:val="000E1728"/>
    <w:rsid w:val="000E2950"/>
    <w:rsid w:val="000E3524"/>
    <w:rsid w:val="000E4F9F"/>
    <w:rsid w:val="000E6437"/>
    <w:rsid w:val="000E712E"/>
    <w:rsid w:val="000F0995"/>
    <w:rsid w:val="000F280A"/>
    <w:rsid w:val="000F449A"/>
    <w:rsid w:val="000F5537"/>
    <w:rsid w:val="000F5788"/>
    <w:rsid w:val="000F6E41"/>
    <w:rsid w:val="000F7D34"/>
    <w:rsid w:val="00101409"/>
    <w:rsid w:val="001014C8"/>
    <w:rsid w:val="00101E31"/>
    <w:rsid w:val="00103334"/>
    <w:rsid w:val="00103ABE"/>
    <w:rsid w:val="001049DA"/>
    <w:rsid w:val="00105410"/>
    <w:rsid w:val="00105ED5"/>
    <w:rsid w:val="001064C0"/>
    <w:rsid w:val="00106DAD"/>
    <w:rsid w:val="00107295"/>
    <w:rsid w:val="0010789E"/>
    <w:rsid w:val="00107C11"/>
    <w:rsid w:val="0011381A"/>
    <w:rsid w:val="001139F0"/>
    <w:rsid w:val="00114519"/>
    <w:rsid w:val="0011466B"/>
    <w:rsid w:val="00114CE5"/>
    <w:rsid w:val="00115164"/>
    <w:rsid w:val="00115789"/>
    <w:rsid w:val="001158FE"/>
    <w:rsid w:val="00115AA3"/>
    <w:rsid w:val="00116B19"/>
    <w:rsid w:val="00117DBA"/>
    <w:rsid w:val="001202A1"/>
    <w:rsid w:val="00120798"/>
    <w:rsid w:val="00120B03"/>
    <w:rsid w:val="001218F6"/>
    <w:rsid w:val="001220B9"/>
    <w:rsid w:val="00122B87"/>
    <w:rsid w:val="00122E4D"/>
    <w:rsid w:val="00122FF7"/>
    <w:rsid w:val="001234DB"/>
    <w:rsid w:val="001253E2"/>
    <w:rsid w:val="0012547E"/>
    <w:rsid w:val="00126786"/>
    <w:rsid w:val="00131136"/>
    <w:rsid w:val="001316FE"/>
    <w:rsid w:val="00132364"/>
    <w:rsid w:val="00132518"/>
    <w:rsid w:val="00132AB1"/>
    <w:rsid w:val="00133E4F"/>
    <w:rsid w:val="00135982"/>
    <w:rsid w:val="001361E5"/>
    <w:rsid w:val="00136C68"/>
    <w:rsid w:val="001404FA"/>
    <w:rsid w:val="0014055B"/>
    <w:rsid w:val="00141AB6"/>
    <w:rsid w:val="00141EBA"/>
    <w:rsid w:val="0014355D"/>
    <w:rsid w:val="001437F7"/>
    <w:rsid w:val="001450BD"/>
    <w:rsid w:val="0014604E"/>
    <w:rsid w:val="00146CCC"/>
    <w:rsid w:val="0014772C"/>
    <w:rsid w:val="001477D7"/>
    <w:rsid w:val="00150054"/>
    <w:rsid w:val="00150444"/>
    <w:rsid w:val="00150469"/>
    <w:rsid w:val="00150971"/>
    <w:rsid w:val="00152808"/>
    <w:rsid w:val="00152D36"/>
    <w:rsid w:val="001537C6"/>
    <w:rsid w:val="001549A9"/>
    <w:rsid w:val="00161019"/>
    <w:rsid w:val="00161122"/>
    <w:rsid w:val="00162141"/>
    <w:rsid w:val="001628A0"/>
    <w:rsid w:val="00162C18"/>
    <w:rsid w:val="00162CD6"/>
    <w:rsid w:val="00163B91"/>
    <w:rsid w:val="00163E51"/>
    <w:rsid w:val="00164160"/>
    <w:rsid w:val="00164F1C"/>
    <w:rsid w:val="00166A24"/>
    <w:rsid w:val="00166E4C"/>
    <w:rsid w:val="00167005"/>
    <w:rsid w:val="0016727F"/>
    <w:rsid w:val="00174357"/>
    <w:rsid w:val="00174F9C"/>
    <w:rsid w:val="00175683"/>
    <w:rsid w:val="00175F0C"/>
    <w:rsid w:val="0017732B"/>
    <w:rsid w:val="00177C12"/>
    <w:rsid w:val="001800A7"/>
    <w:rsid w:val="00180726"/>
    <w:rsid w:val="00180A4D"/>
    <w:rsid w:val="0018144B"/>
    <w:rsid w:val="001826F6"/>
    <w:rsid w:val="00184903"/>
    <w:rsid w:val="001874F0"/>
    <w:rsid w:val="0019076A"/>
    <w:rsid w:val="00192497"/>
    <w:rsid w:val="0019383B"/>
    <w:rsid w:val="0019396F"/>
    <w:rsid w:val="001943E5"/>
    <w:rsid w:val="0019451C"/>
    <w:rsid w:val="00194F39"/>
    <w:rsid w:val="00195C3B"/>
    <w:rsid w:val="00196502"/>
    <w:rsid w:val="001971BF"/>
    <w:rsid w:val="00197E35"/>
    <w:rsid w:val="001A20E1"/>
    <w:rsid w:val="001A3501"/>
    <w:rsid w:val="001A4D74"/>
    <w:rsid w:val="001A5B49"/>
    <w:rsid w:val="001A6CB7"/>
    <w:rsid w:val="001B14BE"/>
    <w:rsid w:val="001B20AB"/>
    <w:rsid w:val="001B2E49"/>
    <w:rsid w:val="001B491D"/>
    <w:rsid w:val="001B592D"/>
    <w:rsid w:val="001B7B19"/>
    <w:rsid w:val="001C0E77"/>
    <w:rsid w:val="001C0F8B"/>
    <w:rsid w:val="001C12B0"/>
    <w:rsid w:val="001C1C31"/>
    <w:rsid w:val="001C1DA8"/>
    <w:rsid w:val="001C2E79"/>
    <w:rsid w:val="001C342A"/>
    <w:rsid w:val="001C3A2C"/>
    <w:rsid w:val="001C3AA4"/>
    <w:rsid w:val="001C4422"/>
    <w:rsid w:val="001C482A"/>
    <w:rsid w:val="001C4992"/>
    <w:rsid w:val="001C50F4"/>
    <w:rsid w:val="001C567C"/>
    <w:rsid w:val="001C65A5"/>
    <w:rsid w:val="001C71C0"/>
    <w:rsid w:val="001C7D20"/>
    <w:rsid w:val="001D1A43"/>
    <w:rsid w:val="001D1BAB"/>
    <w:rsid w:val="001D20EB"/>
    <w:rsid w:val="001D33A5"/>
    <w:rsid w:val="001D3440"/>
    <w:rsid w:val="001D3A62"/>
    <w:rsid w:val="001D3C8F"/>
    <w:rsid w:val="001D42EA"/>
    <w:rsid w:val="001E18E4"/>
    <w:rsid w:val="001E1945"/>
    <w:rsid w:val="001E1B55"/>
    <w:rsid w:val="001E2E21"/>
    <w:rsid w:val="001E34B3"/>
    <w:rsid w:val="001E3D7D"/>
    <w:rsid w:val="001E6599"/>
    <w:rsid w:val="001E74B1"/>
    <w:rsid w:val="001F06D7"/>
    <w:rsid w:val="001F0D9D"/>
    <w:rsid w:val="001F18B7"/>
    <w:rsid w:val="001F421D"/>
    <w:rsid w:val="001F43D4"/>
    <w:rsid w:val="001F7224"/>
    <w:rsid w:val="002007AD"/>
    <w:rsid w:val="0020166D"/>
    <w:rsid w:val="00202B7C"/>
    <w:rsid w:val="00203694"/>
    <w:rsid w:val="00204D39"/>
    <w:rsid w:val="00204D4A"/>
    <w:rsid w:val="00205F20"/>
    <w:rsid w:val="0020646F"/>
    <w:rsid w:val="00210982"/>
    <w:rsid w:val="00210C1C"/>
    <w:rsid w:val="0021561B"/>
    <w:rsid w:val="00217EE5"/>
    <w:rsid w:val="00221FB2"/>
    <w:rsid w:val="00222493"/>
    <w:rsid w:val="00224F2D"/>
    <w:rsid w:val="0022530F"/>
    <w:rsid w:val="002254A9"/>
    <w:rsid w:val="00226C40"/>
    <w:rsid w:val="00226CD7"/>
    <w:rsid w:val="002275B2"/>
    <w:rsid w:val="00227B95"/>
    <w:rsid w:val="0023009E"/>
    <w:rsid w:val="002311CF"/>
    <w:rsid w:val="00233AC6"/>
    <w:rsid w:val="00235006"/>
    <w:rsid w:val="00236E66"/>
    <w:rsid w:val="00236EE8"/>
    <w:rsid w:val="002370CD"/>
    <w:rsid w:val="00237D13"/>
    <w:rsid w:val="002425C7"/>
    <w:rsid w:val="002433E4"/>
    <w:rsid w:val="00243A9C"/>
    <w:rsid w:val="00244218"/>
    <w:rsid w:val="00244B28"/>
    <w:rsid w:val="00245BD7"/>
    <w:rsid w:val="00247B3D"/>
    <w:rsid w:val="00247C50"/>
    <w:rsid w:val="00250973"/>
    <w:rsid w:val="00250E8D"/>
    <w:rsid w:val="00251B1B"/>
    <w:rsid w:val="00252BE8"/>
    <w:rsid w:val="00253179"/>
    <w:rsid w:val="002544CF"/>
    <w:rsid w:val="00256442"/>
    <w:rsid w:val="00256583"/>
    <w:rsid w:val="00261271"/>
    <w:rsid w:val="00261CD3"/>
    <w:rsid w:val="00262D3C"/>
    <w:rsid w:val="002634F1"/>
    <w:rsid w:val="00264F82"/>
    <w:rsid w:val="00265BEB"/>
    <w:rsid w:val="00265FB5"/>
    <w:rsid w:val="0026659B"/>
    <w:rsid w:val="00266BB4"/>
    <w:rsid w:val="00266CDC"/>
    <w:rsid w:val="00270F0F"/>
    <w:rsid w:val="002715AF"/>
    <w:rsid w:val="00273ADF"/>
    <w:rsid w:val="00274604"/>
    <w:rsid w:val="0027561D"/>
    <w:rsid w:val="00275B6D"/>
    <w:rsid w:val="0027616A"/>
    <w:rsid w:val="00277114"/>
    <w:rsid w:val="00280167"/>
    <w:rsid w:val="00280302"/>
    <w:rsid w:val="0028051E"/>
    <w:rsid w:val="00281A2C"/>
    <w:rsid w:val="00281B26"/>
    <w:rsid w:val="00281C75"/>
    <w:rsid w:val="00281D89"/>
    <w:rsid w:val="002825B2"/>
    <w:rsid w:val="002840B1"/>
    <w:rsid w:val="00284B5A"/>
    <w:rsid w:val="00285ABC"/>
    <w:rsid w:val="00285E0A"/>
    <w:rsid w:val="00285F45"/>
    <w:rsid w:val="0028623A"/>
    <w:rsid w:val="0028650C"/>
    <w:rsid w:val="00286576"/>
    <w:rsid w:val="002871BE"/>
    <w:rsid w:val="00287B15"/>
    <w:rsid w:val="002918D3"/>
    <w:rsid w:val="00294695"/>
    <w:rsid w:val="00295354"/>
    <w:rsid w:val="00295E0E"/>
    <w:rsid w:val="00296132"/>
    <w:rsid w:val="00297D60"/>
    <w:rsid w:val="002A5B06"/>
    <w:rsid w:val="002A5FF3"/>
    <w:rsid w:val="002A694F"/>
    <w:rsid w:val="002A69C2"/>
    <w:rsid w:val="002A7B6A"/>
    <w:rsid w:val="002B1176"/>
    <w:rsid w:val="002B2410"/>
    <w:rsid w:val="002B313E"/>
    <w:rsid w:val="002B3837"/>
    <w:rsid w:val="002B38FA"/>
    <w:rsid w:val="002B4C7C"/>
    <w:rsid w:val="002B4CEA"/>
    <w:rsid w:val="002B5A1D"/>
    <w:rsid w:val="002C1732"/>
    <w:rsid w:val="002C20C9"/>
    <w:rsid w:val="002C35F4"/>
    <w:rsid w:val="002C4CD5"/>
    <w:rsid w:val="002C5037"/>
    <w:rsid w:val="002C5CFB"/>
    <w:rsid w:val="002C5EE0"/>
    <w:rsid w:val="002C7386"/>
    <w:rsid w:val="002D0158"/>
    <w:rsid w:val="002D0617"/>
    <w:rsid w:val="002D1565"/>
    <w:rsid w:val="002D195F"/>
    <w:rsid w:val="002D2F1E"/>
    <w:rsid w:val="002D49AC"/>
    <w:rsid w:val="002D4ACD"/>
    <w:rsid w:val="002D68E3"/>
    <w:rsid w:val="002D6947"/>
    <w:rsid w:val="002D766A"/>
    <w:rsid w:val="002D78D5"/>
    <w:rsid w:val="002D7F7F"/>
    <w:rsid w:val="002E13C3"/>
    <w:rsid w:val="002E238C"/>
    <w:rsid w:val="002E2910"/>
    <w:rsid w:val="002E2F8D"/>
    <w:rsid w:val="002E3C2E"/>
    <w:rsid w:val="002E64D6"/>
    <w:rsid w:val="002E7331"/>
    <w:rsid w:val="002E7340"/>
    <w:rsid w:val="002E7D88"/>
    <w:rsid w:val="002F1564"/>
    <w:rsid w:val="002F2634"/>
    <w:rsid w:val="002F3450"/>
    <w:rsid w:val="002F389B"/>
    <w:rsid w:val="002F3C5F"/>
    <w:rsid w:val="002F58C0"/>
    <w:rsid w:val="002F600B"/>
    <w:rsid w:val="002F701D"/>
    <w:rsid w:val="002F7520"/>
    <w:rsid w:val="00300975"/>
    <w:rsid w:val="00301722"/>
    <w:rsid w:val="00301EB0"/>
    <w:rsid w:val="00303A01"/>
    <w:rsid w:val="00303FF5"/>
    <w:rsid w:val="00306053"/>
    <w:rsid w:val="00306EAD"/>
    <w:rsid w:val="00307781"/>
    <w:rsid w:val="00307E1C"/>
    <w:rsid w:val="00311810"/>
    <w:rsid w:val="00312700"/>
    <w:rsid w:val="003134E7"/>
    <w:rsid w:val="00313C45"/>
    <w:rsid w:val="003157B2"/>
    <w:rsid w:val="00315B46"/>
    <w:rsid w:val="00316766"/>
    <w:rsid w:val="00317269"/>
    <w:rsid w:val="003174C3"/>
    <w:rsid w:val="00320253"/>
    <w:rsid w:val="00320F70"/>
    <w:rsid w:val="0032173F"/>
    <w:rsid w:val="003221CB"/>
    <w:rsid w:val="00323416"/>
    <w:rsid w:val="003244A2"/>
    <w:rsid w:val="003251C8"/>
    <w:rsid w:val="00326074"/>
    <w:rsid w:val="00326671"/>
    <w:rsid w:val="00326E65"/>
    <w:rsid w:val="003306AC"/>
    <w:rsid w:val="003308C8"/>
    <w:rsid w:val="00332A72"/>
    <w:rsid w:val="00335FB5"/>
    <w:rsid w:val="00336893"/>
    <w:rsid w:val="00340BEE"/>
    <w:rsid w:val="00340FD3"/>
    <w:rsid w:val="0034241D"/>
    <w:rsid w:val="0034495C"/>
    <w:rsid w:val="0034499C"/>
    <w:rsid w:val="0034586F"/>
    <w:rsid w:val="003461A9"/>
    <w:rsid w:val="00347218"/>
    <w:rsid w:val="003500FC"/>
    <w:rsid w:val="00350969"/>
    <w:rsid w:val="00350CED"/>
    <w:rsid w:val="00352C78"/>
    <w:rsid w:val="00353CCD"/>
    <w:rsid w:val="0035501C"/>
    <w:rsid w:val="00357093"/>
    <w:rsid w:val="003572AB"/>
    <w:rsid w:val="00357634"/>
    <w:rsid w:val="0036249B"/>
    <w:rsid w:val="0036581A"/>
    <w:rsid w:val="00366E4A"/>
    <w:rsid w:val="00370309"/>
    <w:rsid w:val="00370396"/>
    <w:rsid w:val="00370B50"/>
    <w:rsid w:val="00371E66"/>
    <w:rsid w:val="00371FAD"/>
    <w:rsid w:val="003721BA"/>
    <w:rsid w:val="0037322A"/>
    <w:rsid w:val="00373AA5"/>
    <w:rsid w:val="003751EB"/>
    <w:rsid w:val="003752A5"/>
    <w:rsid w:val="00375986"/>
    <w:rsid w:val="00377119"/>
    <w:rsid w:val="0038050D"/>
    <w:rsid w:val="0038057C"/>
    <w:rsid w:val="003805D6"/>
    <w:rsid w:val="00380B25"/>
    <w:rsid w:val="00380E65"/>
    <w:rsid w:val="00382C02"/>
    <w:rsid w:val="0038547A"/>
    <w:rsid w:val="00385D1E"/>
    <w:rsid w:val="00385EB5"/>
    <w:rsid w:val="0038627F"/>
    <w:rsid w:val="00390855"/>
    <w:rsid w:val="00391EAA"/>
    <w:rsid w:val="003924E5"/>
    <w:rsid w:val="00392C8C"/>
    <w:rsid w:val="0039327F"/>
    <w:rsid w:val="003943FF"/>
    <w:rsid w:val="00394682"/>
    <w:rsid w:val="00394EA8"/>
    <w:rsid w:val="00397026"/>
    <w:rsid w:val="003A0C6C"/>
    <w:rsid w:val="003A11FB"/>
    <w:rsid w:val="003A189D"/>
    <w:rsid w:val="003A1DBB"/>
    <w:rsid w:val="003A1FC9"/>
    <w:rsid w:val="003A216D"/>
    <w:rsid w:val="003A2EE4"/>
    <w:rsid w:val="003A5FBF"/>
    <w:rsid w:val="003A6FB2"/>
    <w:rsid w:val="003B0440"/>
    <w:rsid w:val="003B35C3"/>
    <w:rsid w:val="003B4344"/>
    <w:rsid w:val="003B57F3"/>
    <w:rsid w:val="003B63E3"/>
    <w:rsid w:val="003B7178"/>
    <w:rsid w:val="003B72E8"/>
    <w:rsid w:val="003C00F6"/>
    <w:rsid w:val="003C1C30"/>
    <w:rsid w:val="003C1D95"/>
    <w:rsid w:val="003C3646"/>
    <w:rsid w:val="003C456B"/>
    <w:rsid w:val="003C481F"/>
    <w:rsid w:val="003C5712"/>
    <w:rsid w:val="003C6283"/>
    <w:rsid w:val="003C6598"/>
    <w:rsid w:val="003C7133"/>
    <w:rsid w:val="003C78E5"/>
    <w:rsid w:val="003C7E7D"/>
    <w:rsid w:val="003D1E4C"/>
    <w:rsid w:val="003D445D"/>
    <w:rsid w:val="003D48CC"/>
    <w:rsid w:val="003D6029"/>
    <w:rsid w:val="003D6445"/>
    <w:rsid w:val="003D6B31"/>
    <w:rsid w:val="003E106A"/>
    <w:rsid w:val="003E1872"/>
    <w:rsid w:val="003E192F"/>
    <w:rsid w:val="003E2372"/>
    <w:rsid w:val="003E2FF9"/>
    <w:rsid w:val="003E3896"/>
    <w:rsid w:val="003E3BD9"/>
    <w:rsid w:val="003E3E50"/>
    <w:rsid w:val="003E3F1D"/>
    <w:rsid w:val="003E433A"/>
    <w:rsid w:val="003E45CC"/>
    <w:rsid w:val="003E634C"/>
    <w:rsid w:val="003F1899"/>
    <w:rsid w:val="003F2061"/>
    <w:rsid w:val="003F2DB2"/>
    <w:rsid w:val="003F4371"/>
    <w:rsid w:val="003F47CD"/>
    <w:rsid w:val="003F6837"/>
    <w:rsid w:val="003F76AA"/>
    <w:rsid w:val="003F7D06"/>
    <w:rsid w:val="00400584"/>
    <w:rsid w:val="00402611"/>
    <w:rsid w:val="00402724"/>
    <w:rsid w:val="004029C4"/>
    <w:rsid w:val="00402EE3"/>
    <w:rsid w:val="00403117"/>
    <w:rsid w:val="0040339E"/>
    <w:rsid w:val="00406158"/>
    <w:rsid w:val="004065FE"/>
    <w:rsid w:val="00406BBB"/>
    <w:rsid w:val="00410001"/>
    <w:rsid w:val="00410D1A"/>
    <w:rsid w:val="004119F9"/>
    <w:rsid w:val="00411F46"/>
    <w:rsid w:val="00412311"/>
    <w:rsid w:val="00413EF5"/>
    <w:rsid w:val="00413F0F"/>
    <w:rsid w:val="004141E6"/>
    <w:rsid w:val="0041497B"/>
    <w:rsid w:val="0041514B"/>
    <w:rsid w:val="004160CB"/>
    <w:rsid w:val="004179A9"/>
    <w:rsid w:val="00417ACF"/>
    <w:rsid w:val="004200DD"/>
    <w:rsid w:val="0042021F"/>
    <w:rsid w:val="00420497"/>
    <w:rsid w:val="00421D13"/>
    <w:rsid w:val="00421F92"/>
    <w:rsid w:val="0042276F"/>
    <w:rsid w:val="004234E1"/>
    <w:rsid w:val="00425C0B"/>
    <w:rsid w:val="00425EA1"/>
    <w:rsid w:val="00426F6F"/>
    <w:rsid w:val="00430015"/>
    <w:rsid w:val="004308A2"/>
    <w:rsid w:val="004319F9"/>
    <w:rsid w:val="004343CE"/>
    <w:rsid w:val="00434ED8"/>
    <w:rsid w:val="004351C7"/>
    <w:rsid w:val="00435AC2"/>
    <w:rsid w:val="00440B86"/>
    <w:rsid w:val="00440C1C"/>
    <w:rsid w:val="0044197C"/>
    <w:rsid w:val="004436E5"/>
    <w:rsid w:val="00443A2F"/>
    <w:rsid w:val="00444BD1"/>
    <w:rsid w:val="004453F4"/>
    <w:rsid w:val="00445639"/>
    <w:rsid w:val="00446213"/>
    <w:rsid w:val="00446A24"/>
    <w:rsid w:val="00446F4E"/>
    <w:rsid w:val="004500B3"/>
    <w:rsid w:val="00451C88"/>
    <w:rsid w:val="00454AA5"/>
    <w:rsid w:val="004559AA"/>
    <w:rsid w:val="00456CDD"/>
    <w:rsid w:val="0045785E"/>
    <w:rsid w:val="0046018B"/>
    <w:rsid w:val="00461BCE"/>
    <w:rsid w:val="00463743"/>
    <w:rsid w:val="00464195"/>
    <w:rsid w:val="004642DF"/>
    <w:rsid w:val="00465039"/>
    <w:rsid w:val="004650BE"/>
    <w:rsid w:val="00465BFA"/>
    <w:rsid w:val="00467904"/>
    <w:rsid w:val="004710FF"/>
    <w:rsid w:val="00471285"/>
    <w:rsid w:val="00471CB5"/>
    <w:rsid w:val="00471FEC"/>
    <w:rsid w:val="004750F2"/>
    <w:rsid w:val="004754D5"/>
    <w:rsid w:val="0047662C"/>
    <w:rsid w:val="004779EC"/>
    <w:rsid w:val="00477DE4"/>
    <w:rsid w:val="00481A1F"/>
    <w:rsid w:val="004821A7"/>
    <w:rsid w:val="00483390"/>
    <w:rsid w:val="00483E73"/>
    <w:rsid w:val="00485E8B"/>
    <w:rsid w:val="00486F19"/>
    <w:rsid w:val="004871ED"/>
    <w:rsid w:val="00487AAA"/>
    <w:rsid w:val="00492B46"/>
    <w:rsid w:val="0049660B"/>
    <w:rsid w:val="004969E5"/>
    <w:rsid w:val="004A0999"/>
    <w:rsid w:val="004A0E37"/>
    <w:rsid w:val="004A14D1"/>
    <w:rsid w:val="004A1FDE"/>
    <w:rsid w:val="004A3EAE"/>
    <w:rsid w:val="004A4672"/>
    <w:rsid w:val="004A54A5"/>
    <w:rsid w:val="004A55BB"/>
    <w:rsid w:val="004A58D7"/>
    <w:rsid w:val="004A6082"/>
    <w:rsid w:val="004A782B"/>
    <w:rsid w:val="004A7919"/>
    <w:rsid w:val="004A797C"/>
    <w:rsid w:val="004A79A6"/>
    <w:rsid w:val="004B2921"/>
    <w:rsid w:val="004B3198"/>
    <w:rsid w:val="004B5880"/>
    <w:rsid w:val="004B774F"/>
    <w:rsid w:val="004C0907"/>
    <w:rsid w:val="004C1F8B"/>
    <w:rsid w:val="004C41E1"/>
    <w:rsid w:val="004C4729"/>
    <w:rsid w:val="004C50FF"/>
    <w:rsid w:val="004C7154"/>
    <w:rsid w:val="004D0F7C"/>
    <w:rsid w:val="004D2D63"/>
    <w:rsid w:val="004D36CA"/>
    <w:rsid w:val="004D3735"/>
    <w:rsid w:val="004D52A1"/>
    <w:rsid w:val="004D6217"/>
    <w:rsid w:val="004D7442"/>
    <w:rsid w:val="004D7AE0"/>
    <w:rsid w:val="004E1C4D"/>
    <w:rsid w:val="004E1ED2"/>
    <w:rsid w:val="004E21C7"/>
    <w:rsid w:val="004E2750"/>
    <w:rsid w:val="004E2828"/>
    <w:rsid w:val="004E3B74"/>
    <w:rsid w:val="004E515D"/>
    <w:rsid w:val="004E56C1"/>
    <w:rsid w:val="004F0162"/>
    <w:rsid w:val="004F017A"/>
    <w:rsid w:val="004F1E16"/>
    <w:rsid w:val="004F3562"/>
    <w:rsid w:val="004F4F01"/>
    <w:rsid w:val="004F5636"/>
    <w:rsid w:val="004F60DF"/>
    <w:rsid w:val="004F669B"/>
    <w:rsid w:val="004F7236"/>
    <w:rsid w:val="004F7657"/>
    <w:rsid w:val="004F77B5"/>
    <w:rsid w:val="005007D5"/>
    <w:rsid w:val="00501651"/>
    <w:rsid w:val="0050225D"/>
    <w:rsid w:val="00502E82"/>
    <w:rsid w:val="00503419"/>
    <w:rsid w:val="00503914"/>
    <w:rsid w:val="00503F41"/>
    <w:rsid w:val="005043B7"/>
    <w:rsid w:val="005046EA"/>
    <w:rsid w:val="00504DA7"/>
    <w:rsid w:val="00505512"/>
    <w:rsid w:val="00505FAC"/>
    <w:rsid w:val="0051010E"/>
    <w:rsid w:val="00510885"/>
    <w:rsid w:val="005109E5"/>
    <w:rsid w:val="00510E77"/>
    <w:rsid w:val="00511339"/>
    <w:rsid w:val="00511754"/>
    <w:rsid w:val="00513D7D"/>
    <w:rsid w:val="00513E0F"/>
    <w:rsid w:val="00514E52"/>
    <w:rsid w:val="0051551D"/>
    <w:rsid w:val="00516645"/>
    <w:rsid w:val="0052001F"/>
    <w:rsid w:val="005201AF"/>
    <w:rsid w:val="005208A4"/>
    <w:rsid w:val="005210B6"/>
    <w:rsid w:val="0052179D"/>
    <w:rsid w:val="005224C7"/>
    <w:rsid w:val="0052376E"/>
    <w:rsid w:val="005273A2"/>
    <w:rsid w:val="005277AF"/>
    <w:rsid w:val="00531959"/>
    <w:rsid w:val="00531A2B"/>
    <w:rsid w:val="00531D94"/>
    <w:rsid w:val="00532C0F"/>
    <w:rsid w:val="0053359C"/>
    <w:rsid w:val="00533974"/>
    <w:rsid w:val="00534893"/>
    <w:rsid w:val="00534B24"/>
    <w:rsid w:val="00535DA1"/>
    <w:rsid w:val="0053662D"/>
    <w:rsid w:val="00536FC2"/>
    <w:rsid w:val="00537A66"/>
    <w:rsid w:val="00540BBB"/>
    <w:rsid w:val="0054225B"/>
    <w:rsid w:val="00543D79"/>
    <w:rsid w:val="005443D8"/>
    <w:rsid w:val="005448D4"/>
    <w:rsid w:val="00546224"/>
    <w:rsid w:val="00546594"/>
    <w:rsid w:val="00550B0B"/>
    <w:rsid w:val="00553478"/>
    <w:rsid w:val="00553839"/>
    <w:rsid w:val="00553FF5"/>
    <w:rsid w:val="005569EE"/>
    <w:rsid w:val="005605BF"/>
    <w:rsid w:val="005617B0"/>
    <w:rsid w:val="005629F1"/>
    <w:rsid w:val="00562C0C"/>
    <w:rsid w:val="005633C7"/>
    <w:rsid w:val="00563EC7"/>
    <w:rsid w:val="00565544"/>
    <w:rsid w:val="0056614E"/>
    <w:rsid w:val="005663C5"/>
    <w:rsid w:val="00566BD4"/>
    <w:rsid w:val="00567885"/>
    <w:rsid w:val="00570E97"/>
    <w:rsid w:val="0057263B"/>
    <w:rsid w:val="00572769"/>
    <w:rsid w:val="00572E9E"/>
    <w:rsid w:val="00573466"/>
    <w:rsid w:val="00573F16"/>
    <w:rsid w:val="00573FB0"/>
    <w:rsid w:val="0057786E"/>
    <w:rsid w:val="00580145"/>
    <w:rsid w:val="00583F68"/>
    <w:rsid w:val="00583F76"/>
    <w:rsid w:val="0058472D"/>
    <w:rsid w:val="00585F89"/>
    <w:rsid w:val="005924AC"/>
    <w:rsid w:val="00592BD4"/>
    <w:rsid w:val="00595817"/>
    <w:rsid w:val="00596981"/>
    <w:rsid w:val="00596E5C"/>
    <w:rsid w:val="005976BB"/>
    <w:rsid w:val="005A0216"/>
    <w:rsid w:val="005A31A1"/>
    <w:rsid w:val="005A3761"/>
    <w:rsid w:val="005A39B9"/>
    <w:rsid w:val="005A4A06"/>
    <w:rsid w:val="005A50EE"/>
    <w:rsid w:val="005A591A"/>
    <w:rsid w:val="005A5B78"/>
    <w:rsid w:val="005A6A3A"/>
    <w:rsid w:val="005B0880"/>
    <w:rsid w:val="005B23CC"/>
    <w:rsid w:val="005B2A25"/>
    <w:rsid w:val="005B42B5"/>
    <w:rsid w:val="005B5331"/>
    <w:rsid w:val="005B5875"/>
    <w:rsid w:val="005B58A1"/>
    <w:rsid w:val="005B6191"/>
    <w:rsid w:val="005B67CA"/>
    <w:rsid w:val="005C1260"/>
    <w:rsid w:val="005C16EA"/>
    <w:rsid w:val="005C19AE"/>
    <w:rsid w:val="005C3021"/>
    <w:rsid w:val="005C480D"/>
    <w:rsid w:val="005C71B8"/>
    <w:rsid w:val="005C7932"/>
    <w:rsid w:val="005C7ECB"/>
    <w:rsid w:val="005D10B2"/>
    <w:rsid w:val="005D3A3C"/>
    <w:rsid w:val="005D5084"/>
    <w:rsid w:val="005D5888"/>
    <w:rsid w:val="005D5AAE"/>
    <w:rsid w:val="005D6F5D"/>
    <w:rsid w:val="005D72F8"/>
    <w:rsid w:val="005E193E"/>
    <w:rsid w:val="005E224B"/>
    <w:rsid w:val="005E2B6C"/>
    <w:rsid w:val="005E319F"/>
    <w:rsid w:val="005E3B79"/>
    <w:rsid w:val="005E5368"/>
    <w:rsid w:val="005E537D"/>
    <w:rsid w:val="005E6F61"/>
    <w:rsid w:val="005E7057"/>
    <w:rsid w:val="005E7A24"/>
    <w:rsid w:val="005F04D2"/>
    <w:rsid w:val="005F1D70"/>
    <w:rsid w:val="005F3BD3"/>
    <w:rsid w:val="005F3CCB"/>
    <w:rsid w:val="005F6511"/>
    <w:rsid w:val="005F6C1F"/>
    <w:rsid w:val="005F762C"/>
    <w:rsid w:val="006007F6"/>
    <w:rsid w:val="0060195C"/>
    <w:rsid w:val="00601C1E"/>
    <w:rsid w:val="006027AF"/>
    <w:rsid w:val="00603E36"/>
    <w:rsid w:val="00604B4A"/>
    <w:rsid w:val="00605FF3"/>
    <w:rsid w:val="0060619A"/>
    <w:rsid w:val="00606538"/>
    <w:rsid w:val="006070C5"/>
    <w:rsid w:val="00612AC6"/>
    <w:rsid w:val="00612D7E"/>
    <w:rsid w:val="00613073"/>
    <w:rsid w:val="0061633D"/>
    <w:rsid w:val="00616BBB"/>
    <w:rsid w:val="006175CF"/>
    <w:rsid w:val="0061776B"/>
    <w:rsid w:val="006206B1"/>
    <w:rsid w:val="00620AF3"/>
    <w:rsid w:val="0062433A"/>
    <w:rsid w:val="00624C8E"/>
    <w:rsid w:val="006255DC"/>
    <w:rsid w:val="00625647"/>
    <w:rsid w:val="00626A9D"/>
    <w:rsid w:val="00627750"/>
    <w:rsid w:val="00627780"/>
    <w:rsid w:val="00632ACA"/>
    <w:rsid w:val="00632C59"/>
    <w:rsid w:val="00633F28"/>
    <w:rsid w:val="0063431F"/>
    <w:rsid w:val="0063479D"/>
    <w:rsid w:val="00635049"/>
    <w:rsid w:val="006358A3"/>
    <w:rsid w:val="006361E0"/>
    <w:rsid w:val="00637599"/>
    <w:rsid w:val="00640E07"/>
    <w:rsid w:val="0064191F"/>
    <w:rsid w:val="006446D8"/>
    <w:rsid w:val="00644944"/>
    <w:rsid w:val="00644D92"/>
    <w:rsid w:val="00645E9C"/>
    <w:rsid w:val="00646998"/>
    <w:rsid w:val="006478AA"/>
    <w:rsid w:val="00647A54"/>
    <w:rsid w:val="00650DF9"/>
    <w:rsid w:val="00651810"/>
    <w:rsid w:val="00651AD1"/>
    <w:rsid w:val="00651EEB"/>
    <w:rsid w:val="00652241"/>
    <w:rsid w:val="00652C68"/>
    <w:rsid w:val="006535E8"/>
    <w:rsid w:val="00653897"/>
    <w:rsid w:val="00653E93"/>
    <w:rsid w:val="00655131"/>
    <w:rsid w:val="0065731F"/>
    <w:rsid w:val="0065791E"/>
    <w:rsid w:val="00660E25"/>
    <w:rsid w:val="006627A8"/>
    <w:rsid w:val="00662B36"/>
    <w:rsid w:val="00663D38"/>
    <w:rsid w:val="006647BF"/>
    <w:rsid w:val="0066601F"/>
    <w:rsid w:val="0066714F"/>
    <w:rsid w:val="006672CA"/>
    <w:rsid w:val="00667555"/>
    <w:rsid w:val="006677C0"/>
    <w:rsid w:val="00667A9F"/>
    <w:rsid w:val="00671D43"/>
    <w:rsid w:val="006727D4"/>
    <w:rsid w:val="00672D81"/>
    <w:rsid w:val="00676AA5"/>
    <w:rsid w:val="0068034A"/>
    <w:rsid w:val="00682EC1"/>
    <w:rsid w:val="006831DD"/>
    <w:rsid w:val="006843EB"/>
    <w:rsid w:val="006868A5"/>
    <w:rsid w:val="006879CD"/>
    <w:rsid w:val="00690EF8"/>
    <w:rsid w:val="00692238"/>
    <w:rsid w:val="00692DAE"/>
    <w:rsid w:val="006933D9"/>
    <w:rsid w:val="00694179"/>
    <w:rsid w:val="006943D8"/>
    <w:rsid w:val="0069537F"/>
    <w:rsid w:val="00697227"/>
    <w:rsid w:val="00697845"/>
    <w:rsid w:val="00697CC8"/>
    <w:rsid w:val="006A03A5"/>
    <w:rsid w:val="006A14A4"/>
    <w:rsid w:val="006A16F6"/>
    <w:rsid w:val="006A19CC"/>
    <w:rsid w:val="006A3A6F"/>
    <w:rsid w:val="006A3C05"/>
    <w:rsid w:val="006A466F"/>
    <w:rsid w:val="006A474C"/>
    <w:rsid w:val="006A77CE"/>
    <w:rsid w:val="006B0E9E"/>
    <w:rsid w:val="006B1E83"/>
    <w:rsid w:val="006B2B4E"/>
    <w:rsid w:val="006B7BA5"/>
    <w:rsid w:val="006C0318"/>
    <w:rsid w:val="006C26B2"/>
    <w:rsid w:val="006C292C"/>
    <w:rsid w:val="006C2C94"/>
    <w:rsid w:val="006C34D1"/>
    <w:rsid w:val="006C4320"/>
    <w:rsid w:val="006C5591"/>
    <w:rsid w:val="006C5688"/>
    <w:rsid w:val="006C5798"/>
    <w:rsid w:val="006C6A4E"/>
    <w:rsid w:val="006C7E66"/>
    <w:rsid w:val="006D1207"/>
    <w:rsid w:val="006D1EFA"/>
    <w:rsid w:val="006D3501"/>
    <w:rsid w:val="006D3A77"/>
    <w:rsid w:val="006D46DA"/>
    <w:rsid w:val="006D5567"/>
    <w:rsid w:val="006D5B8B"/>
    <w:rsid w:val="006D6573"/>
    <w:rsid w:val="006E0E95"/>
    <w:rsid w:val="006E1192"/>
    <w:rsid w:val="006E2372"/>
    <w:rsid w:val="006E531D"/>
    <w:rsid w:val="006E5D0B"/>
    <w:rsid w:val="006E641A"/>
    <w:rsid w:val="006F1295"/>
    <w:rsid w:val="006F148C"/>
    <w:rsid w:val="006F158A"/>
    <w:rsid w:val="006F16FB"/>
    <w:rsid w:val="006F26FB"/>
    <w:rsid w:val="006F3619"/>
    <w:rsid w:val="006F4759"/>
    <w:rsid w:val="006F4A91"/>
    <w:rsid w:val="006F5154"/>
    <w:rsid w:val="006F69FC"/>
    <w:rsid w:val="0070040D"/>
    <w:rsid w:val="00700603"/>
    <w:rsid w:val="007008AF"/>
    <w:rsid w:val="007019F5"/>
    <w:rsid w:val="00701B9A"/>
    <w:rsid w:val="00702023"/>
    <w:rsid w:val="007022C7"/>
    <w:rsid w:val="0070395E"/>
    <w:rsid w:val="00704B2D"/>
    <w:rsid w:val="00705689"/>
    <w:rsid w:val="00705CFE"/>
    <w:rsid w:val="007067FF"/>
    <w:rsid w:val="007068F2"/>
    <w:rsid w:val="00706C4C"/>
    <w:rsid w:val="00706D3C"/>
    <w:rsid w:val="0070756C"/>
    <w:rsid w:val="0070781D"/>
    <w:rsid w:val="00707D4E"/>
    <w:rsid w:val="00711B5D"/>
    <w:rsid w:val="007126F3"/>
    <w:rsid w:val="00712B0E"/>
    <w:rsid w:val="007130F1"/>
    <w:rsid w:val="007148CB"/>
    <w:rsid w:val="00714932"/>
    <w:rsid w:val="007153AC"/>
    <w:rsid w:val="0071573E"/>
    <w:rsid w:val="00715959"/>
    <w:rsid w:val="00717DA6"/>
    <w:rsid w:val="007201B3"/>
    <w:rsid w:val="007203A8"/>
    <w:rsid w:val="00722175"/>
    <w:rsid w:val="00722590"/>
    <w:rsid w:val="00722F14"/>
    <w:rsid w:val="00723067"/>
    <w:rsid w:val="007231BB"/>
    <w:rsid w:val="0072596F"/>
    <w:rsid w:val="00727693"/>
    <w:rsid w:val="007319A7"/>
    <w:rsid w:val="00732071"/>
    <w:rsid w:val="00733EAC"/>
    <w:rsid w:val="00734322"/>
    <w:rsid w:val="007345FB"/>
    <w:rsid w:val="00734D33"/>
    <w:rsid w:val="00734FC4"/>
    <w:rsid w:val="00736C6C"/>
    <w:rsid w:val="00736DDB"/>
    <w:rsid w:val="0073701B"/>
    <w:rsid w:val="0073718D"/>
    <w:rsid w:val="007412D7"/>
    <w:rsid w:val="00741D31"/>
    <w:rsid w:val="007432F3"/>
    <w:rsid w:val="007443F6"/>
    <w:rsid w:val="007452F1"/>
    <w:rsid w:val="0074577B"/>
    <w:rsid w:val="00747D10"/>
    <w:rsid w:val="0075023A"/>
    <w:rsid w:val="0075115B"/>
    <w:rsid w:val="0075272D"/>
    <w:rsid w:val="00752D7E"/>
    <w:rsid w:val="00753066"/>
    <w:rsid w:val="00753B17"/>
    <w:rsid w:val="00754993"/>
    <w:rsid w:val="0075643B"/>
    <w:rsid w:val="00756528"/>
    <w:rsid w:val="007605B5"/>
    <w:rsid w:val="0076099B"/>
    <w:rsid w:val="007625AD"/>
    <w:rsid w:val="007658E7"/>
    <w:rsid w:val="00767CC3"/>
    <w:rsid w:val="00770684"/>
    <w:rsid w:val="00773264"/>
    <w:rsid w:val="00774D2E"/>
    <w:rsid w:val="00774E0B"/>
    <w:rsid w:val="00775141"/>
    <w:rsid w:val="00775454"/>
    <w:rsid w:val="007767A5"/>
    <w:rsid w:val="007800A8"/>
    <w:rsid w:val="00780C3C"/>
    <w:rsid w:val="00780ECA"/>
    <w:rsid w:val="0078123F"/>
    <w:rsid w:val="00783B6D"/>
    <w:rsid w:val="00785825"/>
    <w:rsid w:val="00787D9E"/>
    <w:rsid w:val="00790018"/>
    <w:rsid w:val="00790952"/>
    <w:rsid w:val="00790D40"/>
    <w:rsid w:val="00792F94"/>
    <w:rsid w:val="00793974"/>
    <w:rsid w:val="00793FDE"/>
    <w:rsid w:val="00794320"/>
    <w:rsid w:val="0079579E"/>
    <w:rsid w:val="00797F40"/>
    <w:rsid w:val="007A044B"/>
    <w:rsid w:val="007A08A8"/>
    <w:rsid w:val="007A0AC8"/>
    <w:rsid w:val="007A0CC6"/>
    <w:rsid w:val="007A1969"/>
    <w:rsid w:val="007A1CB6"/>
    <w:rsid w:val="007A3440"/>
    <w:rsid w:val="007A4946"/>
    <w:rsid w:val="007A4BE8"/>
    <w:rsid w:val="007A4F8E"/>
    <w:rsid w:val="007A64F9"/>
    <w:rsid w:val="007A73C0"/>
    <w:rsid w:val="007B1A10"/>
    <w:rsid w:val="007B26F5"/>
    <w:rsid w:val="007B46AE"/>
    <w:rsid w:val="007B48E1"/>
    <w:rsid w:val="007B55D1"/>
    <w:rsid w:val="007C095C"/>
    <w:rsid w:val="007C12B8"/>
    <w:rsid w:val="007C2902"/>
    <w:rsid w:val="007C292D"/>
    <w:rsid w:val="007C4EA5"/>
    <w:rsid w:val="007C70E9"/>
    <w:rsid w:val="007C7E0C"/>
    <w:rsid w:val="007D0BFE"/>
    <w:rsid w:val="007D0C82"/>
    <w:rsid w:val="007D0FBC"/>
    <w:rsid w:val="007D1775"/>
    <w:rsid w:val="007D1D4A"/>
    <w:rsid w:val="007D266E"/>
    <w:rsid w:val="007D38AE"/>
    <w:rsid w:val="007D4D4E"/>
    <w:rsid w:val="007D620A"/>
    <w:rsid w:val="007D62F3"/>
    <w:rsid w:val="007D6EA1"/>
    <w:rsid w:val="007D78F9"/>
    <w:rsid w:val="007E0B38"/>
    <w:rsid w:val="007E124E"/>
    <w:rsid w:val="007E16B8"/>
    <w:rsid w:val="007E1939"/>
    <w:rsid w:val="007E1955"/>
    <w:rsid w:val="007E21C7"/>
    <w:rsid w:val="007E3AC5"/>
    <w:rsid w:val="007E4694"/>
    <w:rsid w:val="007E50BF"/>
    <w:rsid w:val="007E5E01"/>
    <w:rsid w:val="007E79B7"/>
    <w:rsid w:val="007F0C61"/>
    <w:rsid w:val="007F0FD1"/>
    <w:rsid w:val="007F1555"/>
    <w:rsid w:val="007F202A"/>
    <w:rsid w:val="007F3252"/>
    <w:rsid w:val="007F32AA"/>
    <w:rsid w:val="007F424A"/>
    <w:rsid w:val="007F4F71"/>
    <w:rsid w:val="007F70C0"/>
    <w:rsid w:val="00801268"/>
    <w:rsid w:val="0080132C"/>
    <w:rsid w:val="0080351F"/>
    <w:rsid w:val="00803877"/>
    <w:rsid w:val="00803931"/>
    <w:rsid w:val="008050ED"/>
    <w:rsid w:val="008063B5"/>
    <w:rsid w:val="0080663E"/>
    <w:rsid w:val="00806F8E"/>
    <w:rsid w:val="0081134B"/>
    <w:rsid w:val="00811481"/>
    <w:rsid w:val="008114DB"/>
    <w:rsid w:val="00812D9C"/>
    <w:rsid w:val="0081354A"/>
    <w:rsid w:val="00813B58"/>
    <w:rsid w:val="00813BDA"/>
    <w:rsid w:val="0081667B"/>
    <w:rsid w:val="00816B65"/>
    <w:rsid w:val="0081780C"/>
    <w:rsid w:val="00817BFC"/>
    <w:rsid w:val="00821FF9"/>
    <w:rsid w:val="0082266E"/>
    <w:rsid w:val="00822EA7"/>
    <w:rsid w:val="00823712"/>
    <w:rsid w:val="008238A5"/>
    <w:rsid w:val="00824113"/>
    <w:rsid w:val="00826534"/>
    <w:rsid w:val="008268D0"/>
    <w:rsid w:val="00826A75"/>
    <w:rsid w:val="00827391"/>
    <w:rsid w:val="00830F23"/>
    <w:rsid w:val="00831EF2"/>
    <w:rsid w:val="00831F47"/>
    <w:rsid w:val="0083297D"/>
    <w:rsid w:val="00833867"/>
    <w:rsid w:val="00833ED6"/>
    <w:rsid w:val="00834AD5"/>
    <w:rsid w:val="008360BB"/>
    <w:rsid w:val="008367D1"/>
    <w:rsid w:val="00837A7D"/>
    <w:rsid w:val="00840837"/>
    <w:rsid w:val="00842890"/>
    <w:rsid w:val="00842B40"/>
    <w:rsid w:val="0084454D"/>
    <w:rsid w:val="00844964"/>
    <w:rsid w:val="008458D4"/>
    <w:rsid w:val="00846D68"/>
    <w:rsid w:val="0084784B"/>
    <w:rsid w:val="00847927"/>
    <w:rsid w:val="00847A71"/>
    <w:rsid w:val="008515A3"/>
    <w:rsid w:val="008526A6"/>
    <w:rsid w:val="00853683"/>
    <w:rsid w:val="00854E9A"/>
    <w:rsid w:val="008551D4"/>
    <w:rsid w:val="00857075"/>
    <w:rsid w:val="0085731D"/>
    <w:rsid w:val="00860507"/>
    <w:rsid w:val="0086325D"/>
    <w:rsid w:val="008638B4"/>
    <w:rsid w:val="00863BC8"/>
    <w:rsid w:val="0086498F"/>
    <w:rsid w:val="008657A1"/>
    <w:rsid w:val="00866842"/>
    <w:rsid w:val="00870A43"/>
    <w:rsid w:val="00870C8B"/>
    <w:rsid w:val="00870F29"/>
    <w:rsid w:val="00871CF8"/>
    <w:rsid w:val="00872133"/>
    <w:rsid w:val="00872A57"/>
    <w:rsid w:val="0087458D"/>
    <w:rsid w:val="0087550B"/>
    <w:rsid w:val="008775BD"/>
    <w:rsid w:val="008831E8"/>
    <w:rsid w:val="0088460F"/>
    <w:rsid w:val="008846F1"/>
    <w:rsid w:val="008854E7"/>
    <w:rsid w:val="00886BB4"/>
    <w:rsid w:val="00887189"/>
    <w:rsid w:val="00887A28"/>
    <w:rsid w:val="00891466"/>
    <w:rsid w:val="008923AE"/>
    <w:rsid w:val="00893711"/>
    <w:rsid w:val="00893965"/>
    <w:rsid w:val="00894277"/>
    <w:rsid w:val="00894B53"/>
    <w:rsid w:val="00896BA6"/>
    <w:rsid w:val="00896D17"/>
    <w:rsid w:val="00896F3F"/>
    <w:rsid w:val="00897256"/>
    <w:rsid w:val="00897CF3"/>
    <w:rsid w:val="008A1AE7"/>
    <w:rsid w:val="008A1DD8"/>
    <w:rsid w:val="008A1DF9"/>
    <w:rsid w:val="008A25D7"/>
    <w:rsid w:val="008A3023"/>
    <w:rsid w:val="008A3CC2"/>
    <w:rsid w:val="008A3ED1"/>
    <w:rsid w:val="008A3F29"/>
    <w:rsid w:val="008A3F95"/>
    <w:rsid w:val="008A57D5"/>
    <w:rsid w:val="008A679C"/>
    <w:rsid w:val="008A7134"/>
    <w:rsid w:val="008A7464"/>
    <w:rsid w:val="008B0EF0"/>
    <w:rsid w:val="008B2250"/>
    <w:rsid w:val="008B2D77"/>
    <w:rsid w:val="008B3166"/>
    <w:rsid w:val="008B4D50"/>
    <w:rsid w:val="008B5559"/>
    <w:rsid w:val="008B5BA5"/>
    <w:rsid w:val="008B61C2"/>
    <w:rsid w:val="008B7BAB"/>
    <w:rsid w:val="008C033D"/>
    <w:rsid w:val="008C1869"/>
    <w:rsid w:val="008C1A64"/>
    <w:rsid w:val="008C1ED1"/>
    <w:rsid w:val="008C3933"/>
    <w:rsid w:val="008C3B6D"/>
    <w:rsid w:val="008C4229"/>
    <w:rsid w:val="008C4A2C"/>
    <w:rsid w:val="008C6C84"/>
    <w:rsid w:val="008D3DEF"/>
    <w:rsid w:val="008D40AB"/>
    <w:rsid w:val="008D4957"/>
    <w:rsid w:val="008D51A8"/>
    <w:rsid w:val="008D550F"/>
    <w:rsid w:val="008D5773"/>
    <w:rsid w:val="008D57F2"/>
    <w:rsid w:val="008D5ADF"/>
    <w:rsid w:val="008D6F4F"/>
    <w:rsid w:val="008D7293"/>
    <w:rsid w:val="008D79CA"/>
    <w:rsid w:val="008D7AD0"/>
    <w:rsid w:val="008E0520"/>
    <w:rsid w:val="008E05A6"/>
    <w:rsid w:val="008E0B91"/>
    <w:rsid w:val="008E19AD"/>
    <w:rsid w:val="008E24DD"/>
    <w:rsid w:val="008E2B31"/>
    <w:rsid w:val="008E2E27"/>
    <w:rsid w:val="008E366F"/>
    <w:rsid w:val="008E46CB"/>
    <w:rsid w:val="008E46DC"/>
    <w:rsid w:val="008E49F2"/>
    <w:rsid w:val="008E4ABD"/>
    <w:rsid w:val="008E5752"/>
    <w:rsid w:val="008E68B8"/>
    <w:rsid w:val="008E6EC1"/>
    <w:rsid w:val="008F0346"/>
    <w:rsid w:val="008F0807"/>
    <w:rsid w:val="008F0D0E"/>
    <w:rsid w:val="008F1EFD"/>
    <w:rsid w:val="008F2410"/>
    <w:rsid w:val="008F2D90"/>
    <w:rsid w:val="008F2FD3"/>
    <w:rsid w:val="008F39E1"/>
    <w:rsid w:val="008F7F65"/>
    <w:rsid w:val="00900A48"/>
    <w:rsid w:val="00900E9F"/>
    <w:rsid w:val="00901BAA"/>
    <w:rsid w:val="00903B0D"/>
    <w:rsid w:val="00904050"/>
    <w:rsid w:val="00905403"/>
    <w:rsid w:val="00906D5E"/>
    <w:rsid w:val="0091097A"/>
    <w:rsid w:val="00910EA3"/>
    <w:rsid w:val="00911371"/>
    <w:rsid w:val="0091145D"/>
    <w:rsid w:val="00911597"/>
    <w:rsid w:val="009133C1"/>
    <w:rsid w:val="00913C68"/>
    <w:rsid w:val="00915198"/>
    <w:rsid w:val="009153DE"/>
    <w:rsid w:val="00916081"/>
    <w:rsid w:val="00916EF4"/>
    <w:rsid w:val="00917F9D"/>
    <w:rsid w:val="00920455"/>
    <w:rsid w:val="009224FB"/>
    <w:rsid w:val="00922A1B"/>
    <w:rsid w:val="00923CD0"/>
    <w:rsid w:val="009275B2"/>
    <w:rsid w:val="00927E11"/>
    <w:rsid w:val="00930684"/>
    <w:rsid w:val="0093233B"/>
    <w:rsid w:val="0093315C"/>
    <w:rsid w:val="009334A4"/>
    <w:rsid w:val="009338AD"/>
    <w:rsid w:val="0093488C"/>
    <w:rsid w:val="00935EFD"/>
    <w:rsid w:val="009360F2"/>
    <w:rsid w:val="00937164"/>
    <w:rsid w:val="00941FDF"/>
    <w:rsid w:val="009424E0"/>
    <w:rsid w:val="0094273E"/>
    <w:rsid w:val="00942BDB"/>
    <w:rsid w:val="00942C27"/>
    <w:rsid w:val="0094413D"/>
    <w:rsid w:val="00944144"/>
    <w:rsid w:val="0094445F"/>
    <w:rsid w:val="0094636C"/>
    <w:rsid w:val="00946A7F"/>
    <w:rsid w:val="009507AF"/>
    <w:rsid w:val="009518EE"/>
    <w:rsid w:val="009521C4"/>
    <w:rsid w:val="0095246F"/>
    <w:rsid w:val="00954380"/>
    <w:rsid w:val="00956705"/>
    <w:rsid w:val="009571A9"/>
    <w:rsid w:val="0095786E"/>
    <w:rsid w:val="00957CAA"/>
    <w:rsid w:val="009600C1"/>
    <w:rsid w:val="009601E6"/>
    <w:rsid w:val="00960DB8"/>
    <w:rsid w:val="009619A6"/>
    <w:rsid w:val="009653D4"/>
    <w:rsid w:val="00965490"/>
    <w:rsid w:val="00966F9B"/>
    <w:rsid w:val="00971784"/>
    <w:rsid w:val="00971F50"/>
    <w:rsid w:val="00972283"/>
    <w:rsid w:val="009724D2"/>
    <w:rsid w:val="009727D8"/>
    <w:rsid w:val="009727E1"/>
    <w:rsid w:val="00972D4D"/>
    <w:rsid w:val="009745F8"/>
    <w:rsid w:val="00974EAE"/>
    <w:rsid w:val="00975246"/>
    <w:rsid w:val="0097630A"/>
    <w:rsid w:val="009764D0"/>
    <w:rsid w:val="00976A3B"/>
    <w:rsid w:val="00976B00"/>
    <w:rsid w:val="00976C25"/>
    <w:rsid w:val="00980AFB"/>
    <w:rsid w:val="0098103A"/>
    <w:rsid w:val="009811A7"/>
    <w:rsid w:val="009818A9"/>
    <w:rsid w:val="00981CB8"/>
    <w:rsid w:val="00981CCF"/>
    <w:rsid w:val="009822B4"/>
    <w:rsid w:val="009832A2"/>
    <w:rsid w:val="009836CA"/>
    <w:rsid w:val="00984AD8"/>
    <w:rsid w:val="0098591B"/>
    <w:rsid w:val="00985CFF"/>
    <w:rsid w:val="00985D1E"/>
    <w:rsid w:val="009909C2"/>
    <w:rsid w:val="0099212C"/>
    <w:rsid w:val="0099214E"/>
    <w:rsid w:val="009926C9"/>
    <w:rsid w:val="0099414D"/>
    <w:rsid w:val="00995F55"/>
    <w:rsid w:val="00996340"/>
    <w:rsid w:val="009963A5"/>
    <w:rsid w:val="0099672D"/>
    <w:rsid w:val="00996A22"/>
    <w:rsid w:val="0099759B"/>
    <w:rsid w:val="009976F8"/>
    <w:rsid w:val="009A04B2"/>
    <w:rsid w:val="009A0626"/>
    <w:rsid w:val="009A0882"/>
    <w:rsid w:val="009A2F16"/>
    <w:rsid w:val="009A396D"/>
    <w:rsid w:val="009A3AEA"/>
    <w:rsid w:val="009A670F"/>
    <w:rsid w:val="009A76A5"/>
    <w:rsid w:val="009A7E96"/>
    <w:rsid w:val="009B0115"/>
    <w:rsid w:val="009B0EAA"/>
    <w:rsid w:val="009B3061"/>
    <w:rsid w:val="009B3D9D"/>
    <w:rsid w:val="009B48B5"/>
    <w:rsid w:val="009B4E0A"/>
    <w:rsid w:val="009B5F1A"/>
    <w:rsid w:val="009B6216"/>
    <w:rsid w:val="009C0ECE"/>
    <w:rsid w:val="009C3CB2"/>
    <w:rsid w:val="009C4C37"/>
    <w:rsid w:val="009C52BB"/>
    <w:rsid w:val="009C55A6"/>
    <w:rsid w:val="009C5AA3"/>
    <w:rsid w:val="009C6043"/>
    <w:rsid w:val="009C72B4"/>
    <w:rsid w:val="009D006E"/>
    <w:rsid w:val="009D01D9"/>
    <w:rsid w:val="009D0A38"/>
    <w:rsid w:val="009D0E5B"/>
    <w:rsid w:val="009D0EA2"/>
    <w:rsid w:val="009D1BC0"/>
    <w:rsid w:val="009D282A"/>
    <w:rsid w:val="009D2F77"/>
    <w:rsid w:val="009D4A3B"/>
    <w:rsid w:val="009D4BD8"/>
    <w:rsid w:val="009D55E9"/>
    <w:rsid w:val="009D5B36"/>
    <w:rsid w:val="009D67EA"/>
    <w:rsid w:val="009D7117"/>
    <w:rsid w:val="009E08B9"/>
    <w:rsid w:val="009E1119"/>
    <w:rsid w:val="009E206E"/>
    <w:rsid w:val="009E2ECE"/>
    <w:rsid w:val="009E5C2F"/>
    <w:rsid w:val="009F03A7"/>
    <w:rsid w:val="009F0516"/>
    <w:rsid w:val="009F0985"/>
    <w:rsid w:val="009F0A4B"/>
    <w:rsid w:val="009F121E"/>
    <w:rsid w:val="009F2469"/>
    <w:rsid w:val="009F2FE3"/>
    <w:rsid w:val="009F3171"/>
    <w:rsid w:val="009F3251"/>
    <w:rsid w:val="009F3651"/>
    <w:rsid w:val="009F4F45"/>
    <w:rsid w:val="009F51D7"/>
    <w:rsid w:val="009F54AE"/>
    <w:rsid w:val="009F5510"/>
    <w:rsid w:val="009F5827"/>
    <w:rsid w:val="009F70C0"/>
    <w:rsid w:val="009F761D"/>
    <w:rsid w:val="009F7EA7"/>
    <w:rsid w:val="00A00087"/>
    <w:rsid w:val="00A00417"/>
    <w:rsid w:val="00A00769"/>
    <w:rsid w:val="00A00941"/>
    <w:rsid w:val="00A046C9"/>
    <w:rsid w:val="00A04C42"/>
    <w:rsid w:val="00A0559C"/>
    <w:rsid w:val="00A05AD7"/>
    <w:rsid w:val="00A1227A"/>
    <w:rsid w:val="00A14D87"/>
    <w:rsid w:val="00A14DFC"/>
    <w:rsid w:val="00A15644"/>
    <w:rsid w:val="00A16241"/>
    <w:rsid w:val="00A212D8"/>
    <w:rsid w:val="00A2174D"/>
    <w:rsid w:val="00A22DE2"/>
    <w:rsid w:val="00A2321F"/>
    <w:rsid w:val="00A23902"/>
    <w:rsid w:val="00A23DBC"/>
    <w:rsid w:val="00A24481"/>
    <w:rsid w:val="00A24B7D"/>
    <w:rsid w:val="00A260B7"/>
    <w:rsid w:val="00A27278"/>
    <w:rsid w:val="00A30054"/>
    <w:rsid w:val="00A30085"/>
    <w:rsid w:val="00A306C0"/>
    <w:rsid w:val="00A30928"/>
    <w:rsid w:val="00A31540"/>
    <w:rsid w:val="00A32083"/>
    <w:rsid w:val="00A32DD7"/>
    <w:rsid w:val="00A33EFA"/>
    <w:rsid w:val="00A3456D"/>
    <w:rsid w:val="00A40478"/>
    <w:rsid w:val="00A43D07"/>
    <w:rsid w:val="00A441AE"/>
    <w:rsid w:val="00A45E8E"/>
    <w:rsid w:val="00A45FE8"/>
    <w:rsid w:val="00A50023"/>
    <w:rsid w:val="00A50249"/>
    <w:rsid w:val="00A507EC"/>
    <w:rsid w:val="00A509BA"/>
    <w:rsid w:val="00A517BA"/>
    <w:rsid w:val="00A52B2D"/>
    <w:rsid w:val="00A52D1F"/>
    <w:rsid w:val="00A534A7"/>
    <w:rsid w:val="00A53DD4"/>
    <w:rsid w:val="00A54F6C"/>
    <w:rsid w:val="00A55915"/>
    <w:rsid w:val="00A5595C"/>
    <w:rsid w:val="00A56166"/>
    <w:rsid w:val="00A57D18"/>
    <w:rsid w:val="00A61270"/>
    <w:rsid w:val="00A6271A"/>
    <w:rsid w:val="00A628F2"/>
    <w:rsid w:val="00A63549"/>
    <w:rsid w:val="00A6382F"/>
    <w:rsid w:val="00A63977"/>
    <w:rsid w:val="00A63E55"/>
    <w:rsid w:val="00A65977"/>
    <w:rsid w:val="00A65B3C"/>
    <w:rsid w:val="00A65B83"/>
    <w:rsid w:val="00A6628B"/>
    <w:rsid w:val="00A66A3D"/>
    <w:rsid w:val="00A706E2"/>
    <w:rsid w:val="00A728C4"/>
    <w:rsid w:val="00A732EE"/>
    <w:rsid w:val="00A73D7A"/>
    <w:rsid w:val="00A7441D"/>
    <w:rsid w:val="00A74B88"/>
    <w:rsid w:val="00A74C06"/>
    <w:rsid w:val="00A74CD4"/>
    <w:rsid w:val="00A755AC"/>
    <w:rsid w:val="00A7657B"/>
    <w:rsid w:val="00A769B6"/>
    <w:rsid w:val="00A773C1"/>
    <w:rsid w:val="00A819D5"/>
    <w:rsid w:val="00A82BA3"/>
    <w:rsid w:val="00A82BD9"/>
    <w:rsid w:val="00A8303A"/>
    <w:rsid w:val="00A85B58"/>
    <w:rsid w:val="00A86C3B"/>
    <w:rsid w:val="00A90BD0"/>
    <w:rsid w:val="00A91531"/>
    <w:rsid w:val="00A91A1E"/>
    <w:rsid w:val="00A92739"/>
    <w:rsid w:val="00A92F89"/>
    <w:rsid w:val="00A93491"/>
    <w:rsid w:val="00A96E3E"/>
    <w:rsid w:val="00A97D55"/>
    <w:rsid w:val="00AA10CD"/>
    <w:rsid w:val="00AA1E6E"/>
    <w:rsid w:val="00AA223D"/>
    <w:rsid w:val="00AA25D2"/>
    <w:rsid w:val="00AA3839"/>
    <w:rsid w:val="00AA3FAE"/>
    <w:rsid w:val="00AA4EBB"/>
    <w:rsid w:val="00AA5F08"/>
    <w:rsid w:val="00AA632B"/>
    <w:rsid w:val="00AA7DA4"/>
    <w:rsid w:val="00AB01BD"/>
    <w:rsid w:val="00AB0D16"/>
    <w:rsid w:val="00AB1604"/>
    <w:rsid w:val="00AB20CA"/>
    <w:rsid w:val="00AB4A5C"/>
    <w:rsid w:val="00AB4F66"/>
    <w:rsid w:val="00AB57FE"/>
    <w:rsid w:val="00AB754C"/>
    <w:rsid w:val="00AC018F"/>
    <w:rsid w:val="00AC08C3"/>
    <w:rsid w:val="00AC096D"/>
    <w:rsid w:val="00AC12BF"/>
    <w:rsid w:val="00AC1354"/>
    <w:rsid w:val="00AC1543"/>
    <w:rsid w:val="00AC164C"/>
    <w:rsid w:val="00AC2530"/>
    <w:rsid w:val="00AC2E16"/>
    <w:rsid w:val="00AC2EB9"/>
    <w:rsid w:val="00AC4F3F"/>
    <w:rsid w:val="00AC5693"/>
    <w:rsid w:val="00AC5BBC"/>
    <w:rsid w:val="00AD045C"/>
    <w:rsid w:val="00AD36D6"/>
    <w:rsid w:val="00AD3A4F"/>
    <w:rsid w:val="00AD407F"/>
    <w:rsid w:val="00AD64EC"/>
    <w:rsid w:val="00AD6A74"/>
    <w:rsid w:val="00AD71F4"/>
    <w:rsid w:val="00AD7B76"/>
    <w:rsid w:val="00AE039B"/>
    <w:rsid w:val="00AE0406"/>
    <w:rsid w:val="00AE1FA5"/>
    <w:rsid w:val="00AE3F7C"/>
    <w:rsid w:val="00AE40C1"/>
    <w:rsid w:val="00AE4961"/>
    <w:rsid w:val="00AE57AB"/>
    <w:rsid w:val="00AE5F2B"/>
    <w:rsid w:val="00AE622A"/>
    <w:rsid w:val="00AE6386"/>
    <w:rsid w:val="00AE753F"/>
    <w:rsid w:val="00AE7F97"/>
    <w:rsid w:val="00AF1196"/>
    <w:rsid w:val="00AF2985"/>
    <w:rsid w:val="00AF2A17"/>
    <w:rsid w:val="00AF2F89"/>
    <w:rsid w:val="00AF3121"/>
    <w:rsid w:val="00AF35AC"/>
    <w:rsid w:val="00AF47FB"/>
    <w:rsid w:val="00AF4CEE"/>
    <w:rsid w:val="00AF515C"/>
    <w:rsid w:val="00AF5535"/>
    <w:rsid w:val="00AF57A6"/>
    <w:rsid w:val="00AF5BBB"/>
    <w:rsid w:val="00AF7931"/>
    <w:rsid w:val="00B00716"/>
    <w:rsid w:val="00B007C0"/>
    <w:rsid w:val="00B00B80"/>
    <w:rsid w:val="00B02883"/>
    <w:rsid w:val="00B03300"/>
    <w:rsid w:val="00B033BB"/>
    <w:rsid w:val="00B03534"/>
    <w:rsid w:val="00B04295"/>
    <w:rsid w:val="00B056D3"/>
    <w:rsid w:val="00B05888"/>
    <w:rsid w:val="00B05CF9"/>
    <w:rsid w:val="00B07AF9"/>
    <w:rsid w:val="00B1028E"/>
    <w:rsid w:val="00B1154A"/>
    <w:rsid w:val="00B12829"/>
    <w:rsid w:val="00B12A5C"/>
    <w:rsid w:val="00B132DE"/>
    <w:rsid w:val="00B1361A"/>
    <w:rsid w:val="00B1400C"/>
    <w:rsid w:val="00B14916"/>
    <w:rsid w:val="00B14993"/>
    <w:rsid w:val="00B14F38"/>
    <w:rsid w:val="00B16BBE"/>
    <w:rsid w:val="00B16D45"/>
    <w:rsid w:val="00B1725D"/>
    <w:rsid w:val="00B20C2D"/>
    <w:rsid w:val="00B214F0"/>
    <w:rsid w:val="00B21500"/>
    <w:rsid w:val="00B2178D"/>
    <w:rsid w:val="00B22773"/>
    <w:rsid w:val="00B22926"/>
    <w:rsid w:val="00B22969"/>
    <w:rsid w:val="00B23E99"/>
    <w:rsid w:val="00B25233"/>
    <w:rsid w:val="00B25827"/>
    <w:rsid w:val="00B260A5"/>
    <w:rsid w:val="00B264C3"/>
    <w:rsid w:val="00B27CC5"/>
    <w:rsid w:val="00B27FC6"/>
    <w:rsid w:val="00B300AE"/>
    <w:rsid w:val="00B30227"/>
    <w:rsid w:val="00B302E0"/>
    <w:rsid w:val="00B32461"/>
    <w:rsid w:val="00B32685"/>
    <w:rsid w:val="00B32836"/>
    <w:rsid w:val="00B3322D"/>
    <w:rsid w:val="00B34FF4"/>
    <w:rsid w:val="00B352BD"/>
    <w:rsid w:val="00B3539D"/>
    <w:rsid w:val="00B37064"/>
    <w:rsid w:val="00B37901"/>
    <w:rsid w:val="00B411DB"/>
    <w:rsid w:val="00B41AB1"/>
    <w:rsid w:val="00B42949"/>
    <w:rsid w:val="00B42A6D"/>
    <w:rsid w:val="00B444ED"/>
    <w:rsid w:val="00B44AEA"/>
    <w:rsid w:val="00B44D75"/>
    <w:rsid w:val="00B45ACE"/>
    <w:rsid w:val="00B462C4"/>
    <w:rsid w:val="00B47A2D"/>
    <w:rsid w:val="00B501F6"/>
    <w:rsid w:val="00B50212"/>
    <w:rsid w:val="00B50934"/>
    <w:rsid w:val="00B5118D"/>
    <w:rsid w:val="00B55BE3"/>
    <w:rsid w:val="00B5660C"/>
    <w:rsid w:val="00B567C7"/>
    <w:rsid w:val="00B6018D"/>
    <w:rsid w:val="00B61D87"/>
    <w:rsid w:val="00B6250A"/>
    <w:rsid w:val="00B63553"/>
    <w:rsid w:val="00B6381B"/>
    <w:rsid w:val="00B649BE"/>
    <w:rsid w:val="00B64A95"/>
    <w:rsid w:val="00B66240"/>
    <w:rsid w:val="00B66C54"/>
    <w:rsid w:val="00B66EB4"/>
    <w:rsid w:val="00B70A08"/>
    <w:rsid w:val="00B71440"/>
    <w:rsid w:val="00B72210"/>
    <w:rsid w:val="00B72D3B"/>
    <w:rsid w:val="00B74524"/>
    <w:rsid w:val="00B75AE1"/>
    <w:rsid w:val="00B76FED"/>
    <w:rsid w:val="00B77EFA"/>
    <w:rsid w:val="00B80D7F"/>
    <w:rsid w:val="00B82076"/>
    <w:rsid w:val="00B83F9B"/>
    <w:rsid w:val="00B84130"/>
    <w:rsid w:val="00B845B0"/>
    <w:rsid w:val="00B85959"/>
    <w:rsid w:val="00B87757"/>
    <w:rsid w:val="00B912E0"/>
    <w:rsid w:val="00B9246D"/>
    <w:rsid w:val="00B92F95"/>
    <w:rsid w:val="00B932EA"/>
    <w:rsid w:val="00B9665F"/>
    <w:rsid w:val="00B96E2E"/>
    <w:rsid w:val="00BA0B78"/>
    <w:rsid w:val="00BA2764"/>
    <w:rsid w:val="00BA3C41"/>
    <w:rsid w:val="00BA3EF4"/>
    <w:rsid w:val="00BA45D1"/>
    <w:rsid w:val="00BA4D82"/>
    <w:rsid w:val="00BB08C5"/>
    <w:rsid w:val="00BB0923"/>
    <w:rsid w:val="00BB199D"/>
    <w:rsid w:val="00BB1F32"/>
    <w:rsid w:val="00BB27F1"/>
    <w:rsid w:val="00BB2969"/>
    <w:rsid w:val="00BB2F30"/>
    <w:rsid w:val="00BB495E"/>
    <w:rsid w:val="00BB4B4B"/>
    <w:rsid w:val="00BB5938"/>
    <w:rsid w:val="00BB5A1D"/>
    <w:rsid w:val="00BC01EB"/>
    <w:rsid w:val="00BC02C1"/>
    <w:rsid w:val="00BC1A97"/>
    <w:rsid w:val="00BC2D4B"/>
    <w:rsid w:val="00BC38DB"/>
    <w:rsid w:val="00BC4474"/>
    <w:rsid w:val="00BC449C"/>
    <w:rsid w:val="00BC673C"/>
    <w:rsid w:val="00BD0002"/>
    <w:rsid w:val="00BD032C"/>
    <w:rsid w:val="00BD04F2"/>
    <w:rsid w:val="00BD11E7"/>
    <w:rsid w:val="00BD1B0F"/>
    <w:rsid w:val="00BD1CFC"/>
    <w:rsid w:val="00BD2260"/>
    <w:rsid w:val="00BD319D"/>
    <w:rsid w:val="00BD34EB"/>
    <w:rsid w:val="00BD3A21"/>
    <w:rsid w:val="00BD5A91"/>
    <w:rsid w:val="00BE018C"/>
    <w:rsid w:val="00BE02E9"/>
    <w:rsid w:val="00BE1B9F"/>
    <w:rsid w:val="00BE2016"/>
    <w:rsid w:val="00BE2C2B"/>
    <w:rsid w:val="00BE6735"/>
    <w:rsid w:val="00BE69E6"/>
    <w:rsid w:val="00BE6CCC"/>
    <w:rsid w:val="00BF15D3"/>
    <w:rsid w:val="00BF499D"/>
    <w:rsid w:val="00BF513B"/>
    <w:rsid w:val="00BF53D2"/>
    <w:rsid w:val="00BF5685"/>
    <w:rsid w:val="00BF574B"/>
    <w:rsid w:val="00BF7248"/>
    <w:rsid w:val="00BF7D37"/>
    <w:rsid w:val="00C014FE"/>
    <w:rsid w:val="00C01F94"/>
    <w:rsid w:val="00C02961"/>
    <w:rsid w:val="00C02CA5"/>
    <w:rsid w:val="00C02E68"/>
    <w:rsid w:val="00C02EA1"/>
    <w:rsid w:val="00C040A3"/>
    <w:rsid w:val="00C04EFD"/>
    <w:rsid w:val="00C0554A"/>
    <w:rsid w:val="00C059EA"/>
    <w:rsid w:val="00C06380"/>
    <w:rsid w:val="00C0718A"/>
    <w:rsid w:val="00C1057F"/>
    <w:rsid w:val="00C11174"/>
    <w:rsid w:val="00C123BF"/>
    <w:rsid w:val="00C123D6"/>
    <w:rsid w:val="00C127F4"/>
    <w:rsid w:val="00C12D4A"/>
    <w:rsid w:val="00C13C9D"/>
    <w:rsid w:val="00C14137"/>
    <w:rsid w:val="00C1503E"/>
    <w:rsid w:val="00C15138"/>
    <w:rsid w:val="00C162F7"/>
    <w:rsid w:val="00C16B35"/>
    <w:rsid w:val="00C16C55"/>
    <w:rsid w:val="00C1779C"/>
    <w:rsid w:val="00C17EB3"/>
    <w:rsid w:val="00C20E09"/>
    <w:rsid w:val="00C20ECE"/>
    <w:rsid w:val="00C21369"/>
    <w:rsid w:val="00C21752"/>
    <w:rsid w:val="00C22007"/>
    <w:rsid w:val="00C25C5A"/>
    <w:rsid w:val="00C26232"/>
    <w:rsid w:val="00C267BE"/>
    <w:rsid w:val="00C26EBA"/>
    <w:rsid w:val="00C27F49"/>
    <w:rsid w:val="00C30453"/>
    <w:rsid w:val="00C3070B"/>
    <w:rsid w:val="00C42906"/>
    <w:rsid w:val="00C4430D"/>
    <w:rsid w:val="00C4550F"/>
    <w:rsid w:val="00C45B49"/>
    <w:rsid w:val="00C45DA4"/>
    <w:rsid w:val="00C500D2"/>
    <w:rsid w:val="00C506F9"/>
    <w:rsid w:val="00C51A3D"/>
    <w:rsid w:val="00C53773"/>
    <w:rsid w:val="00C5390C"/>
    <w:rsid w:val="00C553AD"/>
    <w:rsid w:val="00C55E1A"/>
    <w:rsid w:val="00C612A3"/>
    <w:rsid w:val="00C623CA"/>
    <w:rsid w:val="00C64737"/>
    <w:rsid w:val="00C64799"/>
    <w:rsid w:val="00C64A92"/>
    <w:rsid w:val="00C65D1E"/>
    <w:rsid w:val="00C661C9"/>
    <w:rsid w:val="00C66348"/>
    <w:rsid w:val="00C6653E"/>
    <w:rsid w:val="00C6667C"/>
    <w:rsid w:val="00C7037D"/>
    <w:rsid w:val="00C7366E"/>
    <w:rsid w:val="00C73A0B"/>
    <w:rsid w:val="00C75825"/>
    <w:rsid w:val="00C77130"/>
    <w:rsid w:val="00C7719A"/>
    <w:rsid w:val="00C81352"/>
    <w:rsid w:val="00C82DFF"/>
    <w:rsid w:val="00C82E41"/>
    <w:rsid w:val="00C84620"/>
    <w:rsid w:val="00C84978"/>
    <w:rsid w:val="00C84D4D"/>
    <w:rsid w:val="00C85F9D"/>
    <w:rsid w:val="00C87C4F"/>
    <w:rsid w:val="00C87C86"/>
    <w:rsid w:val="00C909AE"/>
    <w:rsid w:val="00C90D7B"/>
    <w:rsid w:val="00C914B6"/>
    <w:rsid w:val="00C924E6"/>
    <w:rsid w:val="00C92EDB"/>
    <w:rsid w:val="00C9374F"/>
    <w:rsid w:val="00C93A45"/>
    <w:rsid w:val="00C93ACF"/>
    <w:rsid w:val="00C93D26"/>
    <w:rsid w:val="00C954D5"/>
    <w:rsid w:val="00C979B1"/>
    <w:rsid w:val="00CA129D"/>
    <w:rsid w:val="00CA1807"/>
    <w:rsid w:val="00CA1F4D"/>
    <w:rsid w:val="00CA2464"/>
    <w:rsid w:val="00CA34DE"/>
    <w:rsid w:val="00CA427B"/>
    <w:rsid w:val="00CA437B"/>
    <w:rsid w:val="00CA459C"/>
    <w:rsid w:val="00CA5D4A"/>
    <w:rsid w:val="00CA7480"/>
    <w:rsid w:val="00CB029A"/>
    <w:rsid w:val="00CB1515"/>
    <w:rsid w:val="00CB2409"/>
    <w:rsid w:val="00CB2E23"/>
    <w:rsid w:val="00CB3145"/>
    <w:rsid w:val="00CB4BD5"/>
    <w:rsid w:val="00CB4BF5"/>
    <w:rsid w:val="00CB4D67"/>
    <w:rsid w:val="00CB509F"/>
    <w:rsid w:val="00CB6174"/>
    <w:rsid w:val="00CB6787"/>
    <w:rsid w:val="00CB68F5"/>
    <w:rsid w:val="00CB79A8"/>
    <w:rsid w:val="00CB7EF9"/>
    <w:rsid w:val="00CC026E"/>
    <w:rsid w:val="00CC0753"/>
    <w:rsid w:val="00CC1141"/>
    <w:rsid w:val="00CC1997"/>
    <w:rsid w:val="00CC2219"/>
    <w:rsid w:val="00CC2EC4"/>
    <w:rsid w:val="00CC5A50"/>
    <w:rsid w:val="00CC5E5A"/>
    <w:rsid w:val="00CD05DC"/>
    <w:rsid w:val="00CD1A98"/>
    <w:rsid w:val="00CD1B3E"/>
    <w:rsid w:val="00CD4C76"/>
    <w:rsid w:val="00CD53D3"/>
    <w:rsid w:val="00CD5CC7"/>
    <w:rsid w:val="00CD773F"/>
    <w:rsid w:val="00CE220D"/>
    <w:rsid w:val="00CE2BDE"/>
    <w:rsid w:val="00CE2DC6"/>
    <w:rsid w:val="00CE3ACC"/>
    <w:rsid w:val="00CE491E"/>
    <w:rsid w:val="00CE5685"/>
    <w:rsid w:val="00CE6286"/>
    <w:rsid w:val="00CE635E"/>
    <w:rsid w:val="00CE75B9"/>
    <w:rsid w:val="00CE7E5F"/>
    <w:rsid w:val="00CF0FB2"/>
    <w:rsid w:val="00CF18DA"/>
    <w:rsid w:val="00CF238C"/>
    <w:rsid w:val="00CF2987"/>
    <w:rsid w:val="00CF2E32"/>
    <w:rsid w:val="00CF3368"/>
    <w:rsid w:val="00CF359A"/>
    <w:rsid w:val="00CF3990"/>
    <w:rsid w:val="00CF4463"/>
    <w:rsid w:val="00CF692E"/>
    <w:rsid w:val="00CF6A97"/>
    <w:rsid w:val="00CF7444"/>
    <w:rsid w:val="00CF7A22"/>
    <w:rsid w:val="00D004EF"/>
    <w:rsid w:val="00D00BA4"/>
    <w:rsid w:val="00D01D31"/>
    <w:rsid w:val="00D02A84"/>
    <w:rsid w:val="00D03062"/>
    <w:rsid w:val="00D040CC"/>
    <w:rsid w:val="00D05070"/>
    <w:rsid w:val="00D05327"/>
    <w:rsid w:val="00D066BC"/>
    <w:rsid w:val="00D06A45"/>
    <w:rsid w:val="00D10068"/>
    <w:rsid w:val="00D100F4"/>
    <w:rsid w:val="00D125ED"/>
    <w:rsid w:val="00D127C2"/>
    <w:rsid w:val="00D12E37"/>
    <w:rsid w:val="00D14106"/>
    <w:rsid w:val="00D141EA"/>
    <w:rsid w:val="00D144B6"/>
    <w:rsid w:val="00D148E7"/>
    <w:rsid w:val="00D152C6"/>
    <w:rsid w:val="00D160D5"/>
    <w:rsid w:val="00D21E9B"/>
    <w:rsid w:val="00D22551"/>
    <w:rsid w:val="00D22906"/>
    <w:rsid w:val="00D22DA2"/>
    <w:rsid w:val="00D2340F"/>
    <w:rsid w:val="00D2359A"/>
    <w:rsid w:val="00D23D03"/>
    <w:rsid w:val="00D24B7A"/>
    <w:rsid w:val="00D253C8"/>
    <w:rsid w:val="00D277F7"/>
    <w:rsid w:val="00D27F1A"/>
    <w:rsid w:val="00D30E7C"/>
    <w:rsid w:val="00D31968"/>
    <w:rsid w:val="00D32FC2"/>
    <w:rsid w:val="00D34068"/>
    <w:rsid w:val="00D346B4"/>
    <w:rsid w:val="00D366F3"/>
    <w:rsid w:val="00D407B4"/>
    <w:rsid w:val="00D41CA7"/>
    <w:rsid w:val="00D42554"/>
    <w:rsid w:val="00D43831"/>
    <w:rsid w:val="00D4405C"/>
    <w:rsid w:val="00D4497B"/>
    <w:rsid w:val="00D45664"/>
    <w:rsid w:val="00D459A1"/>
    <w:rsid w:val="00D45CC0"/>
    <w:rsid w:val="00D4713F"/>
    <w:rsid w:val="00D4763B"/>
    <w:rsid w:val="00D50BB3"/>
    <w:rsid w:val="00D51AFA"/>
    <w:rsid w:val="00D545DD"/>
    <w:rsid w:val="00D54DA8"/>
    <w:rsid w:val="00D54FEF"/>
    <w:rsid w:val="00D5777F"/>
    <w:rsid w:val="00D60983"/>
    <w:rsid w:val="00D60E98"/>
    <w:rsid w:val="00D61F47"/>
    <w:rsid w:val="00D62A2D"/>
    <w:rsid w:val="00D62A31"/>
    <w:rsid w:val="00D62ED8"/>
    <w:rsid w:val="00D637DD"/>
    <w:rsid w:val="00D654F5"/>
    <w:rsid w:val="00D70330"/>
    <w:rsid w:val="00D71C1D"/>
    <w:rsid w:val="00D72BFD"/>
    <w:rsid w:val="00D72E7A"/>
    <w:rsid w:val="00D74327"/>
    <w:rsid w:val="00D759A2"/>
    <w:rsid w:val="00D76CB9"/>
    <w:rsid w:val="00D76DA5"/>
    <w:rsid w:val="00D76F2F"/>
    <w:rsid w:val="00D8002E"/>
    <w:rsid w:val="00D80A78"/>
    <w:rsid w:val="00D81D84"/>
    <w:rsid w:val="00D821C0"/>
    <w:rsid w:val="00D82231"/>
    <w:rsid w:val="00D83E26"/>
    <w:rsid w:val="00D84B4E"/>
    <w:rsid w:val="00D85730"/>
    <w:rsid w:val="00D85B31"/>
    <w:rsid w:val="00D8689E"/>
    <w:rsid w:val="00D90733"/>
    <w:rsid w:val="00D9179A"/>
    <w:rsid w:val="00D97C35"/>
    <w:rsid w:val="00D97EFE"/>
    <w:rsid w:val="00DA015D"/>
    <w:rsid w:val="00DA07DA"/>
    <w:rsid w:val="00DA1A5C"/>
    <w:rsid w:val="00DA2696"/>
    <w:rsid w:val="00DA32E5"/>
    <w:rsid w:val="00DA37F7"/>
    <w:rsid w:val="00DA521B"/>
    <w:rsid w:val="00DA5F66"/>
    <w:rsid w:val="00DA6180"/>
    <w:rsid w:val="00DA6EC9"/>
    <w:rsid w:val="00DA7252"/>
    <w:rsid w:val="00DA7AE1"/>
    <w:rsid w:val="00DA7E20"/>
    <w:rsid w:val="00DB2F0B"/>
    <w:rsid w:val="00DB31C6"/>
    <w:rsid w:val="00DB45A0"/>
    <w:rsid w:val="00DB49BF"/>
    <w:rsid w:val="00DB6974"/>
    <w:rsid w:val="00DB743A"/>
    <w:rsid w:val="00DC2366"/>
    <w:rsid w:val="00DC4C03"/>
    <w:rsid w:val="00DC5227"/>
    <w:rsid w:val="00DC6717"/>
    <w:rsid w:val="00DD00E4"/>
    <w:rsid w:val="00DD1356"/>
    <w:rsid w:val="00DD1EA6"/>
    <w:rsid w:val="00DD321E"/>
    <w:rsid w:val="00DD3BB0"/>
    <w:rsid w:val="00DE1236"/>
    <w:rsid w:val="00DE1481"/>
    <w:rsid w:val="00DE1628"/>
    <w:rsid w:val="00DE1BEA"/>
    <w:rsid w:val="00DE1D97"/>
    <w:rsid w:val="00DE1DB4"/>
    <w:rsid w:val="00DE2E04"/>
    <w:rsid w:val="00DE2F74"/>
    <w:rsid w:val="00DE3487"/>
    <w:rsid w:val="00DE3D83"/>
    <w:rsid w:val="00DE4810"/>
    <w:rsid w:val="00DE4D76"/>
    <w:rsid w:val="00DE5E0C"/>
    <w:rsid w:val="00DE7EAD"/>
    <w:rsid w:val="00DF0A13"/>
    <w:rsid w:val="00DF1002"/>
    <w:rsid w:val="00DF244C"/>
    <w:rsid w:val="00DF448C"/>
    <w:rsid w:val="00DF51D5"/>
    <w:rsid w:val="00DF58E6"/>
    <w:rsid w:val="00DF6CA4"/>
    <w:rsid w:val="00DF7ACD"/>
    <w:rsid w:val="00DF7DF1"/>
    <w:rsid w:val="00E00275"/>
    <w:rsid w:val="00E00D9B"/>
    <w:rsid w:val="00E00F56"/>
    <w:rsid w:val="00E01250"/>
    <w:rsid w:val="00E0693C"/>
    <w:rsid w:val="00E077B2"/>
    <w:rsid w:val="00E07DE8"/>
    <w:rsid w:val="00E07FA1"/>
    <w:rsid w:val="00E1077A"/>
    <w:rsid w:val="00E116BD"/>
    <w:rsid w:val="00E128C0"/>
    <w:rsid w:val="00E14544"/>
    <w:rsid w:val="00E154B3"/>
    <w:rsid w:val="00E16359"/>
    <w:rsid w:val="00E17EC5"/>
    <w:rsid w:val="00E20F86"/>
    <w:rsid w:val="00E22D4B"/>
    <w:rsid w:val="00E235A1"/>
    <w:rsid w:val="00E23B96"/>
    <w:rsid w:val="00E24F2C"/>
    <w:rsid w:val="00E254A8"/>
    <w:rsid w:val="00E26C32"/>
    <w:rsid w:val="00E2707C"/>
    <w:rsid w:val="00E323B3"/>
    <w:rsid w:val="00E32E6A"/>
    <w:rsid w:val="00E33BBC"/>
    <w:rsid w:val="00E3496F"/>
    <w:rsid w:val="00E35A4A"/>
    <w:rsid w:val="00E35D5E"/>
    <w:rsid w:val="00E36D5D"/>
    <w:rsid w:val="00E37647"/>
    <w:rsid w:val="00E4127C"/>
    <w:rsid w:val="00E4173D"/>
    <w:rsid w:val="00E42043"/>
    <w:rsid w:val="00E4230D"/>
    <w:rsid w:val="00E42E53"/>
    <w:rsid w:val="00E42F9B"/>
    <w:rsid w:val="00E43A89"/>
    <w:rsid w:val="00E43B83"/>
    <w:rsid w:val="00E43C0E"/>
    <w:rsid w:val="00E44A2A"/>
    <w:rsid w:val="00E45828"/>
    <w:rsid w:val="00E47B2F"/>
    <w:rsid w:val="00E47B5E"/>
    <w:rsid w:val="00E50C9D"/>
    <w:rsid w:val="00E50F8C"/>
    <w:rsid w:val="00E52274"/>
    <w:rsid w:val="00E541F3"/>
    <w:rsid w:val="00E54614"/>
    <w:rsid w:val="00E55879"/>
    <w:rsid w:val="00E558CD"/>
    <w:rsid w:val="00E55F14"/>
    <w:rsid w:val="00E563C4"/>
    <w:rsid w:val="00E56522"/>
    <w:rsid w:val="00E5705A"/>
    <w:rsid w:val="00E573C5"/>
    <w:rsid w:val="00E615D2"/>
    <w:rsid w:val="00E61677"/>
    <w:rsid w:val="00E62635"/>
    <w:rsid w:val="00E62B5A"/>
    <w:rsid w:val="00E631B6"/>
    <w:rsid w:val="00E63315"/>
    <w:rsid w:val="00E64515"/>
    <w:rsid w:val="00E64EAA"/>
    <w:rsid w:val="00E64FAF"/>
    <w:rsid w:val="00E65A72"/>
    <w:rsid w:val="00E674CE"/>
    <w:rsid w:val="00E675E6"/>
    <w:rsid w:val="00E67F98"/>
    <w:rsid w:val="00E70481"/>
    <w:rsid w:val="00E738B7"/>
    <w:rsid w:val="00E77A87"/>
    <w:rsid w:val="00E80C2D"/>
    <w:rsid w:val="00E811C3"/>
    <w:rsid w:val="00E8161F"/>
    <w:rsid w:val="00E824AA"/>
    <w:rsid w:val="00E846FD"/>
    <w:rsid w:val="00E86450"/>
    <w:rsid w:val="00E87C15"/>
    <w:rsid w:val="00E900F4"/>
    <w:rsid w:val="00E917BA"/>
    <w:rsid w:val="00E92603"/>
    <w:rsid w:val="00E92DE2"/>
    <w:rsid w:val="00E9489A"/>
    <w:rsid w:val="00E9554D"/>
    <w:rsid w:val="00E95962"/>
    <w:rsid w:val="00E95DE0"/>
    <w:rsid w:val="00E9730B"/>
    <w:rsid w:val="00E97390"/>
    <w:rsid w:val="00E97700"/>
    <w:rsid w:val="00EA28F8"/>
    <w:rsid w:val="00EA30FD"/>
    <w:rsid w:val="00EA36CB"/>
    <w:rsid w:val="00EA3B78"/>
    <w:rsid w:val="00EA3EE4"/>
    <w:rsid w:val="00EA3F6C"/>
    <w:rsid w:val="00EA435A"/>
    <w:rsid w:val="00EA45DA"/>
    <w:rsid w:val="00EA6F04"/>
    <w:rsid w:val="00EA6FB4"/>
    <w:rsid w:val="00EA726D"/>
    <w:rsid w:val="00EA776F"/>
    <w:rsid w:val="00EA795A"/>
    <w:rsid w:val="00EA7AFC"/>
    <w:rsid w:val="00EB077F"/>
    <w:rsid w:val="00EB13FD"/>
    <w:rsid w:val="00EB296B"/>
    <w:rsid w:val="00EB461F"/>
    <w:rsid w:val="00EB5E0E"/>
    <w:rsid w:val="00EB6F97"/>
    <w:rsid w:val="00EB7EFB"/>
    <w:rsid w:val="00EC01FD"/>
    <w:rsid w:val="00EC1362"/>
    <w:rsid w:val="00EC2049"/>
    <w:rsid w:val="00EC33E1"/>
    <w:rsid w:val="00EC4A3E"/>
    <w:rsid w:val="00EC4D3D"/>
    <w:rsid w:val="00EC5F75"/>
    <w:rsid w:val="00EC6DA1"/>
    <w:rsid w:val="00ED05BA"/>
    <w:rsid w:val="00ED07E8"/>
    <w:rsid w:val="00ED1478"/>
    <w:rsid w:val="00ED19DD"/>
    <w:rsid w:val="00ED1B15"/>
    <w:rsid w:val="00ED28A1"/>
    <w:rsid w:val="00ED4505"/>
    <w:rsid w:val="00ED77DA"/>
    <w:rsid w:val="00ED7A68"/>
    <w:rsid w:val="00EE0353"/>
    <w:rsid w:val="00EE0DB3"/>
    <w:rsid w:val="00EE1CA6"/>
    <w:rsid w:val="00EE2DE4"/>
    <w:rsid w:val="00EE3350"/>
    <w:rsid w:val="00EE5613"/>
    <w:rsid w:val="00EE73B6"/>
    <w:rsid w:val="00EF040D"/>
    <w:rsid w:val="00EF45A5"/>
    <w:rsid w:val="00EF49D7"/>
    <w:rsid w:val="00EF4B9C"/>
    <w:rsid w:val="00EF4CC8"/>
    <w:rsid w:val="00EF5204"/>
    <w:rsid w:val="00EF5917"/>
    <w:rsid w:val="00EF594C"/>
    <w:rsid w:val="00EF59F3"/>
    <w:rsid w:val="00EF6020"/>
    <w:rsid w:val="00EF6E10"/>
    <w:rsid w:val="00F01429"/>
    <w:rsid w:val="00F02B83"/>
    <w:rsid w:val="00F03032"/>
    <w:rsid w:val="00F03E11"/>
    <w:rsid w:val="00F04745"/>
    <w:rsid w:val="00F04F8F"/>
    <w:rsid w:val="00F050E6"/>
    <w:rsid w:val="00F05C6B"/>
    <w:rsid w:val="00F07933"/>
    <w:rsid w:val="00F079D2"/>
    <w:rsid w:val="00F11276"/>
    <w:rsid w:val="00F113B7"/>
    <w:rsid w:val="00F1159C"/>
    <w:rsid w:val="00F11ADB"/>
    <w:rsid w:val="00F11F93"/>
    <w:rsid w:val="00F11FA4"/>
    <w:rsid w:val="00F12D91"/>
    <w:rsid w:val="00F13595"/>
    <w:rsid w:val="00F136CD"/>
    <w:rsid w:val="00F13D2A"/>
    <w:rsid w:val="00F13D44"/>
    <w:rsid w:val="00F159AE"/>
    <w:rsid w:val="00F1665A"/>
    <w:rsid w:val="00F17CE4"/>
    <w:rsid w:val="00F2061F"/>
    <w:rsid w:val="00F2122E"/>
    <w:rsid w:val="00F21B14"/>
    <w:rsid w:val="00F22787"/>
    <w:rsid w:val="00F22988"/>
    <w:rsid w:val="00F22ED7"/>
    <w:rsid w:val="00F23678"/>
    <w:rsid w:val="00F24E6E"/>
    <w:rsid w:val="00F25179"/>
    <w:rsid w:val="00F266A4"/>
    <w:rsid w:val="00F26F14"/>
    <w:rsid w:val="00F27F06"/>
    <w:rsid w:val="00F30009"/>
    <w:rsid w:val="00F323FA"/>
    <w:rsid w:val="00F34DB3"/>
    <w:rsid w:val="00F35905"/>
    <w:rsid w:val="00F35BDD"/>
    <w:rsid w:val="00F36C8D"/>
    <w:rsid w:val="00F36DA7"/>
    <w:rsid w:val="00F37220"/>
    <w:rsid w:val="00F400F5"/>
    <w:rsid w:val="00F40DE5"/>
    <w:rsid w:val="00F416D6"/>
    <w:rsid w:val="00F454AE"/>
    <w:rsid w:val="00F454DF"/>
    <w:rsid w:val="00F4675F"/>
    <w:rsid w:val="00F46A10"/>
    <w:rsid w:val="00F50104"/>
    <w:rsid w:val="00F529BD"/>
    <w:rsid w:val="00F53EF0"/>
    <w:rsid w:val="00F5442F"/>
    <w:rsid w:val="00F55368"/>
    <w:rsid w:val="00F55CAF"/>
    <w:rsid w:val="00F55D1F"/>
    <w:rsid w:val="00F568E5"/>
    <w:rsid w:val="00F5780F"/>
    <w:rsid w:val="00F6031B"/>
    <w:rsid w:val="00F612EC"/>
    <w:rsid w:val="00F61D46"/>
    <w:rsid w:val="00F63AA8"/>
    <w:rsid w:val="00F6417A"/>
    <w:rsid w:val="00F64E5E"/>
    <w:rsid w:val="00F656E4"/>
    <w:rsid w:val="00F65F1A"/>
    <w:rsid w:val="00F663CE"/>
    <w:rsid w:val="00F66F83"/>
    <w:rsid w:val="00F6779E"/>
    <w:rsid w:val="00F71C62"/>
    <w:rsid w:val="00F72877"/>
    <w:rsid w:val="00F74123"/>
    <w:rsid w:val="00F75469"/>
    <w:rsid w:val="00F75E67"/>
    <w:rsid w:val="00F76004"/>
    <w:rsid w:val="00F76764"/>
    <w:rsid w:val="00F76844"/>
    <w:rsid w:val="00F80D34"/>
    <w:rsid w:val="00F81204"/>
    <w:rsid w:val="00F814FA"/>
    <w:rsid w:val="00F82CB3"/>
    <w:rsid w:val="00F833CE"/>
    <w:rsid w:val="00F83F52"/>
    <w:rsid w:val="00F8668A"/>
    <w:rsid w:val="00F867CE"/>
    <w:rsid w:val="00F86ED8"/>
    <w:rsid w:val="00F87D43"/>
    <w:rsid w:val="00F90A6F"/>
    <w:rsid w:val="00F93A0A"/>
    <w:rsid w:val="00F940D2"/>
    <w:rsid w:val="00F94416"/>
    <w:rsid w:val="00F95767"/>
    <w:rsid w:val="00F961B8"/>
    <w:rsid w:val="00F9763A"/>
    <w:rsid w:val="00FA09E2"/>
    <w:rsid w:val="00FA0A6F"/>
    <w:rsid w:val="00FA0BA8"/>
    <w:rsid w:val="00FA338E"/>
    <w:rsid w:val="00FA3ACE"/>
    <w:rsid w:val="00FA5A81"/>
    <w:rsid w:val="00FA5B40"/>
    <w:rsid w:val="00FA5C42"/>
    <w:rsid w:val="00FA6D05"/>
    <w:rsid w:val="00FA7FE6"/>
    <w:rsid w:val="00FB08C9"/>
    <w:rsid w:val="00FB2A5A"/>
    <w:rsid w:val="00FB2F2C"/>
    <w:rsid w:val="00FB3929"/>
    <w:rsid w:val="00FB3D4F"/>
    <w:rsid w:val="00FB427A"/>
    <w:rsid w:val="00FB5F1B"/>
    <w:rsid w:val="00FB61E7"/>
    <w:rsid w:val="00FB626E"/>
    <w:rsid w:val="00FB66EA"/>
    <w:rsid w:val="00FB76C1"/>
    <w:rsid w:val="00FC0BC2"/>
    <w:rsid w:val="00FC183F"/>
    <w:rsid w:val="00FC1C45"/>
    <w:rsid w:val="00FC2256"/>
    <w:rsid w:val="00FC24D8"/>
    <w:rsid w:val="00FC2B95"/>
    <w:rsid w:val="00FC3F5C"/>
    <w:rsid w:val="00FC4020"/>
    <w:rsid w:val="00FC5E1D"/>
    <w:rsid w:val="00FC5F16"/>
    <w:rsid w:val="00FD0DBD"/>
    <w:rsid w:val="00FD18A1"/>
    <w:rsid w:val="00FD1A74"/>
    <w:rsid w:val="00FD1D19"/>
    <w:rsid w:val="00FD2AB5"/>
    <w:rsid w:val="00FD3EC7"/>
    <w:rsid w:val="00FD3F4C"/>
    <w:rsid w:val="00FD4058"/>
    <w:rsid w:val="00FD44F4"/>
    <w:rsid w:val="00FD465C"/>
    <w:rsid w:val="00FE1629"/>
    <w:rsid w:val="00FE186F"/>
    <w:rsid w:val="00FE2911"/>
    <w:rsid w:val="00FE3762"/>
    <w:rsid w:val="00FE49DA"/>
    <w:rsid w:val="00FE5F51"/>
    <w:rsid w:val="00FF0ADF"/>
    <w:rsid w:val="00FF0D19"/>
    <w:rsid w:val="00FF20E0"/>
    <w:rsid w:val="00FF2384"/>
    <w:rsid w:val="00FF2D0F"/>
    <w:rsid w:val="00FF4EE9"/>
    <w:rsid w:val="00FF5554"/>
    <w:rsid w:val="00FF692E"/>
    <w:rsid w:val="00FF6AC6"/>
    <w:rsid w:val="022D6E44"/>
    <w:rsid w:val="03136190"/>
    <w:rsid w:val="03F47AC7"/>
    <w:rsid w:val="05397340"/>
    <w:rsid w:val="05AC45F3"/>
    <w:rsid w:val="0658233B"/>
    <w:rsid w:val="070737E6"/>
    <w:rsid w:val="07383F26"/>
    <w:rsid w:val="0CF601A3"/>
    <w:rsid w:val="0DD706D2"/>
    <w:rsid w:val="0E526B37"/>
    <w:rsid w:val="10AA2160"/>
    <w:rsid w:val="10E77894"/>
    <w:rsid w:val="11F924B5"/>
    <w:rsid w:val="13C91AAE"/>
    <w:rsid w:val="17BFBC92"/>
    <w:rsid w:val="193C1B10"/>
    <w:rsid w:val="19DE1A0F"/>
    <w:rsid w:val="1A652245"/>
    <w:rsid w:val="1AB2450D"/>
    <w:rsid w:val="1C002E68"/>
    <w:rsid w:val="1C75380C"/>
    <w:rsid w:val="1D257241"/>
    <w:rsid w:val="1DFB2802"/>
    <w:rsid w:val="1E477A34"/>
    <w:rsid w:val="1FFF404F"/>
    <w:rsid w:val="203A1FFC"/>
    <w:rsid w:val="2071704A"/>
    <w:rsid w:val="221C7622"/>
    <w:rsid w:val="25E50388"/>
    <w:rsid w:val="26F70838"/>
    <w:rsid w:val="29FE639A"/>
    <w:rsid w:val="2B155DFC"/>
    <w:rsid w:val="2B342CE8"/>
    <w:rsid w:val="2C540533"/>
    <w:rsid w:val="2D017B6D"/>
    <w:rsid w:val="2D242B7D"/>
    <w:rsid w:val="301D270B"/>
    <w:rsid w:val="321E5E00"/>
    <w:rsid w:val="3510067D"/>
    <w:rsid w:val="36667A7A"/>
    <w:rsid w:val="374A41BE"/>
    <w:rsid w:val="37CE114E"/>
    <w:rsid w:val="3A4A351F"/>
    <w:rsid w:val="3A7144E7"/>
    <w:rsid w:val="3AFA0243"/>
    <w:rsid w:val="3B86743D"/>
    <w:rsid w:val="3C151095"/>
    <w:rsid w:val="3C84618B"/>
    <w:rsid w:val="3CAF5D51"/>
    <w:rsid w:val="3DE90E99"/>
    <w:rsid w:val="3E156F07"/>
    <w:rsid w:val="3ED945DB"/>
    <w:rsid w:val="3FECD01D"/>
    <w:rsid w:val="40226409"/>
    <w:rsid w:val="4205368F"/>
    <w:rsid w:val="432D203D"/>
    <w:rsid w:val="44B84C85"/>
    <w:rsid w:val="46B1028E"/>
    <w:rsid w:val="4788737F"/>
    <w:rsid w:val="487B08FB"/>
    <w:rsid w:val="493F5EB6"/>
    <w:rsid w:val="49A60E5D"/>
    <w:rsid w:val="4AA00D98"/>
    <w:rsid w:val="4B7F1CED"/>
    <w:rsid w:val="4BDF60E0"/>
    <w:rsid w:val="50EC152D"/>
    <w:rsid w:val="522D43DE"/>
    <w:rsid w:val="52873171"/>
    <w:rsid w:val="55230CE3"/>
    <w:rsid w:val="564202CA"/>
    <w:rsid w:val="56EB3ECC"/>
    <w:rsid w:val="57FF44CD"/>
    <w:rsid w:val="593E18AF"/>
    <w:rsid w:val="59FE7B05"/>
    <w:rsid w:val="5A45305C"/>
    <w:rsid w:val="5BBC03FC"/>
    <w:rsid w:val="5C36612B"/>
    <w:rsid w:val="608D57CB"/>
    <w:rsid w:val="623213FC"/>
    <w:rsid w:val="624E11E1"/>
    <w:rsid w:val="63801C47"/>
    <w:rsid w:val="643B7DC1"/>
    <w:rsid w:val="66D005FC"/>
    <w:rsid w:val="66F56B86"/>
    <w:rsid w:val="6760282A"/>
    <w:rsid w:val="67FE5505"/>
    <w:rsid w:val="6A5C3EA1"/>
    <w:rsid w:val="6C56CADC"/>
    <w:rsid w:val="6DD85423"/>
    <w:rsid w:val="6FABCC0F"/>
    <w:rsid w:val="71476355"/>
    <w:rsid w:val="739F6744"/>
    <w:rsid w:val="76552728"/>
    <w:rsid w:val="76D77FBB"/>
    <w:rsid w:val="780741E7"/>
    <w:rsid w:val="78D10CF9"/>
    <w:rsid w:val="7AB809B2"/>
    <w:rsid w:val="7CDF7DA0"/>
    <w:rsid w:val="7CFC76C2"/>
    <w:rsid w:val="7DB77732"/>
    <w:rsid w:val="7DE4109F"/>
    <w:rsid w:val="7E313C79"/>
    <w:rsid w:val="7FB7201C"/>
    <w:rsid w:val="7FE739C9"/>
    <w:rsid w:val="7FFF8432"/>
    <w:rsid w:val="9D5E1287"/>
    <w:rsid w:val="9DF3E76D"/>
    <w:rsid w:val="9F5F43B3"/>
    <w:rsid w:val="B7FD488F"/>
    <w:rsid w:val="BAEFB901"/>
    <w:rsid w:val="BBAD5F22"/>
    <w:rsid w:val="D6FF15F6"/>
    <w:rsid w:val="DEBD6296"/>
    <w:rsid w:val="DF574109"/>
    <w:rsid w:val="DFCF31DD"/>
    <w:rsid w:val="E9FBBE9F"/>
    <w:rsid w:val="ECEA30D5"/>
    <w:rsid w:val="EF59589E"/>
    <w:rsid w:val="F6FEA093"/>
    <w:rsid w:val="FB65FA53"/>
    <w:rsid w:val="FE3E91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23"/>
    <w:qFormat/>
    <w:uiPriority w:val="9"/>
    <w:pPr>
      <w:keepNext/>
      <w:keepLines/>
      <w:spacing w:beforeLines="50" w:afterLines="50" w:line="640" w:lineRule="exact"/>
      <w:jc w:val="center"/>
      <w:outlineLvl w:val="0"/>
    </w:pPr>
    <w:rPr>
      <w:rFonts w:ascii="Times New Roman" w:hAnsi="Times New Roman" w:eastAsia="黑体"/>
      <w:bCs/>
      <w:kern w:val="44"/>
      <w:sz w:val="36"/>
      <w:szCs w:val="36"/>
    </w:rPr>
  </w:style>
  <w:style w:type="paragraph" w:styleId="5">
    <w:name w:val="heading 2"/>
    <w:basedOn w:val="1"/>
    <w:next w:val="1"/>
    <w:link w:val="24"/>
    <w:qFormat/>
    <w:uiPriority w:val="0"/>
    <w:pPr>
      <w:keepNext/>
      <w:keepLines/>
      <w:spacing w:line="640" w:lineRule="exact"/>
      <w:ind w:firstLine="643" w:firstLineChars="200"/>
      <w:jc w:val="left"/>
      <w:outlineLvl w:val="1"/>
    </w:pPr>
    <w:rPr>
      <w:rFonts w:ascii="Cambria" w:hAnsi="Cambria" w:eastAsia="方正仿宋_GBK"/>
      <w:b/>
      <w:bCs/>
      <w:kern w:val="0"/>
      <w:sz w:val="32"/>
      <w:szCs w:val="32"/>
    </w:rPr>
  </w:style>
  <w:style w:type="paragraph" w:styleId="6">
    <w:name w:val="heading 3"/>
    <w:basedOn w:val="1"/>
    <w:next w:val="1"/>
    <w:link w:val="25"/>
    <w:unhideWhenUsed/>
    <w:qFormat/>
    <w:uiPriority w:val="9"/>
    <w:pPr>
      <w:keepNext/>
      <w:keepLines/>
      <w:spacing w:line="600" w:lineRule="exact"/>
      <w:ind w:firstLine="640" w:firstLineChars="200"/>
      <w:outlineLvl w:val="2"/>
    </w:pPr>
    <w:rPr>
      <w:rFonts w:eastAsia="仿宋_GB2312"/>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widowControl/>
      <w:spacing w:after="120" w:line="594" w:lineRule="exact"/>
      <w:ind w:firstLine="640" w:firstLineChars="200"/>
    </w:pPr>
    <w:rPr>
      <w:rFonts w:ascii="Times New Roman" w:hAnsi="Times New Roman" w:eastAsia="方正仿宋_GBK"/>
      <w:sz w:val="32"/>
      <w:szCs w:val="32"/>
    </w:rPr>
  </w:style>
  <w:style w:type="paragraph" w:styleId="3">
    <w:name w:val="index 7"/>
    <w:basedOn w:val="1"/>
    <w:next w:val="1"/>
    <w:qFormat/>
    <w:uiPriority w:val="0"/>
    <w:pPr>
      <w:ind w:left="1200" w:leftChars="1200"/>
    </w:pPr>
  </w:style>
  <w:style w:type="paragraph" w:styleId="7">
    <w:name w:val="Document Map"/>
    <w:basedOn w:val="1"/>
    <w:link w:val="30"/>
    <w:unhideWhenUsed/>
    <w:qFormat/>
    <w:uiPriority w:val="99"/>
    <w:rPr>
      <w:rFonts w:ascii="宋体"/>
      <w:sz w:val="18"/>
      <w:szCs w:val="18"/>
    </w:rPr>
  </w:style>
  <w:style w:type="paragraph" w:styleId="8">
    <w:name w:val="annotation text"/>
    <w:basedOn w:val="1"/>
    <w:link w:val="95"/>
    <w:unhideWhenUsed/>
    <w:qFormat/>
    <w:uiPriority w:val="99"/>
    <w:pPr>
      <w:jc w:val="left"/>
    </w:pPr>
  </w:style>
  <w:style w:type="paragraph" w:styleId="9">
    <w:name w:val="Balloon Text"/>
    <w:basedOn w:val="1"/>
    <w:link w:val="29"/>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2">
    <w:name w:val="toc 1"/>
    <w:basedOn w:val="1"/>
    <w:next w:val="1"/>
    <w:unhideWhenUsed/>
    <w:qFormat/>
    <w:uiPriority w:val="39"/>
    <w:pPr>
      <w:tabs>
        <w:tab w:val="right" w:leader="dot" w:pos="8296"/>
      </w:tabs>
      <w:spacing w:line="600" w:lineRule="exact"/>
    </w:pPr>
    <w:rPr>
      <w:rFonts w:ascii="方正仿宋_GBK" w:hAnsi="Times New Roman" w:eastAsia="方正仿宋_GBK"/>
      <w:b/>
      <w:kern w:val="44"/>
      <w:sz w:val="32"/>
      <w:szCs w:val="32"/>
    </w:r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jc w:val="left"/>
    </w:pPr>
    <w:rPr>
      <w:kern w:val="0"/>
      <w:sz w:val="24"/>
    </w:rPr>
  </w:style>
  <w:style w:type="paragraph" w:styleId="15">
    <w:name w:val="annotation subject"/>
    <w:basedOn w:val="8"/>
    <w:next w:val="8"/>
    <w:link w:val="96"/>
    <w:unhideWhenUsed/>
    <w:qFormat/>
    <w:uiPriority w:val="99"/>
    <w:rPr>
      <w:b/>
      <w:bCs/>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unhideWhenUsed/>
    <w:qFormat/>
    <w:uiPriority w:val="99"/>
    <w:rPr>
      <w:color w:val="800080"/>
      <w:u w:val="single"/>
    </w:rPr>
  </w:style>
  <w:style w:type="character" w:styleId="20">
    <w:name w:val="Emphasis"/>
    <w:basedOn w:val="18"/>
    <w:qFormat/>
    <w:uiPriority w:val="20"/>
    <w:rPr>
      <w:i/>
      <w:iCs/>
    </w:rPr>
  </w:style>
  <w:style w:type="character" w:styleId="21">
    <w:name w:val="Hyperlink"/>
    <w:basedOn w:val="18"/>
    <w:unhideWhenUsed/>
    <w:qFormat/>
    <w:uiPriority w:val="99"/>
    <w:rPr>
      <w:color w:val="0000FF" w:themeColor="hyperlink"/>
      <w:u w:val="single"/>
    </w:rPr>
  </w:style>
  <w:style w:type="character" w:styleId="22">
    <w:name w:val="annotation reference"/>
    <w:basedOn w:val="18"/>
    <w:unhideWhenUsed/>
    <w:qFormat/>
    <w:uiPriority w:val="99"/>
    <w:rPr>
      <w:sz w:val="21"/>
      <w:szCs w:val="21"/>
    </w:rPr>
  </w:style>
  <w:style w:type="character" w:customStyle="1" w:styleId="23">
    <w:name w:val="标题 1 Char"/>
    <w:basedOn w:val="18"/>
    <w:link w:val="4"/>
    <w:qFormat/>
    <w:uiPriority w:val="9"/>
    <w:rPr>
      <w:rFonts w:ascii="Times New Roman" w:hAnsi="Times New Roman" w:eastAsia="黑体" w:cs="Times New Roman"/>
      <w:bCs/>
      <w:kern w:val="44"/>
      <w:sz w:val="36"/>
      <w:szCs w:val="36"/>
    </w:rPr>
  </w:style>
  <w:style w:type="character" w:customStyle="1" w:styleId="24">
    <w:name w:val="标题 2 Char"/>
    <w:basedOn w:val="18"/>
    <w:link w:val="5"/>
    <w:qFormat/>
    <w:uiPriority w:val="0"/>
    <w:rPr>
      <w:rFonts w:ascii="Cambria" w:hAnsi="Cambria" w:eastAsia="方正仿宋_GBK" w:cs="Times New Roman"/>
      <w:b/>
      <w:bCs/>
      <w:kern w:val="0"/>
      <w:sz w:val="32"/>
      <w:szCs w:val="32"/>
    </w:rPr>
  </w:style>
  <w:style w:type="character" w:customStyle="1" w:styleId="25">
    <w:name w:val="标题 3 Char"/>
    <w:basedOn w:val="18"/>
    <w:link w:val="6"/>
    <w:qFormat/>
    <w:uiPriority w:val="9"/>
    <w:rPr>
      <w:rFonts w:ascii="Calibri" w:hAnsi="Calibri" w:eastAsia="仿宋_GB2312" w:cs="Times New Roman"/>
      <w:bCs/>
      <w:sz w:val="32"/>
      <w:szCs w:val="32"/>
    </w:rPr>
  </w:style>
  <w:style w:type="character" w:customStyle="1" w:styleId="26">
    <w:name w:val="页眉 Char"/>
    <w:basedOn w:val="18"/>
    <w:link w:val="11"/>
    <w:qFormat/>
    <w:uiPriority w:val="99"/>
    <w:rPr>
      <w:sz w:val="18"/>
      <w:szCs w:val="18"/>
    </w:rPr>
  </w:style>
  <w:style w:type="character" w:customStyle="1" w:styleId="27">
    <w:name w:val="页脚 Char"/>
    <w:basedOn w:val="18"/>
    <w:link w:val="10"/>
    <w:qFormat/>
    <w:uiPriority w:val="99"/>
    <w:rPr>
      <w:sz w:val="18"/>
      <w:szCs w:val="18"/>
    </w:rPr>
  </w:style>
  <w:style w:type="paragraph" w:customStyle="1" w:styleId="28">
    <w:name w:val="列出段落1"/>
    <w:basedOn w:val="1"/>
    <w:qFormat/>
    <w:uiPriority w:val="34"/>
    <w:pPr>
      <w:ind w:firstLine="420" w:firstLineChars="200"/>
    </w:pPr>
  </w:style>
  <w:style w:type="character" w:customStyle="1" w:styleId="29">
    <w:name w:val="批注框文本 Char"/>
    <w:basedOn w:val="18"/>
    <w:link w:val="9"/>
    <w:semiHidden/>
    <w:qFormat/>
    <w:uiPriority w:val="99"/>
    <w:rPr>
      <w:rFonts w:ascii="Calibri" w:hAnsi="Calibri" w:eastAsia="宋体" w:cs="Times New Roman"/>
      <w:sz w:val="18"/>
      <w:szCs w:val="18"/>
    </w:rPr>
  </w:style>
  <w:style w:type="character" w:customStyle="1" w:styleId="30">
    <w:name w:val="文档结构图 Char"/>
    <w:basedOn w:val="18"/>
    <w:link w:val="7"/>
    <w:semiHidden/>
    <w:qFormat/>
    <w:uiPriority w:val="99"/>
    <w:rPr>
      <w:rFonts w:ascii="宋体" w:hAnsi="Calibri" w:eastAsia="宋体" w:cs="Times New Roman"/>
      <w:sz w:val="18"/>
      <w:szCs w:val="18"/>
    </w:rPr>
  </w:style>
  <w:style w:type="character" w:customStyle="1" w:styleId="31">
    <w:name w:val="apple-converted-space"/>
    <w:basedOn w:val="18"/>
    <w:qFormat/>
    <w:uiPriority w:val="0"/>
  </w:style>
  <w:style w:type="paragraph" w:customStyle="1" w:styleId="32">
    <w:name w:val="Char1"/>
    <w:basedOn w:val="1"/>
    <w:qFormat/>
    <w:uiPriority w:val="0"/>
    <w:pPr>
      <w:tabs>
        <w:tab w:val="left" w:pos="360"/>
      </w:tabs>
    </w:pPr>
    <w:rPr>
      <w:rFonts w:ascii="宋体" w:hAnsi="宋体"/>
      <w:color w:val="000000"/>
      <w:sz w:val="24"/>
      <w:szCs w:val="21"/>
    </w:rPr>
  </w:style>
  <w:style w:type="paragraph" w:customStyle="1" w:styleId="33">
    <w:name w:val="font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34">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5">
    <w:name w:val="font7"/>
    <w:basedOn w:val="1"/>
    <w:qFormat/>
    <w:uiPriority w:val="0"/>
    <w:pPr>
      <w:widowControl/>
      <w:spacing w:before="100" w:beforeAutospacing="1" w:after="100" w:afterAutospacing="1"/>
      <w:jc w:val="left"/>
    </w:pPr>
    <w:rPr>
      <w:rFonts w:ascii="Times New Roman" w:hAnsi="Times New Roman"/>
      <w:b/>
      <w:bCs/>
      <w:color w:val="000000"/>
      <w:kern w:val="0"/>
      <w:sz w:val="20"/>
      <w:szCs w:val="20"/>
    </w:rPr>
  </w:style>
  <w:style w:type="paragraph" w:customStyle="1" w:styleId="36">
    <w:name w:val="font8"/>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37">
    <w:name w:val="font9"/>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38">
    <w:name w:val="font10"/>
    <w:basedOn w:val="1"/>
    <w:qFormat/>
    <w:uiPriority w:val="0"/>
    <w:pPr>
      <w:widowControl/>
      <w:spacing w:before="100" w:beforeAutospacing="1" w:after="100" w:afterAutospacing="1"/>
      <w:jc w:val="left"/>
    </w:pPr>
    <w:rPr>
      <w:rFonts w:ascii="Times New Roman" w:hAnsi="Times New Roman"/>
      <w:kern w:val="0"/>
      <w:sz w:val="20"/>
      <w:szCs w:val="20"/>
    </w:rPr>
  </w:style>
  <w:style w:type="paragraph" w:customStyle="1" w:styleId="39">
    <w:name w:val="font1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0">
    <w:name w:val="font12"/>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41">
    <w:name w:val="font13"/>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42">
    <w:name w:val="font14"/>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43">
    <w:name w:val="font15"/>
    <w:basedOn w:val="1"/>
    <w:qFormat/>
    <w:uiPriority w:val="0"/>
    <w:pPr>
      <w:widowControl/>
      <w:spacing w:before="100" w:beforeAutospacing="1" w:after="100" w:afterAutospacing="1"/>
      <w:jc w:val="left"/>
    </w:pPr>
    <w:rPr>
      <w:rFonts w:ascii="宋体" w:hAnsi="宋体" w:cs="宋体"/>
      <w:b/>
      <w:bCs/>
      <w:color w:val="000000"/>
      <w:kern w:val="0"/>
      <w:sz w:val="36"/>
      <w:szCs w:val="36"/>
    </w:rPr>
  </w:style>
  <w:style w:type="paragraph" w:customStyle="1" w:styleId="44">
    <w:name w:val="font16"/>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45">
    <w:name w:val="font17"/>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46">
    <w:name w:val="font18"/>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47">
    <w:name w:val="font19"/>
    <w:basedOn w:val="1"/>
    <w:qFormat/>
    <w:uiPriority w:val="0"/>
    <w:pPr>
      <w:widowControl/>
      <w:spacing w:before="100" w:beforeAutospacing="1" w:after="100" w:afterAutospacing="1"/>
      <w:jc w:val="left"/>
    </w:pPr>
    <w:rPr>
      <w:rFonts w:ascii="宋体" w:hAnsi="宋体" w:cs="宋体"/>
      <w:b/>
      <w:bCs/>
      <w:color w:val="000000"/>
      <w:kern w:val="0"/>
      <w:sz w:val="40"/>
      <w:szCs w:val="40"/>
    </w:rPr>
  </w:style>
  <w:style w:type="paragraph" w:customStyle="1" w:styleId="48">
    <w:name w:val="xl68"/>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49">
    <w:name w:val="xl69"/>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50">
    <w:name w:val="xl7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5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color w:val="000000"/>
      <w:kern w:val="0"/>
      <w:sz w:val="20"/>
      <w:szCs w:val="20"/>
    </w:rPr>
  </w:style>
  <w:style w:type="paragraph" w:customStyle="1" w:styleId="5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0"/>
      <w:szCs w:val="20"/>
    </w:rPr>
  </w:style>
  <w:style w:type="paragraph" w:customStyle="1" w:styleId="5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0"/>
      <w:szCs w:val="20"/>
    </w:rPr>
  </w:style>
  <w:style w:type="paragraph" w:customStyle="1" w:styleId="5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5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5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0"/>
      <w:szCs w:val="20"/>
    </w:rPr>
  </w:style>
  <w:style w:type="paragraph" w:customStyle="1" w:styleId="5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0"/>
      <w:szCs w:val="20"/>
    </w:rPr>
  </w:style>
  <w:style w:type="paragraph" w:customStyle="1" w:styleId="5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5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0"/>
      <w:szCs w:val="20"/>
    </w:rPr>
  </w:style>
  <w:style w:type="paragraph" w:customStyle="1" w:styleId="6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20"/>
      <w:szCs w:val="20"/>
    </w:rPr>
  </w:style>
  <w:style w:type="paragraph" w:customStyle="1" w:styleId="61">
    <w:name w:val="xl81"/>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6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color w:val="000000"/>
      <w:kern w:val="0"/>
      <w:sz w:val="20"/>
      <w:szCs w:val="20"/>
    </w:rPr>
  </w:style>
  <w:style w:type="paragraph" w:customStyle="1" w:styleId="6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65">
    <w:name w:val="xl85"/>
    <w:basedOn w:val="1"/>
    <w:qFormat/>
    <w:uiPriority w:val="0"/>
    <w:pPr>
      <w:widowControl/>
      <w:spacing w:before="100" w:beforeAutospacing="1" w:after="100" w:afterAutospacing="1"/>
      <w:jc w:val="left"/>
    </w:pPr>
    <w:rPr>
      <w:rFonts w:ascii="仿宋_GB2312" w:hAnsi="宋体" w:eastAsia="仿宋_GB2312" w:cs="宋体"/>
      <w:kern w:val="0"/>
      <w:sz w:val="24"/>
      <w:szCs w:val="24"/>
    </w:rPr>
  </w:style>
  <w:style w:type="paragraph" w:customStyle="1" w:styleId="66">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Times New Roman" w:hAnsi="Times New Roman"/>
      <w:kern w:val="0"/>
      <w:sz w:val="20"/>
      <w:szCs w:val="20"/>
    </w:rPr>
  </w:style>
  <w:style w:type="paragraph" w:customStyle="1" w:styleId="6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color w:val="000000"/>
      <w:kern w:val="0"/>
      <w:sz w:val="20"/>
      <w:szCs w:val="20"/>
    </w:rPr>
  </w:style>
  <w:style w:type="paragraph" w:customStyle="1" w:styleId="68">
    <w:name w:val="xl88"/>
    <w:basedOn w:val="1"/>
    <w:qFormat/>
    <w:uiPriority w:val="0"/>
    <w:pPr>
      <w:widowControl/>
      <w:spacing w:before="100" w:beforeAutospacing="1" w:after="100" w:afterAutospacing="1"/>
      <w:jc w:val="center"/>
    </w:pPr>
    <w:rPr>
      <w:rFonts w:ascii="Times New Roman" w:hAnsi="Times New Roman"/>
      <w:kern w:val="0"/>
      <w:sz w:val="20"/>
      <w:szCs w:val="20"/>
    </w:rPr>
  </w:style>
  <w:style w:type="paragraph" w:customStyle="1" w:styleId="6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0">
    <w:name w:val="xl9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b/>
      <w:bCs/>
      <w:color w:val="000000"/>
      <w:kern w:val="0"/>
      <w:sz w:val="20"/>
      <w:szCs w:val="20"/>
    </w:rPr>
  </w:style>
  <w:style w:type="paragraph" w:customStyle="1" w:styleId="7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4">
    <w:name w:val="xl9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5">
    <w:name w:val="xl95"/>
    <w:basedOn w:val="1"/>
    <w:qFormat/>
    <w:uiPriority w:val="0"/>
    <w:pPr>
      <w:widowControl/>
      <w:spacing w:before="100" w:beforeAutospacing="1" w:after="100" w:afterAutospacing="1"/>
      <w:jc w:val="left"/>
    </w:pPr>
    <w:rPr>
      <w:rFonts w:ascii="仿宋_GB2312" w:hAnsi="宋体" w:eastAsia="仿宋_GB2312" w:cs="宋体"/>
      <w:b/>
      <w:bCs/>
      <w:kern w:val="0"/>
      <w:sz w:val="24"/>
      <w:szCs w:val="24"/>
    </w:rPr>
  </w:style>
  <w:style w:type="paragraph" w:customStyle="1" w:styleId="76">
    <w:name w:val="xl96"/>
    <w:basedOn w:val="1"/>
    <w:qFormat/>
    <w:uiPriority w:val="0"/>
    <w:pPr>
      <w:widowControl/>
      <w:spacing w:before="100" w:beforeAutospacing="1" w:after="100" w:afterAutospacing="1"/>
      <w:jc w:val="left"/>
    </w:pPr>
    <w:rPr>
      <w:rFonts w:ascii="仿宋_GB2312" w:hAnsi="宋体" w:eastAsia="仿宋_GB2312" w:cs="宋体"/>
      <w:kern w:val="0"/>
      <w:sz w:val="24"/>
      <w:szCs w:val="24"/>
    </w:rPr>
  </w:style>
  <w:style w:type="paragraph" w:customStyle="1" w:styleId="77">
    <w:name w:val="xl97"/>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8">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79">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b/>
      <w:bCs/>
      <w:kern w:val="0"/>
      <w:sz w:val="20"/>
      <w:szCs w:val="20"/>
    </w:rPr>
  </w:style>
  <w:style w:type="paragraph" w:customStyle="1" w:styleId="8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b/>
      <w:bCs/>
      <w:kern w:val="0"/>
      <w:sz w:val="20"/>
      <w:szCs w:val="20"/>
    </w:rPr>
  </w:style>
  <w:style w:type="paragraph" w:customStyle="1" w:styleId="8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2">
    <w:name w:val="xl102"/>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4">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5">
    <w:name w:val="xl105"/>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86">
    <w:name w:val="xl106"/>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87">
    <w:name w:val="xl107"/>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88">
    <w:name w:val="正文文本 (2)"/>
    <w:basedOn w:val="1"/>
    <w:link w:val="89"/>
    <w:qFormat/>
    <w:uiPriority w:val="0"/>
    <w:pPr>
      <w:widowControl/>
      <w:shd w:val="clear" w:color="auto" w:fill="FFFFFF"/>
      <w:spacing w:before="300" w:after="180" w:line="0" w:lineRule="atLeast"/>
      <w:jc w:val="center"/>
    </w:pPr>
    <w:rPr>
      <w:rFonts w:ascii="宋体" w:hAnsi="宋体" w:cs="宋体"/>
      <w:spacing w:val="20"/>
      <w:kern w:val="0"/>
      <w:sz w:val="30"/>
      <w:szCs w:val="30"/>
    </w:rPr>
  </w:style>
  <w:style w:type="character" w:customStyle="1" w:styleId="89">
    <w:name w:val="正文文本 (2)_"/>
    <w:link w:val="88"/>
    <w:qFormat/>
    <w:uiPriority w:val="0"/>
    <w:rPr>
      <w:rFonts w:ascii="宋体" w:hAnsi="宋体" w:eastAsia="宋体" w:cs="宋体"/>
      <w:spacing w:val="20"/>
      <w:kern w:val="0"/>
      <w:sz w:val="30"/>
      <w:szCs w:val="30"/>
      <w:shd w:val="clear" w:color="auto" w:fill="FFFFFF"/>
    </w:rPr>
  </w:style>
  <w:style w:type="paragraph" w:customStyle="1" w:styleId="90">
    <w:name w:val="文本正文"/>
    <w:basedOn w:val="1"/>
    <w:link w:val="91"/>
    <w:qFormat/>
    <w:uiPriority w:val="0"/>
    <w:pPr>
      <w:adjustRightInd w:val="0"/>
      <w:snapToGrid w:val="0"/>
      <w:spacing w:line="360" w:lineRule="auto"/>
      <w:ind w:firstLine="200" w:firstLineChars="200"/>
    </w:pPr>
    <w:rPr>
      <w:rFonts w:ascii="Times New Roman" w:hAnsi="Times New Roman"/>
      <w:sz w:val="28"/>
      <w:szCs w:val="20"/>
      <w:lang w:val="zh-CN"/>
    </w:rPr>
  </w:style>
  <w:style w:type="character" w:customStyle="1" w:styleId="91">
    <w:name w:val="文本正文 Char"/>
    <w:link w:val="90"/>
    <w:qFormat/>
    <w:uiPriority w:val="0"/>
    <w:rPr>
      <w:rFonts w:ascii="Times New Roman" w:hAnsi="Times New Roman" w:eastAsia="宋体" w:cs="Times New Roman"/>
      <w:sz w:val="28"/>
      <w:szCs w:val="20"/>
      <w:lang w:val="zh-CN"/>
    </w:rPr>
  </w:style>
  <w:style w:type="paragraph" w:customStyle="1" w:styleId="92">
    <w:name w:val="列出段落11"/>
    <w:basedOn w:val="1"/>
    <w:qFormat/>
    <w:uiPriority w:val="34"/>
    <w:pPr>
      <w:ind w:firstLine="420" w:firstLineChars="200"/>
    </w:pPr>
  </w:style>
  <w:style w:type="paragraph" w:customStyle="1" w:styleId="93">
    <w:name w:val="无间隔1"/>
    <w:link w:val="94"/>
    <w:qFormat/>
    <w:uiPriority w:val="1"/>
    <w:pPr>
      <w:spacing w:line="240" w:lineRule="exact"/>
    </w:pPr>
    <w:rPr>
      <w:rFonts w:ascii="Times New Roman" w:hAnsi="Times New Roman" w:eastAsia="华文仿宋" w:cs="Times New Roman"/>
      <w:sz w:val="18"/>
      <w:szCs w:val="22"/>
      <w:lang w:val="en-US" w:eastAsia="zh-CN" w:bidi="ar-SA"/>
    </w:rPr>
  </w:style>
  <w:style w:type="character" w:customStyle="1" w:styleId="94">
    <w:name w:val="无间隔 字符"/>
    <w:link w:val="93"/>
    <w:qFormat/>
    <w:uiPriority w:val="1"/>
    <w:rPr>
      <w:rFonts w:ascii="Times New Roman" w:hAnsi="Times New Roman" w:eastAsia="华文仿宋" w:cs="Times New Roman"/>
      <w:kern w:val="0"/>
      <w:sz w:val="18"/>
    </w:rPr>
  </w:style>
  <w:style w:type="character" w:customStyle="1" w:styleId="95">
    <w:name w:val="批注文字 Char"/>
    <w:basedOn w:val="18"/>
    <w:link w:val="8"/>
    <w:semiHidden/>
    <w:qFormat/>
    <w:uiPriority w:val="99"/>
    <w:rPr>
      <w:rFonts w:ascii="Calibri" w:hAnsi="Calibri" w:eastAsia="宋体" w:cs="Times New Roman"/>
    </w:rPr>
  </w:style>
  <w:style w:type="character" w:customStyle="1" w:styleId="96">
    <w:name w:val="批注主题 Char"/>
    <w:basedOn w:val="95"/>
    <w:link w:val="15"/>
    <w:semiHidden/>
    <w:qFormat/>
    <w:uiPriority w:val="99"/>
    <w:rPr>
      <w:rFonts w:ascii="Calibri" w:hAnsi="Calibri" w:eastAsia="宋体" w:cs="Times New Roman"/>
      <w:b/>
      <w:bCs/>
    </w:rPr>
  </w:style>
  <w:style w:type="character" w:customStyle="1" w:styleId="97">
    <w:name w:val="font41"/>
    <w:qFormat/>
    <w:uiPriority w:val="0"/>
    <w:rPr>
      <w:rFonts w:hint="eastAsia" w:ascii="宋体" w:hAnsi="宋体" w:eastAsia="宋体" w:cs="宋体"/>
      <w:color w:val="000000"/>
      <w:sz w:val="20"/>
      <w:szCs w:val="20"/>
      <w:u w:val="none"/>
    </w:rPr>
  </w:style>
  <w:style w:type="paragraph" w:styleId="98">
    <w:name w:val="List Paragraph"/>
    <w:basedOn w:val="1"/>
    <w:qFormat/>
    <w:uiPriority w:val="34"/>
    <w:pPr>
      <w:ind w:firstLine="420" w:firstLineChars="200"/>
    </w:pPr>
    <w:rPr>
      <w:rFonts w:asciiTheme="minorHAnsi" w:hAnsiTheme="minorHAnsi" w:eastAsiaTheme="minorEastAsia" w:cstheme="minorBidi"/>
    </w:rPr>
  </w:style>
  <w:style w:type="paragraph" w:customStyle="1" w:styleId="99">
    <w:name w:val="表格"/>
    <w:basedOn w:val="1"/>
    <w:qFormat/>
    <w:uiPriority w:val="0"/>
    <w:pPr>
      <w:spacing w:line="240" w:lineRule="exact"/>
      <w:jc w:val="center"/>
    </w:pPr>
    <w:rPr>
      <w:rFonts w:ascii="Times New Roman" w:hAnsi="Times New Roman" w:eastAsia="方正仿宋_GBK"/>
      <w:kern w:val="0"/>
      <w:sz w:val="20"/>
      <w:szCs w:val="20"/>
    </w:rPr>
  </w:style>
  <w:style w:type="paragraph" w:customStyle="1" w:styleId="100">
    <w:name w:val="修订1"/>
    <w:hidden/>
    <w:semiHidden/>
    <w:qFormat/>
    <w:uiPriority w:val="99"/>
    <w:rPr>
      <w:rFonts w:ascii="Calibri" w:hAnsi="Calibri" w:eastAsia="宋体" w:cs="Times New Roman"/>
      <w:kern w:val="2"/>
      <w:sz w:val="21"/>
      <w:szCs w:val="22"/>
      <w:lang w:val="en-US" w:eastAsia="zh-CN" w:bidi="ar-SA"/>
    </w:rPr>
  </w:style>
  <w:style w:type="paragraph" w:customStyle="1" w:styleId="101">
    <w:name w:val="xl108"/>
    <w:basedOn w:val="1"/>
    <w:qFormat/>
    <w:uiPriority w:val="0"/>
    <w:pPr>
      <w:widowControl/>
      <w:pBdr>
        <w:top w:val="single" w:color="auto" w:sz="4" w:space="0"/>
        <w:bottom w:val="single" w:color="auto" w:sz="4" w:space="0"/>
      </w:pBdr>
      <w:spacing w:before="100" w:beforeAutospacing="1" w:after="100" w:afterAutospacing="1"/>
      <w:jc w:val="left"/>
    </w:pPr>
    <w:rPr>
      <w:rFonts w:ascii="方正黑体_GBK" w:hAnsi="宋体" w:eastAsia="方正黑体_GBK" w:cs="宋体"/>
      <w:kern w:val="0"/>
      <w:sz w:val="28"/>
      <w:szCs w:val="28"/>
    </w:rPr>
  </w:style>
  <w:style w:type="paragraph" w:customStyle="1" w:styleId="102">
    <w:name w:val="xl10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方正黑体_GBK" w:hAnsi="宋体" w:eastAsia="方正黑体_GBK" w:cs="宋体"/>
      <w:kern w:val="0"/>
      <w:sz w:val="28"/>
      <w:szCs w:val="28"/>
    </w:rPr>
  </w:style>
  <w:style w:type="paragraph" w:customStyle="1" w:styleId="103">
    <w:name w:val="xl110"/>
    <w:basedOn w:val="1"/>
    <w:qFormat/>
    <w:uiPriority w:val="0"/>
    <w:pPr>
      <w:widowControl/>
      <w:spacing w:before="100" w:beforeAutospacing="1" w:after="100" w:afterAutospacing="1"/>
      <w:jc w:val="left"/>
    </w:pPr>
    <w:rPr>
      <w:rFonts w:ascii="方正黑体_GBK" w:hAnsi="宋体" w:eastAsia="方正黑体_GBK"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45</Pages>
  <Words>18331</Words>
  <Characters>20839</Characters>
  <Lines>173</Lines>
  <Paragraphs>48</Paragraphs>
  <TotalTime>4</TotalTime>
  <ScaleCrop>false</ScaleCrop>
  <LinksUpToDate>false</LinksUpToDate>
  <CharactersWithSpaces>21063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2021-01-22T07:24:00Z</dcterms:created>
  <dc:creator>Administrator</dc:creator>
  <cp:lastModifiedBy>WPS_1666744378</cp:lastModifiedBy>
  <cp:lastPrinted>2024-01-14T00:40:00Z</cp:lastPrinted>
  <dcterms:modified xsi:type="dcterms:W3CDTF">2025-04-29T00:53:17Z</dcterms:modified>
  <dc:title>重庆市万州区能源发展规划</dc:title>
  <cp:revision>959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eyJoZGlkIjoiOTc3M2Y5NzIzMDFlZjAyY2Q4Njk5ODkyYjFjNzBiNTQiLCJ1c2VySWQiOiIxNDI1MjIxNTU5In0=</vt:lpwstr>
  </property>
  <property fmtid="{D5CDD505-2E9C-101B-9397-08002B2CF9AE}" pid="4" name="ICV">
    <vt:lpwstr>E469778B81B34EFE84789D10A877C30C_12</vt:lpwstr>
  </property>
</Properties>
</file>