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54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0" w:name="bookmark23"/>
      <w:bookmarkStart w:id="1" w:name="bookmark25"/>
      <w:bookmarkStart w:id="2" w:name="bookmark24"/>
      <w:r>
        <w:rPr>
          <w:color w:val="000000"/>
          <w:spacing w:val="0"/>
          <w:w w:val="100"/>
          <w:position w:val="0"/>
        </w:rPr>
        <w:t>评标专家劳务报酬支付标准表</w:t>
      </w:r>
      <w:bookmarkEnd w:id="0"/>
      <w:bookmarkEnd w:id="1"/>
      <w:bookmarkEnd w:id="2"/>
    </w:p>
    <w:tbl>
      <w:tblPr>
        <w:tblStyle w:val="2"/>
        <w:tblW w:w="1390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21"/>
        <w:gridCol w:w="2038"/>
        <w:gridCol w:w="2722"/>
        <w:gridCol w:w="562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项目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计算标准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exact"/>
          <w:jc w:val="center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基本劳务报酬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（T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小时）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600+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(T-4)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×100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T&gt;4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小时)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T&gt;4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小时，在基数标准上，其超出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小时部分按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元/小时标准计算。不足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0.5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小时（含）的按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元计算，超过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0.5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小时但不足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小时的 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元计算。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.评标委员会负责人补助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元/人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评标委员会负责人在评标专家劳务报酬的基础上增加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元/次。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 w:hRule="exact"/>
          <w:jc w:val="center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.交通费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不低于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150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元/人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重庆市中心城区的评标专家（渝中区、江北区、 沙坪坝区、九龙坡区、南岸区、大渡口区、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北碚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区、渝北区和巴南区，含两江新区和重庆高新技术产业开发区）到中心城区以外评标的，以及中心城区外评标专家跨区县评标的，交通费按不低于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元/次支付。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.增加标段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标段数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×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元/人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一组专家同时承担同一招标人多个项目（标段）评标工作的，计费时间连续计算，且每增加一个项目（标段），每个专家增加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元。</w:t>
            </w:r>
            <w:bookmarkStart w:id="3" w:name="_GoBack"/>
            <w:bookmarkEnd w:id="3"/>
          </w:p>
        </w:tc>
      </w:tr>
    </w:tbl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E4F72"/>
    <w:rsid w:val="1DAE4F72"/>
    <w:rsid w:val="418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before="360" w:after="460" w:line="264" w:lineRule="auto"/>
      <w:jc w:val="center"/>
      <w:outlineLvl w:val="1"/>
    </w:pPr>
    <w:rPr>
      <w:rFonts w:ascii="宋体" w:hAnsi="宋体" w:eastAsia="宋体" w:cs="宋体"/>
      <w:color w:val="51666C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区政务服务管理办公室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2022-07-07T09:15:00Z</dcterms:created>
  <dc:creator>Administrator</dc:creator>
  <cp:lastModifiedBy>Administrator</cp:lastModifiedBy>
  <dcterms:modified xsi:type="dcterms:W3CDTF">2022-07-07T09:24:06Z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