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Ansi="华文中宋"/>
          <w:color w:val="auto"/>
        </w:rPr>
      </w:pPr>
      <w:r>
        <w:rPr>
          <w:rFonts w:hint="eastAsia" w:ascii="方正黑体_GBK" w:hAnsi="华文中宋" w:eastAsia="方正黑体_GBK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Ansi="华文中宋"/>
          <w:color w:val="auto"/>
        </w:rPr>
      </w:pPr>
    </w:p>
    <w:p>
      <w:pPr>
        <w:spacing w:line="1800" w:lineRule="exact"/>
        <w:jc w:val="center"/>
        <w:rPr>
          <w:rFonts w:ascii="方正小标宋_GBK" w:hAnsi="方正小标宋_GBK" w:eastAsia="方正小标宋_GBK" w:cs="方正小标宋_GBK"/>
          <w:b w:val="0"/>
          <w:bCs w:val="0"/>
          <w:color w:val="FF0000"/>
          <w:w w:val="48"/>
          <w:sz w:val="130"/>
          <w:szCs w:val="13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FF0000"/>
          <w:w w:val="48"/>
          <w:sz w:val="130"/>
          <w:szCs w:val="130"/>
        </w:rPr>
        <w:t>万州经济技术开发区办公室文件</w:t>
      </w:r>
      <w:bookmarkStart w:id="0" w:name="_GoBack"/>
      <w:bookmarkEnd w:id="0"/>
    </w:p>
    <w:p>
      <w:pPr>
        <w:spacing w:line="560" w:lineRule="exact"/>
        <w:rPr>
          <w:rFonts w:hAnsi="华文中宋"/>
          <w:color w:val="auto"/>
        </w:rPr>
      </w:pPr>
    </w:p>
    <w:p>
      <w:pPr>
        <w:spacing w:line="740" w:lineRule="exact"/>
        <w:jc w:val="center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万州经开办〔202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〕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号</w:t>
      </w:r>
    </w:p>
    <w:p>
      <w:pPr>
        <w:spacing w:line="440" w:lineRule="exact"/>
        <w:ind w:right="15" w:rightChars="7"/>
        <w:rPr>
          <w:rFonts w:ascii="方正小标宋_GBK" w:hAnsi="方正小标宋_GBK" w:eastAsia="方正小标宋_GBK" w:cs="方正小标宋_GBK"/>
          <w:b w:val="0"/>
          <w:bCs w:val="0"/>
          <w:strike/>
          <w:color w:val="FF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FF0000"/>
          <w:spacing w:val="-20"/>
          <w:sz w:val="44"/>
          <w:szCs w:val="44"/>
        </w:rPr>
        <w:t>━━━━━━━━━━━━━━━━━━━━━━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jc w:val="center"/>
        <w:textAlignment w:val="baseline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万州经济技术开发区办公室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jc w:val="center"/>
        <w:textAlignment w:val="baseline"/>
        <w:rPr>
          <w:rFonts w:hint="default" w:ascii="Times New Roman" w:hAnsi="Times New Roman" w:eastAsia="方正小标宋_GBK" w:cs="Times New Roman"/>
          <w:spacing w:val="-9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9"/>
          <w:sz w:val="44"/>
          <w:szCs w:val="44"/>
        </w:rPr>
        <w:t>关于印发</w:t>
      </w:r>
      <w:r>
        <w:rPr>
          <w:rFonts w:hint="default" w:ascii="Times New Roman" w:hAnsi="Times New Roman" w:eastAsia="方正小标宋_GBK" w:cs="Times New Roman"/>
          <w:spacing w:val="-9"/>
          <w:sz w:val="44"/>
          <w:szCs w:val="44"/>
          <w:lang w:eastAsia="zh-CN"/>
        </w:rPr>
        <w:t>《万州经开区</w:t>
      </w:r>
      <w:r>
        <w:rPr>
          <w:rFonts w:hint="default" w:ascii="Times New Roman" w:hAnsi="Times New Roman" w:eastAsia="方正小标宋_GBK" w:cs="Times New Roman"/>
          <w:spacing w:val="-9"/>
          <w:sz w:val="44"/>
          <w:szCs w:val="44"/>
        </w:rPr>
        <w:t>工业厂房库房消防安全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jc w:val="center"/>
        <w:textAlignment w:val="baseline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专项整治工作方案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》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的通知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内设机构、下属事业单位、直属公司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入园企业：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经经开区管委会同意，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现将《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万州经开区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工业厂房库房消防安全专项整治工作方案》印发你们，请认真组织实施。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万州经济技术开发区办公室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center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2021年7月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baseline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baseline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baseline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baseline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万州经开区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工业厂房库房消防安全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baseline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专项整治工作方案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为深刻汲取北碚区“3·13”荣特物流有限公司、重庆经开区“4·30”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利盈贸易有限公司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和江津区“6·5”鼎茂再生资源有限公司厂房库房火灾事故教训，认真贯彻落实《工业园区等功能区安全专项整治三年行动专题实施方案》《消防安全专项整治三年行动实施方案》，按照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市经信委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《关于印发全市工业厂房库房消防安全专项整治工作方案的通知》（渝经信发〔2021〕39号）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区政府办公室《关于印发全区工业厂房库房消防安全专项整治工作方案的通知》（万州府办发〔2021〕57号）精神，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以及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近期市、区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领导关于加强火灾防控工作的指示要求，决定在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经开区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集中开展工业厂房库房消防安全专项整治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工作，特制订本方案。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一、整治目标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通过排查整治，全面摸清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经开区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工业厂房库房消防安全现状，着力整治一批重大火灾隐患和消防安全突出问题，督促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入园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企业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严格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落实消防安全主体责任，建立消防安全监管长效机制，提升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经开区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工业厂房库房火灾防控能力。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二、整治范围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经开区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范围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内的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所有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工业厂房库房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三、整治重点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（一）建筑使用性质。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厂房库房是否未经消防验收合格擅自投入使用；是否违规改变建筑使用性质，特别是擅自将丁戊类厂房库房改为丙类及以上厂房库房。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（二）消防安全管理。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是否明确消防安全责任人、管理人；消防控制室人员是否持证上岗；自动消防设施是否按规定定期维护保养、检测；火灾高危单位是否按规定开展消防安全评估；是否组织开展消防安全培训；是否依法建立专职消防队、微型消防站或志愿消防队，并定期开展灭火疏散演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（三）火灾危险源。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电气线路是否存在敷设不规范或私拉乱接的情况；电气设备是否存在违规操作的情况；是否违规存放易燃易爆危险品；是否存在违规施工、违章动火动焊的情况；厂房库房内不同火灾危险性的物品是否按要求分类储存；供油、供气设施是否符合要求；铅酸、锂、氢等新能源电池存放方式是否符合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（四）建筑防火。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筑防火分隔是否符合要求；消防车道、消防救援场地、疏散通道、疏散楼梯、安全出口是否符合规范要求，是否被堵塞或占用；生产、储存、经营易燃易爆危险品的场所与居住场所是否设置在同一建筑内；厂房仓库内是否违规设置办公室、休息室、员工宿舍、中间仓库；是否存在防火间距不足或被占用的情况；是否使用易燃可燃彩钢板搭建建筑；防爆、泄爆措施是否完好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（五）消防设施。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消防水源是否满足规范要求；室内外消火栓、火灾报警、自动喷淋、防排烟、泡沫灭火、气体灭火、应急照明和疏散标志等系统是否按规范设置并保持完好有效；灭火器、消防沙池等消防器材配件是否齐全。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四、整治步骤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（一）部署发动（2021年7月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日前）。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成立由管委会分管领导任组长，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经发局、投促局、建管局、应急局相关负责人为成员的专项工作领导小组，领导小组下设办公室在应急局，应急局局长兼任办公室主任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召开会议进行专题部署，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按照统一要求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，制作并张贴《关于开展工业厂房库房消防安全专项整治的公告》。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（二）排查检查（2021年7月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日至2021年8月31日）。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1.企业自查（7月20日前）。各工业厂房库房相关企业组织开展消防安全自查，填写《工业厂房库房消防安全检查记录表》（详见附件），将发现的隐患及整改措施报万州经开区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应急局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存档备查。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2.组织核查（8月31日前）。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经发局、建管局、应急局抽调专人组成联合工作小组，聘请第三方服务机构，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结合企业自查情况，对厂房库房开展拉网式核查，切实查清底数，建立清单台账，核查信息及时录入“工业厂房库房消防安全专项整治信息系统”。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方正楷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Cs/>
          <w:sz w:val="32"/>
          <w:szCs w:val="32"/>
        </w:rPr>
        <w:t>（三）隐患整改（2021年9月1日至2022年8月31日）。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针对排查发现的问题，分类建立火灾隐患清单，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并将火灾隐患清单抄送具有执法权限的区级相关部门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责令企业限期整改销号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，形成闭环管理。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（四）总结提升（2022年9月1日至2022年9月30日）。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各责任单位对专项整治情况进行全面分析，开展自查自评，总结经验，查找不足，查漏补缺，巩固排查整治工作成效，建立完善长效管理机制，坚决防止隐患问题反弹。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800" w:firstLineChars="250"/>
        <w:jc w:val="both"/>
        <w:textAlignment w:val="baseline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五、整治措施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（一）督查督办。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专项整治期间，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区政府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成立督查组对各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责任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单位排查整治情况进行明察暗访并适时通报明察暗访情况。对构成重大火灾隐患的工业厂房库房，利用媒体进行集中曝光，通过舆论监督倒逼隐患整改。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（二）警示约谈。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各责任单位要对工作不力、火灾多发的工业厂房库房负责人进行约谈，讲清责任、讲明风险、讲透危害，督促隐患单位签订承诺书、落实整改责任。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（三）通报抄告。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在排查中发现工业厂房库房未经消防验收擅自投入使用的，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由建管局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将排查情况向区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住房城乡建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委统一抄告。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（四）联查联治。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按照万州区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消防安全专项整治三年行动的统一安排部署，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加强与区级相关部门的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会商研判、信息共享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。对查出的违法违规行为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抄告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区级相关部门进行执法检查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依托区级相关部门力量，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合力攻坚整治经开区工业厂房库房火灾隐患。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六、工作要求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（一）提高认识，加强领导。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相关责任单位、相关直属公司、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入园企业要充分认识此次专项整治的重要性，坚持人民至上、生命至上，坚持红线思维、底线思维，切实加强组织领导，统筹开展工业厂房库房消防安全专项整治各项工作。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）落实责任，追责问效。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责任单位要坚持党政同责、一岗双责、齐抓共管、失职追责，切实落实专项整治工作责任。要严格按照隐患排查不彻底不放过、隐患整治不到位不放过、事故责任不追究不放过要求，全面落实专项整治责任。对部署不及时、措施不到位、整改不彻底，尤其是整治期间发生火灾事故的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要提请区级相关部门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，严肃追究责任，确保整治措施落实到位。工业厂房库房相关企业要落实企业主体责任，分级分类压实企业法人、分管负责人、安全管理人员的责任。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经开区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工业厂房库房消防安全检查记录表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spacing w:val="-2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联系人：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张河川；</w:t>
      </w:r>
      <w:r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  <w:t>联系电话：</w:t>
      </w:r>
      <w:r>
        <w:rPr>
          <w:rFonts w:hint="default" w:ascii="Times New Roman" w:hAnsi="Times New Roman" w:eastAsia="方正仿宋_GBK" w:cs="Times New Roman"/>
          <w:spacing w:val="-20"/>
          <w:sz w:val="32"/>
          <w:szCs w:val="32"/>
          <w:lang w:val="en-US" w:eastAsia="zh-CN"/>
        </w:rPr>
        <w:t>58155156</w:t>
      </w:r>
      <w:r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pacing w:val="-20"/>
          <w:sz w:val="32"/>
          <w:szCs w:val="32"/>
          <w:lang w:val="en-US" w:eastAsia="zh-CN"/>
        </w:rPr>
        <w:t>13251367546；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840" w:firstLineChars="300"/>
        <w:jc w:val="both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20"/>
          <w:sz w:val="32"/>
          <w:szCs w:val="32"/>
          <w:lang w:val="en-US" w:eastAsia="zh-CN"/>
        </w:rPr>
        <w:t>邮箱：</w:t>
      </w:r>
      <w:r>
        <w:rPr>
          <w:rFonts w:hint="default" w:ascii="Times New Roman" w:hAnsi="Times New Roman" w:eastAsia="方正仿宋_GBK" w:cs="Times New Roman"/>
          <w:color w:val="auto"/>
          <w:spacing w:val="-20"/>
          <w:sz w:val="32"/>
          <w:szCs w:val="32"/>
          <w:u w:val="none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color w:val="auto"/>
          <w:spacing w:val="-20"/>
          <w:sz w:val="32"/>
          <w:szCs w:val="32"/>
          <w:u w:val="none"/>
          <w:lang w:val="en-US" w:eastAsia="zh-CN"/>
        </w:rPr>
        <w:instrText xml:space="preserve"> HYPERLINK "mailto:270728834@qq.com" </w:instrText>
      </w:r>
      <w:r>
        <w:rPr>
          <w:rFonts w:hint="default" w:ascii="Times New Roman" w:hAnsi="Times New Roman" w:eastAsia="方正仿宋_GBK" w:cs="Times New Roman"/>
          <w:color w:val="auto"/>
          <w:spacing w:val="-20"/>
          <w:sz w:val="32"/>
          <w:szCs w:val="32"/>
          <w:u w:val="none"/>
          <w:lang w:val="en-US" w:eastAsia="zh-CN"/>
        </w:rPr>
        <w:fldChar w:fldCharType="separate"/>
      </w:r>
      <w:r>
        <w:rPr>
          <w:rStyle w:val="10"/>
          <w:rFonts w:hint="default" w:ascii="Times New Roman" w:hAnsi="Times New Roman" w:eastAsia="方正仿宋_GBK" w:cs="Times New Roman"/>
          <w:color w:val="auto"/>
          <w:spacing w:val="-20"/>
          <w:sz w:val="32"/>
          <w:szCs w:val="32"/>
          <w:u w:val="none"/>
          <w:lang w:val="en-US" w:eastAsia="zh-CN"/>
        </w:rPr>
        <w:t>270728834</w:t>
      </w:r>
      <w:r>
        <w:rPr>
          <w:rStyle w:val="10"/>
          <w:rFonts w:hint="default" w:ascii="Times New Roman" w:hAnsi="Times New Roman" w:eastAsia="方正仿宋_GBK" w:cs="Times New Roman"/>
          <w:color w:val="auto"/>
          <w:spacing w:val="-20"/>
          <w:sz w:val="32"/>
          <w:szCs w:val="32"/>
          <w:u w:val="none"/>
        </w:rPr>
        <w:t>@qq.com</w:t>
      </w:r>
      <w:r>
        <w:rPr>
          <w:rFonts w:hint="default" w:ascii="Times New Roman" w:hAnsi="Times New Roman" w:eastAsia="方正仿宋_GBK" w:cs="Times New Roman"/>
          <w:color w:val="auto"/>
          <w:spacing w:val="-20"/>
          <w:sz w:val="32"/>
          <w:szCs w:val="32"/>
          <w:u w:val="none"/>
          <w:lang w:val="en-US" w:eastAsia="zh-CN"/>
        </w:rPr>
        <w:fldChar w:fldCharType="end"/>
      </w:r>
      <w:r>
        <w:rPr>
          <w:rFonts w:hint="default" w:ascii="Times New Roman" w:hAnsi="Times New Roman" w:eastAsia="方正仿宋_GBK" w:cs="Times New Roman"/>
          <w:color w:val="auto"/>
          <w:spacing w:val="-2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1283" w:rightChars="611" w:firstLine="1289" w:firstLineChars="403"/>
        <w:rPr>
          <w:rFonts w:hint="default" w:ascii="Times New Roman" w:hAnsi="Times New Roman" w:eastAsia="方正仿宋_GBK" w:cs="Times New Roman"/>
          <w:sz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7" w:right="1474" w:bottom="1417" w:left="1587" w:header="851" w:footer="1304" w:gutter="0"/>
          <w:paperSrc/>
          <w:pgNumType w:fmt="decimal"/>
          <w:cols w:space="0" w:num="1"/>
          <w:rtlGutter w:val="1"/>
          <w:docGrid w:type="lines" w:linePitch="324" w:charSpace="0"/>
        </w:sectPr>
      </w:pPr>
    </w:p>
    <w:p>
      <w:pPr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</w:rPr>
        <w:t>附</w:t>
      </w:r>
      <w:r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eastAsia="zh-CN"/>
        </w:rPr>
        <w:t>件</w:t>
      </w:r>
    </w:p>
    <w:p>
      <w:pPr>
        <w:pStyle w:val="2"/>
        <w:jc w:val="center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  <w:t>经开区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工业厂房库房消防安全检查记录表</w:t>
      </w:r>
    </w:p>
    <w:p>
      <w:pPr>
        <w:rPr>
          <w:rFonts w:hint="default"/>
        </w:rPr>
      </w:pPr>
    </w:p>
    <w:tbl>
      <w:tblPr>
        <w:tblStyle w:val="7"/>
        <w:tblW w:w="1410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58"/>
        <w:gridCol w:w="2211"/>
        <w:gridCol w:w="4305"/>
        <w:gridCol w:w="493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26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4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社会统一信用代码（18位）</w:t>
            </w:r>
          </w:p>
        </w:tc>
        <w:tc>
          <w:tcPr>
            <w:tcW w:w="49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软件实现营业执照二维码扫描带出企业全称及社会统一信用代码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是否规上（年营业额2000万以上）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是/否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所属区县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园区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是否与其他厂房共用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是/否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管理单位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  <w:jc w:val="center"/>
        </w:trPr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主要性质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生产/储存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所属类别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食品/汽车/电器/机械/电子/纺织/制衣制鞋/家具/木材/造纸和纸制品/化工/医药/橡胶和塑料制品/电力与燃气/其他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投产时间（年月）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单位列管情况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火灾高危单位、消防安全重点单位、派出所列管单位、一般单位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主要产品名称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主要产品储量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总建筑面积（平米）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最大生产厂房或库房建筑面积（平方米）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厂房数量（座）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库房数量（座）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企业总人数（人）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同一时间车间最大总人数（人）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是否有危化品库房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是/否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最高火灾危险性（危化品库房除外）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甲、乙、丙、丁、戊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消防安全责任人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消防安全责任人手机号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消防安全管理人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消防安全管理人手机号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检查内容</w:t>
            </w:r>
          </w:p>
        </w:tc>
        <w:tc>
          <w:tcPr>
            <w:tcW w:w="6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检查标准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检查情况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  <w:jc w:val="center"/>
        </w:trPr>
        <w:tc>
          <w:tcPr>
            <w:tcW w:w="2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建筑使用性质</w:t>
            </w:r>
          </w:p>
        </w:tc>
        <w:tc>
          <w:tcPr>
            <w:tcW w:w="6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1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建筑是否未经消防验收合格擅自投入使用；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2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是否违规改变建筑使用性质，特别是擅自将丁戊类厂房库房改为丙类及以上厂房库房；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  <w:jc w:val="center"/>
        </w:trPr>
        <w:tc>
          <w:tcPr>
            <w:tcW w:w="2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消防安全管理</w:t>
            </w:r>
          </w:p>
        </w:tc>
        <w:tc>
          <w:tcPr>
            <w:tcW w:w="6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3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是否明确消防安全责任人、管理人；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4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消防控制室人员是否持证上岗；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5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自动消防设施是否按照规定定期维护保养、检测；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6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火灾高危单位是否按规定开展消防安全评估；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7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是否组织开展消防安全培训；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8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是否依法建立专职消防队、微型消防站或志愿消防队，并定期开展灭火疏散演练；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  <w:jc w:val="center"/>
        </w:trPr>
        <w:tc>
          <w:tcPr>
            <w:tcW w:w="2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火灾危险源</w:t>
            </w:r>
          </w:p>
        </w:tc>
        <w:tc>
          <w:tcPr>
            <w:tcW w:w="6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9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电气线路是否存在敷设不规范或私拉乱接的情况；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10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电气设备是否存在违规操作的情况；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11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是否违规存放易燃易爆危险品；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12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是否存在违规施工、违章动火动焊的情况；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13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厂房库房内不同火灾危险性的物品是否按要求分类储存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14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供油、供气设施是否符合要求；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15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铅酸、锂、氢等新能源电池存放方式是否符合规定；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  <w:jc w:val="center"/>
        </w:trPr>
        <w:tc>
          <w:tcPr>
            <w:tcW w:w="2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建筑防火</w:t>
            </w:r>
          </w:p>
        </w:tc>
        <w:tc>
          <w:tcPr>
            <w:tcW w:w="6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16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建筑内防火分隔是否符合要求；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17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疏散通道、疏散楼梯、安全出口、消防车道、消防救援场地是否符合规范要求；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18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疏散通道、疏散楼梯、安全出口、消防车道、消防救援场地是否存在被堵塞或占用的情况；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19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是否存在生产、储存、经营与住宿设置在同一建筑内的“多合一”现象；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20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厂房仓库内是否违规设置办公室、休息室、员工宿舍、中间仓库；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21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是否存在防火间距不足或被占用的情况；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22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是否使用易燃可燃彩钢板搭建建筑；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23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防爆、泄爆措施是否完好有效；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  <w:jc w:val="center"/>
        </w:trPr>
        <w:tc>
          <w:tcPr>
            <w:tcW w:w="2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消防设施</w:t>
            </w:r>
          </w:p>
        </w:tc>
        <w:tc>
          <w:tcPr>
            <w:tcW w:w="6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24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消防水源是否满足规范要求；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25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室内、外消火栓系统是否按规范设置并保持完好有效；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26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火灾自动报警系统是否按规范设置并保持完好有效；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27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自动喷水灭火系统是否按规范设置并保持完好有效；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28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防排烟系统是否按规范设置并保持完好有效；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29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泡沫灭火系统、气体灭火系统等是否按规范设置并保持完好有效；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30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消防应急照明和疏散指示标志是否按规范设置并保持完好有效；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  <w:jc w:val="center"/>
        </w:trPr>
        <w:tc>
          <w:tcPr>
            <w:tcW w:w="2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6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31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灭火器等消防器材配件是否按规范设置并保持完好有效；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6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32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是否存在其他消防安全违法违规行为。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存在问题：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无此类问题：□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不涉及：□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41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025"/>
              </w:tabs>
              <w:snapToGrid w:val="0"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注：现场核查时，需采集下列图片：单位大门、主要生产现场、消防验收意见书、消防维保合同、室内外消火栓压力测试、火灾报警主机、喷淋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lang w:eastAsia="zh-CN"/>
              </w:rPr>
              <w:t>。</w:t>
            </w:r>
          </w:p>
        </w:tc>
      </w:tr>
    </w:tbl>
    <w:p>
      <w:pPr>
        <w:pStyle w:val="4"/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pStyle w:val="4"/>
        <w:rPr>
          <w:rFonts w:hint="default" w:ascii="Times New Roman" w:hAnsi="Times New Roman" w:cs="Times New Roman"/>
        </w:rPr>
        <w:sectPr>
          <w:pgSz w:w="16838" w:h="11906" w:orient="landscape"/>
          <w:pgMar w:top="1417" w:right="1134" w:bottom="1417" w:left="1134" w:header="851" w:footer="1361" w:gutter="0"/>
          <w:paperSrc/>
          <w:pgNumType w:fmt="decimal"/>
          <w:cols w:space="0" w:num="1"/>
          <w:rtlGutter w:val="1"/>
          <w:docGrid w:type="lines" w:linePitch="324" w:charSpace="0"/>
        </w:sect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spacing w:line="120" w:lineRule="exact"/>
        <w:ind w:right="-11"/>
        <w:rPr>
          <w:rFonts w:hint="eastAsia" w:ascii="仿宋_GB2312"/>
          <w:b w:val="0"/>
          <w:bCs w:val="0"/>
          <w:strike/>
          <w:sz w:val="32"/>
          <w:szCs w:val="32"/>
        </w:rPr>
      </w:pPr>
    </w:p>
    <w:p>
      <w:pPr>
        <w:spacing w:line="120" w:lineRule="exact"/>
        <w:ind w:right="-11"/>
        <w:rPr>
          <w:rFonts w:hint="default" w:ascii="仿宋_GB2312"/>
          <w:b w:val="0"/>
          <w:bCs w:val="0"/>
          <w:strike/>
          <w:sz w:val="32"/>
          <w:szCs w:val="32"/>
          <w:lang w:val="en-US"/>
        </w:rPr>
      </w:pPr>
      <w:r>
        <w:rPr>
          <w:rFonts w:hint="eastAsia" w:ascii="仿宋_GB2312"/>
          <w:b w:val="0"/>
          <w:bCs w:val="0"/>
          <w:strike/>
          <w:sz w:val="32"/>
          <w:szCs w:val="32"/>
        </w:rPr>
        <w:t xml:space="preserve">                        </w:t>
      </w:r>
      <w:r>
        <w:rPr>
          <w:rFonts w:hint="eastAsia" w:ascii="仿宋_GB2312"/>
          <w:b w:val="0"/>
          <w:bCs w:val="0"/>
          <w:strike/>
          <w:sz w:val="32"/>
          <w:szCs w:val="32"/>
          <w:lang w:val="en-US" w:eastAsia="zh-CN"/>
        </w:rPr>
        <w:t xml:space="preserve"> </w:t>
      </w:r>
      <w:r>
        <w:rPr>
          <w:rFonts w:hint="eastAsia" w:ascii="仿宋_GB2312"/>
          <w:b w:val="0"/>
          <w:bCs w:val="0"/>
          <w:strike/>
          <w:sz w:val="32"/>
          <w:szCs w:val="32"/>
        </w:rPr>
        <w:t xml:space="preserve">                  </w:t>
      </w:r>
      <w:r>
        <w:rPr>
          <w:rFonts w:hint="eastAsia" w:ascii="仿宋_GB2312"/>
          <w:b w:val="0"/>
          <w:bCs w:val="0"/>
          <w:strike/>
          <w:sz w:val="32"/>
          <w:szCs w:val="32"/>
          <w:lang w:val="en-US" w:eastAsia="zh-CN"/>
        </w:rPr>
        <w:t xml:space="preserve"> </w:t>
      </w:r>
      <w:r>
        <w:rPr>
          <w:rFonts w:hint="eastAsia" w:ascii="仿宋_GB2312"/>
          <w:b w:val="0"/>
          <w:bCs w:val="0"/>
          <w:strike/>
          <w:sz w:val="32"/>
          <w:szCs w:val="32"/>
        </w:rPr>
        <w:t xml:space="preserve">        </w:t>
      </w:r>
      <w:r>
        <w:rPr>
          <w:rFonts w:hint="eastAsia" w:ascii="仿宋_GB2312"/>
          <w:b w:val="0"/>
          <w:bCs w:val="0"/>
          <w:strike/>
          <w:sz w:val="32"/>
          <w:szCs w:val="32"/>
          <w:lang w:val="en-US" w:eastAsia="zh-CN"/>
        </w:rPr>
        <w:t xml:space="preserve">    </w:t>
      </w:r>
    </w:p>
    <w:p>
      <w:pPr>
        <w:widowControl w:val="0"/>
        <w:wordWrap/>
        <w:adjustRightInd/>
        <w:snapToGrid/>
        <w:spacing w:line="500" w:lineRule="exact"/>
        <w:ind w:left="0" w:leftChars="0" w:right="-11" w:firstLine="280" w:firstLineChars="1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 xml:space="preserve">万州经济技术开发区办公室   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  <w:t xml:space="preserve">      </w:t>
      </w:r>
      <w:r>
        <w:rPr>
          <w:rFonts w:hint="eastAsia" w:ascii="方正仿宋_GBK" w:hAnsi="方正仿宋_GBK" w:cs="方正仿宋_GBK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 xml:space="preserve"> 20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>年</w:t>
      </w:r>
      <w:r>
        <w:rPr>
          <w:rFonts w:hint="eastAsia" w:ascii="方正仿宋_GBK" w:hAnsi="方正仿宋_GBK" w:cs="方正仿宋_GBK"/>
          <w:b w:val="0"/>
          <w:bCs w:val="0"/>
          <w:sz w:val="28"/>
          <w:szCs w:val="28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</w:rPr>
        <w:t>日印发</w:t>
      </w:r>
    </w:p>
    <w:p>
      <w:pPr>
        <w:spacing w:line="120" w:lineRule="exact"/>
        <w:ind w:right="-11"/>
        <w:rPr>
          <w:rFonts w:hint="default" w:ascii="Times New Roman" w:hAnsi="Times New Roman" w:eastAsia="宋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/>
          <w:b w:val="0"/>
          <w:bCs w:val="0"/>
          <w:strike/>
          <w:sz w:val="32"/>
          <w:szCs w:val="32"/>
        </w:rPr>
        <w:t xml:space="preserve">                                                      </w:t>
      </w:r>
      <w:r>
        <w:rPr>
          <w:rFonts w:hint="eastAsia" w:ascii="仿宋_GB2312"/>
          <w:b w:val="0"/>
          <w:bCs w:val="0"/>
          <w:strike/>
          <w:sz w:val="32"/>
          <w:szCs w:val="32"/>
          <w:lang w:val="en-US" w:eastAsia="zh-CN"/>
        </w:rPr>
        <w:t xml:space="preserve">  </w:t>
      </w:r>
    </w:p>
    <w:sectPr>
      <w:pgSz w:w="11906" w:h="16838"/>
      <w:pgMar w:top="1417" w:right="1474" w:bottom="1417" w:left="1587" w:header="851" w:footer="1361" w:gutter="0"/>
      <w:paperSrc/>
      <w:pgNumType w:fmt="decimal"/>
      <w:cols w:space="0" w:num="1"/>
      <w:rtlGutter w:val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60405020304"/>
    <w:charset w:val="00"/>
    <w:family w:val="roman"/>
    <w:pitch w:val="default"/>
    <w:sig w:usb0="00000000" w:usb1="00000000" w:usb2="00000000" w:usb3="00000000" w:csb0="00000093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kern w:val="0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kern w:val="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kern w:val="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kern w:val="0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GVLeOMoBAAB5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wordWrap w:val="0"/>
                      <w:jc w:val="right"/>
                    </w:pPr>
                    <w:r>
                      <w:rPr>
                        <w:rFonts w:hint="eastAsia"/>
                        <w:kern w:val="0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kern w:val="0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kern w:val="0"/>
                        <w:sz w:val="28"/>
                        <w:szCs w:val="28"/>
                      </w:rPr>
                      <w:t>1</w:t>
                    </w:r>
                    <w:r>
                      <w:rPr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kern w:val="0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kern w:val="0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180" w:firstLineChars="100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firstLine="280" w:firstLineChars="100"/>
                            <w:jc w:val="both"/>
                          </w:pPr>
                          <w:r>
                            <w:rPr>
                              <w:rFonts w:hint="eastAsia"/>
                              <w:kern w:val="0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kern w:val="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kern w:val="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kern w:val="0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AeUWf3LAQAAe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280" w:firstLineChars="100"/>
                      <w:jc w:val="both"/>
                    </w:pPr>
                    <w:r>
                      <w:rPr>
                        <w:rFonts w:hint="eastAsia"/>
                        <w:kern w:val="0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kern w:val="0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kern w:val="0"/>
                        <w:sz w:val="28"/>
                        <w:szCs w:val="28"/>
                      </w:rPr>
                      <w:t>2</w:t>
                    </w:r>
                    <w:r>
                      <w:rPr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kern w:val="0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kern w:val="0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VerticalSpacing w:val="162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23692"/>
    <w:rsid w:val="00010FFE"/>
    <w:rsid w:val="00055186"/>
    <w:rsid w:val="000F7BD6"/>
    <w:rsid w:val="00203BBC"/>
    <w:rsid w:val="0023719E"/>
    <w:rsid w:val="002479C6"/>
    <w:rsid w:val="00284852"/>
    <w:rsid w:val="002B52B8"/>
    <w:rsid w:val="002F15B4"/>
    <w:rsid w:val="00376A9B"/>
    <w:rsid w:val="003C7D5D"/>
    <w:rsid w:val="003E1F8A"/>
    <w:rsid w:val="004858E5"/>
    <w:rsid w:val="004D297B"/>
    <w:rsid w:val="005D49BB"/>
    <w:rsid w:val="00841298"/>
    <w:rsid w:val="00874FF4"/>
    <w:rsid w:val="009233F7"/>
    <w:rsid w:val="009E1F41"/>
    <w:rsid w:val="009F5D24"/>
    <w:rsid w:val="00B03121"/>
    <w:rsid w:val="00B87428"/>
    <w:rsid w:val="00C51F45"/>
    <w:rsid w:val="00C713EE"/>
    <w:rsid w:val="00C73634"/>
    <w:rsid w:val="00CC73FD"/>
    <w:rsid w:val="00CE422E"/>
    <w:rsid w:val="00D3557A"/>
    <w:rsid w:val="00E055B2"/>
    <w:rsid w:val="00E876AE"/>
    <w:rsid w:val="00EC340D"/>
    <w:rsid w:val="00F13BE8"/>
    <w:rsid w:val="00FB00C9"/>
    <w:rsid w:val="00FE191B"/>
    <w:rsid w:val="01040823"/>
    <w:rsid w:val="01301981"/>
    <w:rsid w:val="01651D54"/>
    <w:rsid w:val="01A60F01"/>
    <w:rsid w:val="03011044"/>
    <w:rsid w:val="03653DF5"/>
    <w:rsid w:val="04AB4276"/>
    <w:rsid w:val="04E81283"/>
    <w:rsid w:val="05174FE9"/>
    <w:rsid w:val="05576A3A"/>
    <w:rsid w:val="0560526E"/>
    <w:rsid w:val="070001D5"/>
    <w:rsid w:val="07600B1A"/>
    <w:rsid w:val="07B1591E"/>
    <w:rsid w:val="09315CF8"/>
    <w:rsid w:val="0943723F"/>
    <w:rsid w:val="09715BD5"/>
    <w:rsid w:val="09EB697E"/>
    <w:rsid w:val="0B495CD0"/>
    <w:rsid w:val="0D340136"/>
    <w:rsid w:val="10814A63"/>
    <w:rsid w:val="11F76891"/>
    <w:rsid w:val="1265169F"/>
    <w:rsid w:val="12E042FF"/>
    <w:rsid w:val="14293D96"/>
    <w:rsid w:val="15D964DB"/>
    <w:rsid w:val="172B2EFA"/>
    <w:rsid w:val="176A32F8"/>
    <w:rsid w:val="17DA0D97"/>
    <w:rsid w:val="18252943"/>
    <w:rsid w:val="18444175"/>
    <w:rsid w:val="1902375A"/>
    <w:rsid w:val="198C4E4C"/>
    <w:rsid w:val="1A233455"/>
    <w:rsid w:val="1AAA1EE8"/>
    <w:rsid w:val="1B05334D"/>
    <w:rsid w:val="1B9464BB"/>
    <w:rsid w:val="1BD05536"/>
    <w:rsid w:val="1BFF6F22"/>
    <w:rsid w:val="1CC67254"/>
    <w:rsid w:val="1CFF1EEA"/>
    <w:rsid w:val="1DE020B1"/>
    <w:rsid w:val="1E0D480C"/>
    <w:rsid w:val="1EE71BBA"/>
    <w:rsid w:val="20265CE7"/>
    <w:rsid w:val="20493D6B"/>
    <w:rsid w:val="22462617"/>
    <w:rsid w:val="22A253C2"/>
    <w:rsid w:val="23946D88"/>
    <w:rsid w:val="240E133F"/>
    <w:rsid w:val="252B193B"/>
    <w:rsid w:val="25813DD3"/>
    <w:rsid w:val="26EF6F94"/>
    <w:rsid w:val="27E9292D"/>
    <w:rsid w:val="283868D7"/>
    <w:rsid w:val="284224FE"/>
    <w:rsid w:val="28D52FE4"/>
    <w:rsid w:val="29352116"/>
    <w:rsid w:val="29D95899"/>
    <w:rsid w:val="29DB4B35"/>
    <w:rsid w:val="2A0A5B7D"/>
    <w:rsid w:val="2AEC5121"/>
    <w:rsid w:val="2AF57272"/>
    <w:rsid w:val="2B0B7396"/>
    <w:rsid w:val="2B1E6AD7"/>
    <w:rsid w:val="2B50488D"/>
    <w:rsid w:val="2B521D96"/>
    <w:rsid w:val="2BD56DD0"/>
    <w:rsid w:val="2C6032A4"/>
    <w:rsid w:val="2D5644A8"/>
    <w:rsid w:val="2D72343A"/>
    <w:rsid w:val="2E3B7829"/>
    <w:rsid w:val="2FF528F9"/>
    <w:rsid w:val="306E18CC"/>
    <w:rsid w:val="313E6537"/>
    <w:rsid w:val="317F6C4B"/>
    <w:rsid w:val="32042485"/>
    <w:rsid w:val="33B65662"/>
    <w:rsid w:val="34925A75"/>
    <w:rsid w:val="34966B9D"/>
    <w:rsid w:val="37E10A4B"/>
    <w:rsid w:val="38AA7DD2"/>
    <w:rsid w:val="38F73FB4"/>
    <w:rsid w:val="39660394"/>
    <w:rsid w:val="39CF38F6"/>
    <w:rsid w:val="3A031317"/>
    <w:rsid w:val="3A385467"/>
    <w:rsid w:val="3A3E7B00"/>
    <w:rsid w:val="3B967E12"/>
    <w:rsid w:val="3DF16815"/>
    <w:rsid w:val="3EEB11FD"/>
    <w:rsid w:val="4035639E"/>
    <w:rsid w:val="404C7B3F"/>
    <w:rsid w:val="40D230CA"/>
    <w:rsid w:val="40F20A0B"/>
    <w:rsid w:val="413D0CFB"/>
    <w:rsid w:val="41A70463"/>
    <w:rsid w:val="41F52AEA"/>
    <w:rsid w:val="4288718A"/>
    <w:rsid w:val="468725D9"/>
    <w:rsid w:val="476B5DE4"/>
    <w:rsid w:val="478D20AB"/>
    <w:rsid w:val="481055AA"/>
    <w:rsid w:val="48F74FC4"/>
    <w:rsid w:val="490B02C6"/>
    <w:rsid w:val="49B71C03"/>
    <w:rsid w:val="4A846592"/>
    <w:rsid w:val="4AB04AE4"/>
    <w:rsid w:val="4AB267DC"/>
    <w:rsid w:val="4AE91505"/>
    <w:rsid w:val="4B1E66B3"/>
    <w:rsid w:val="4B335047"/>
    <w:rsid w:val="4BA9308A"/>
    <w:rsid w:val="4CA56C6E"/>
    <w:rsid w:val="4CDC596E"/>
    <w:rsid w:val="4DF32EEC"/>
    <w:rsid w:val="4E86528F"/>
    <w:rsid w:val="4F9865A6"/>
    <w:rsid w:val="4FB52542"/>
    <w:rsid w:val="52266F29"/>
    <w:rsid w:val="548C2F96"/>
    <w:rsid w:val="55820D8F"/>
    <w:rsid w:val="5690722D"/>
    <w:rsid w:val="56C21DC6"/>
    <w:rsid w:val="576C01CC"/>
    <w:rsid w:val="577832FF"/>
    <w:rsid w:val="58C32751"/>
    <w:rsid w:val="58E04FA2"/>
    <w:rsid w:val="596C6DB3"/>
    <w:rsid w:val="5A814800"/>
    <w:rsid w:val="5ABE408F"/>
    <w:rsid w:val="5BBC3093"/>
    <w:rsid w:val="5CDF6E79"/>
    <w:rsid w:val="5D155BEB"/>
    <w:rsid w:val="5ED365D4"/>
    <w:rsid w:val="5ED871A1"/>
    <w:rsid w:val="5F23462C"/>
    <w:rsid w:val="5FAB5624"/>
    <w:rsid w:val="60317619"/>
    <w:rsid w:val="603A255C"/>
    <w:rsid w:val="6096246D"/>
    <w:rsid w:val="61273356"/>
    <w:rsid w:val="618472F9"/>
    <w:rsid w:val="62750B8B"/>
    <w:rsid w:val="637F22C7"/>
    <w:rsid w:val="64521C35"/>
    <w:rsid w:val="64C2567E"/>
    <w:rsid w:val="66AC5980"/>
    <w:rsid w:val="67465623"/>
    <w:rsid w:val="68423692"/>
    <w:rsid w:val="684F4580"/>
    <w:rsid w:val="68A92C5D"/>
    <w:rsid w:val="690F298A"/>
    <w:rsid w:val="6A1265A6"/>
    <w:rsid w:val="6A6E2B13"/>
    <w:rsid w:val="6ABE6039"/>
    <w:rsid w:val="6AC5441B"/>
    <w:rsid w:val="6AE60A63"/>
    <w:rsid w:val="6D9800FD"/>
    <w:rsid w:val="6FF77356"/>
    <w:rsid w:val="70632B07"/>
    <w:rsid w:val="74CD6587"/>
    <w:rsid w:val="75897B82"/>
    <w:rsid w:val="75C12548"/>
    <w:rsid w:val="775F4AED"/>
    <w:rsid w:val="77F34CA7"/>
    <w:rsid w:val="7A201D66"/>
    <w:rsid w:val="7B7C4DD9"/>
    <w:rsid w:val="7BDD0C97"/>
    <w:rsid w:val="7BFD7018"/>
    <w:rsid w:val="7C211A1A"/>
    <w:rsid w:val="7CB26F8B"/>
    <w:rsid w:val="7E13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99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locked/>
    <w:uiPriority w:val="39"/>
    <w:pPr>
      <w:widowControl w:val="0"/>
      <w:jc w:val="both"/>
    </w:pPr>
    <w:rPr>
      <w:rFonts w:ascii="Times" w:hAnsi="Times" w:eastAsia="方正仿宋_GBK" w:cs="Times New Roman"/>
      <w:sz w:val="32"/>
      <w:szCs w:val="24"/>
      <w:lang w:val="en-US" w:eastAsia="zh-CN" w:bidi="ar-SA"/>
    </w:rPr>
  </w:style>
  <w:style w:type="paragraph" w:styleId="4">
    <w:name w:val="Body Text"/>
    <w:basedOn w:val="1"/>
    <w:link w:val="12"/>
    <w:qFormat/>
    <w:uiPriority w:val="99"/>
    <w:pPr>
      <w:spacing w:line="240" w:lineRule="atLeast"/>
    </w:pPr>
    <w:rPr>
      <w:szCs w:val="20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Heading 1 Char"/>
    <w:basedOn w:val="8"/>
    <w:link w:val="3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2">
    <w:name w:val="Body Text Char"/>
    <w:basedOn w:val="8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13">
    <w:name w:val="Footer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8"/>
    <w:link w:val="6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user\C:\Users\Administrator\AppData\Roaming\kingsoft\office6\templates\wps\zh_CN\&#19975;&#24030;&#24220;&#21150;&#2145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万州府办发</Template>
  <Pages>34</Pages>
  <Words>2637</Words>
  <Characters>15036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2021-07-05T17:06:00Z</dcterms:created>
  <dc:creator>Administrator</dc:creator>
  <cp:lastModifiedBy>Administrator</cp:lastModifiedBy>
  <cp:lastPrinted>2021-07-13T01:34:00Z</cp:lastPrinted>
  <dcterms:modified xsi:type="dcterms:W3CDTF">2021-07-16T01:36:32Z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KSOSaveFontToCloudKey">
    <vt:lpwstr>441603326_btnclosed</vt:lpwstr>
  </property>
  <property fmtid="{D5CDD505-2E9C-101B-9397-08002B2CF9AE}" pid="4" name="ICV">
    <vt:lpwstr>0425636AB9BA4E4DA4AD2B5BB342CC18</vt:lpwstr>
  </property>
</Properties>
</file>