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447A3BC">
      <w:pPr>
        <w:tabs>
          <w:tab w:val="left" w:pos="0"/>
        </w:tabs>
        <w:jc w:val="center"/>
        <w:rPr>
          <w:rFonts w:hint="eastAsia" w:ascii="方正仿宋_GBK" w:hAnsi="宋体" w:eastAsia="方正仿宋_GBK"/>
          <w:b/>
          <w:bCs/>
          <w:color w:val="auto"/>
          <w:sz w:val="32"/>
          <w:szCs w:val="36"/>
          <w:highlight w:val="none"/>
          <w:lang w:val="en-US" w:eastAsia="zh-CN"/>
        </w:rPr>
      </w:pPr>
      <w:r>
        <w:rPr>
          <w:rFonts w:hint="eastAsia" w:ascii="方正仿宋_GBK" w:hAnsi="宋体" w:eastAsia="方正仿宋_GBK"/>
          <w:b/>
          <w:bCs/>
          <w:color w:val="auto"/>
          <w:sz w:val="32"/>
          <w:szCs w:val="36"/>
          <w:highlight w:val="none"/>
          <w:lang w:val="en-US" w:eastAsia="zh-CN"/>
        </w:rPr>
        <w:t>重庆市万州第二高级中学高峰校区学生宿舍建设项目</w:t>
      </w:r>
    </w:p>
    <w:p w14:paraId="49E83277">
      <w:pPr>
        <w:tabs>
          <w:tab w:val="left" w:pos="0"/>
        </w:tabs>
        <w:jc w:val="center"/>
        <w:rPr>
          <w:rFonts w:ascii="方正仿宋_GBK" w:hAnsi="宋体" w:eastAsia="方正仿宋_GBK"/>
          <w:b/>
          <w:bCs/>
          <w:color w:val="auto"/>
          <w:sz w:val="32"/>
          <w:szCs w:val="36"/>
          <w:highlight w:val="none"/>
        </w:rPr>
      </w:pPr>
      <w:r>
        <w:rPr>
          <w:rFonts w:hint="eastAsia" w:ascii="方正仿宋_GBK" w:hAnsi="宋体" w:eastAsia="方正仿宋_GBK"/>
          <w:b/>
          <w:bCs/>
          <w:color w:val="auto"/>
          <w:sz w:val="32"/>
          <w:szCs w:val="36"/>
          <w:highlight w:val="none"/>
        </w:rPr>
        <w:t>采购防火门、</w:t>
      </w:r>
      <w:r>
        <w:rPr>
          <w:rFonts w:hint="eastAsia" w:ascii="方正仿宋_GBK" w:hAnsi="宋体" w:eastAsia="方正仿宋_GBK"/>
          <w:b/>
          <w:bCs/>
          <w:color w:val="auto"/>
          <w:sz w:val="32"/>
          <w:szCs w:val="36"/>
          <w:highlight w:val="none"/>
          <w:lang w:val="en-US" w:eastAsia="zh-CN"/>
        </w:rPr>
        <w:t>成品木门扇、钢质门</w:t>
      </w:r>
    </w:p>
    <w:p w14:paraId="720F9885">
      <w:pPr>
        <w:adjustRightInd w:val="0"/>
        <w:snapToGrid w:val="0"/>
        <w:spacing w:line="360" w:lineRule="auto"/>
        <w:jc w:val="center"/>
        <w:rPr>
          <w:rFonts w:ascii="方正仿宋_GBK" w:hAnsi="黑体" w:eastAsia="方正仿宋_GBK" w:cs="宋体"/>
          <w:b/>
          <w:bCs/>
          <w:color w:val="auto"/>
          <w:kern w:val="0"/>
          <w:sz w:val="52"/>
          <w:szCs w:val="21"/>
          <w:highlight w:val="none"/>
        </w:rPr>
      </w:pPr>
    </w:p>
    <w:p w14:paraId="6170FFAA">
      <w:pPr>
        <w:adjustRightInd w:val="0"/>
        <w:snapToGrid w:val="0"/>
        <w:spacing w:line="360" w:lineRule="auto"/>
        <w:jc w:val="center"/>
        <w:rPr>
          <w:rFonts w:ascii="方正仿宋_GBK" w:hAnsi="黑体" w:eastAsia="方正仿宋_GBK" w:cs="宋体"/>
          <w:b/>
          <w:bCs/>
          <w:color w:val="auto"/>
          <w:kern w:val="0"/>
          <w:sz w:val="52"/>
          <w:szCs w:val="21"/>
          <w:highlight w:val="none"/>
        </w:rPr>
      </w:pPr>
    </w:p>
    <w:p w14:paraId="1B1F1DDF">
      <w:pPr>
        <w:adjustRightInd w:val="0"/>
        <w:snapToGrid w:val="0"/>
        <w:spacing w:line="360" w:lineRule="auto"/>
        <w:jc w:val="center"/>
        <w:rPr>
          <w:rFonts w:ascii="方正仿宋_GBK" w:hAnsi="黑体" w:eastAsia="方正仿宋_GBK" w:cs="宋体"/>
          <w:b/>
          <w:bCs/>
          <w:color w:val="auto"/>
          <w:kern w:val="0"/>
          <w:sz w:val="52"/>
          <w:szCs w:val="21"/>
          <w:highlight w:val="none"/>
        </w:rPr>
      </w:pPr>
    </w:p>
    <w:p w14:paraId="38B3B48A">
      <w:pPr>
        <w:tabs>
          <w:tab w:val="left" w:pos="0"/>
        </w:tabs>
        <w:jc w:val="center"/>
        <w:rPr>
          <w:rFonts w:ascii="方正仿宋_GBK" w:hAnsi="宋体" w:eastAsia="方正仿宋_GBK"/>
          <w:b/>
          <w:bCs/>
          <w:color w:val="auto"/>
          <w:sz w:val="32"/>
          <w:szCs w:val="36"/>
          <w:highlight w:val="none"/>
        </w:rPr>
      </w:pPr>
      <w:r>
        <w:rPr>
          <w:rFonts w:hint="eastAsia" w:ascii="方正仿宋_GBK" w:hAnsi="宋体" w:eastAsia="方正仿宋_GBK"/>
          <w:b/>
          <w:bCs/>
          <w:color w:val="auto"/>
          <w:sz w:val="32"/>
          <w:szCs w:val="36"/>
          <w:highlight w:val="none"/>
        </w:rPr>
        <w:t>比选文件</w:t>
      </w:r>
    </w:p>
    <w:p w14:paraId="306D72D1">
      <w:pPr>
        <w:adjustRightInd w:val="0"/>
        <w:snapToGrid w:val="0"/>
        <w:spacing w:line="360" w:lineRule="auto"/>
        <w:jc w:val="center"/>
        <w:rPr>
          <w:rFonts w:ascii="方正仿宋_GBK" w:hAnsi="宋体" w:eastAsia="方正仿宋_GBK"/>
          <w:b/>
          <w:bCs/>
          <w:color w:val="auto"/>
          <w:sz w:val="32"/>
          <w:szCs w:val="36"/>
          <w:highlight w:val="none"/>
        </w:rPr>
      </w:pPr>
    </w:p>
    <w:p w14:paraId="321C5B3F">
      <w:pPr>
        <w:adjustRightInd w:val="0"/>
        <w:snapToGrid w:val="0"/>
        <w:spacing w:line="360" w:lineRule="auto"/>
        <w:jc w:val="center"/>
        <w:rPr>
          <w:rFonts w:ascii="方正仿宋_GBK" w:hAnsi="宋体" w:eastAsia="方正仿宋_GBK" w:cs="宋体"/>
          <w:b/>
          <w:bCs/>
          <w:color w:val="auto"/>
          <w:kern w:val="0"/>
          <w:sz w:val="48"/>
          <w:szCs w:val="21"/>
          <w:highlight w:val="none"/>
        </w:rPr>
      </w:pPr>
    </w:p>
    <w:p w14:paraId="16B5A3AF">
      <w:pPr>
        <w:adjustRightInd w:val="0"/>
        <w:snapToGrid w:val="0"/>
        <w:spacing w:line="360" w:lineRule="auto"/>
        <w:jc w:val="center"/>
        <w:rPr>
          <w:rFonts w:ascii="方正仿宋_GBK" w:hAnsi="宋体" w:eastAsia="方正仿宋_GBK" w:cs="宋体"/>
          <w:b/>
          <w:bCs/>
          <w:color w:val="auto"/>
          <w:kern w:val="0"/>
          <w:sz w:val="48"/>
          <w:szCs w:val="21"/>
          <w:highlight w:val="none"/>
        </w:rPr>
      </w:pPr>
    </w:p>
    <w:p w14:paraId="557A7B9C">
      <w:pPr>
        <w:adjustRightInd w:val="0"/>
        <w:snapToGrid w:val="0"/>
        <w:spacing w:line="360" w:lineRule="auto"/>
        <w:jc w:val="center"/>
        <w:rPr>
          <w:rFonts w:ascii="方正仿宋_GBK" w:hAnsi="宋体" w:eastAsia="方正仿宋_GBK" w:cs="宋体"/>
          <w:b/>
          <w:bCs/>
          <w:color w:val="auto"/>
          <w:kern w:val="0"/>
          <w:sz w:val="32"/>
          <w:highlight w:val="none"/>
        </w:rPr>
      </w:pPr>
      <w:r>
        <w:rPr>
          <w:rFonts w:hint="eastAsia" w:ascii="方正仿宋_GBK" w:hAnsi="宋体" w:eastAsia="方正仿宋_GBK" w:cs="宋体"/>
          <w:b/>
          <w:bCs/>
          <w:color w:val="auto"/>
          <w:kern w:val="0"/>
          <w:sz w:val="32"/>
          <w:highlight w:val="none"/>
        </w:rPr>
        <w:t>比选人：重庆市玉罗实业有限公司</w:t>
      </w:r>
    </w:p>
    <w:p w14:paraId="76F2B0A6">
      <w:pPr>
        <w:adjustRightInd w:val="0"/>
        <w:snapToGrid w:val="0"/>
        <w:spacing w:line="360" w:lineRule="auto"/>
        <w:jc w:val="center"/>
        <w:rPr>
          <w:rFonts w:ascii="方正仿宋_GBK" w:hAnsi="宋体" w:eastAsia="方正仿宋_GBK" w:cs="宋体"/>
          <w:b/>
          <w:bCs/>
          <w:color w:val="auto"/>
          <w:kern w:val="0"/>
          <w:sz w:val="32"/>
          <w:highlight w:val="none"/>
        </w:rPr>
      </w:pPr>
      <w:r>
        <w:rPr>
          <w:rFonts w:hint="eastAsia" w:ascii="方正仿宋_GBK" w:hAnsi="宋体" w:eastAsia="方正仿宋_GBK" w:cs="宋体"/>
          <w:b/>
          <w:bCs/>
          <w:color w:val="auto"/>
          <w:kern w:val="0"/>
          <w:sz w:val="32"/>
          <w:highlight w:val="none"/>
        </w:rPr>
        <w:t xml:space="preserve">      202</w:t>
      </w:r>
      <w:r>
        <w:rPr>
          <w:rFonts w:hint="eastAsia" w:ascii="方正仿宋_GBK" w:hAnsi="宋体" w:eastAsia="方正仿宋_GBK" w:cs="宋体"/>
          <w:b/>
          <w:bCs/>
          <w:color w:val="auto"/>
          <w:kern w:val="0"/>
          <w:sz w:val="32"/>
          <w:highlight w:val="none"/>
          <w:lang w:val="en-US" w:eastAsia="zh-CN"/>
        </w:rPr>
        <w:t>5</w:t>
      </w:r>
      <w:r>
        <w:rPr>
          <w:rFonts w:hint="eastAsia" w:ascii="方正仿宋_GBK" w:hAnsi="宋体" w:eastAsia="方正仿宋_GBK" w:cs="宋体"/>
          <w:b/>
          <w:bCs/>
          <w:color w:val="auto"/>
          <w:kern w:val="0"/>
          <w:sz w:val="32"/>
          <w:highlight w:val="none"/>
        </w:rPr>
        <w:t>年</w:t>
      </w:r>
      <w:r>
        <w:rPr>
          <w:rFonts w:hint="eastAsia" w:ascii="方正仿宋_GBK" w:hAnsi="宋体" w:eastAsia="方正仿宋_GBK" w:cs="宋体"/>
          <w:b/>
          <w:bCs/>
          <w:color w:val="auto"/>
          <w:kern w:val="0"/>
          <w:sz w:val="32"/>
          <w:highlight w:val="none"/>
          <w:lang w:val="en-US" w:eastAsia="zh-CN"/>
        </w:rPr>
        <w:t>9</w:t>
      </w:r>
      <w:r>
        <w:rPr>
          <w:rFonts w:hint="eastAsia" w:ascii="方正仿宋_GBK" w:hAnsi="宋体" w:eastAsia="方正仿宋_GBK" w:cs="宋体"/>
          <w:b/>
          <w:bCs/>
          <w:color w:val="auto"/>
          <w:kern w:val="0"/>
          <w:sz w:val="32"/>
          <w:highlight w:val="none"/>
        </w:rPr>
        <w:t>月</w:t>
      </w:r>
      <w:r>
        <w:rPr>
          <w:rFonts w:hint="eastAsia" w:ascii="方正仿宋_GBK" w:hAnsi="宋体" w:eastAsia="方正仿宋_GBK" w:cs="宋体"/>
          <w:b/>
          <w:bCs/>
          <w:color w:val="auto"/>
          <w:kern w:val="0"/>
          <w:sz w:val="32"/>
          <w:highlight w:val="none"/>
          <w:lang w:val="en-US" w:eastAsia="zh-CN"/>
        </w:rPr>
        <w:t>16</w:t>
      </w:r>
      <w:r>
        <w:rPr>
          <w:rFonts w:hint="eastAsia" w:ascii="方正仿宋_GBK" w:hAnsi="宋体" w:eastAsia="方正仿宋_GBK" w:cs="宋体"/>
          <w:b/>
          <w:bCs/>
          <w:color w:val="auto"/>
          <w:kern w:val="0"/>
          <w:sz w:val="32"/>
          <w:highlight w:val="none"/>
        </w:rPr>
        <w:t>日</w:t>
      </w:r>
    </w:p>
    <w:p w14:paraId="55BFB8B9">
      <w:pPr>
        <w:adjustRightInd w:val="0"/>
        <w:snapToGrid w:val="0"/>
        <w:spacing w:line="360" w:lineRule="auto"/>
        <w:jc w:val="center"/>
        <w:rPr>
          <w:rFonts w:ascii="方正仿宋_GBK" w:hAnsi="宋体" w:eastAsia="方正仿宋_GBK" w:cs="宋体"/>
          <w:b/>
          <w:bCs/>
          <w:color w:val="auto"/>
          <w:kern w:val="0"/>
          <w:sz w:val="36"/>
          <w:highlight w:val="none"/>
        </w:rPr>
      </w:pPr>
    </w:p>
    <w:p w14:paraId="6AB3B7F1">
      <w:pPr>
        <w:adjustRightInd w:val="0"/>
        <w:snapToGrid w:val="0"/>
        <w:spacing w:line="360" w:lineRule="auto"/>
        <w:rPr>
          <w:rFonts w:ascii="方正仿宋_GBK" w:hAnsi="宋体" w:eastAsia="方正仿宋_GBK" w:cs="宋体"/>
          <w:b/>
          <w:bCs/>
          <w:color w:val="auto"/>
          <w:kern w:val="0"/>
          <w:sz w:val="36"/>
          <w:highlight w:val="none"/>
        </w:rPr>
      </w:pPr>
    </w:p>
    <w:p w14:paraId="3DDF250D">
      <w:pPr>
        <w:adjustRightInd w:val="0"/>
        <w:snapToGrid w:val="0"/>
        <w:spacing w:line="360" w:lineRule="auto"/>
        <w:jc w:val="center"/>
        <w:rPr>
          <w:rFonts w:ascii="方正仿宋_GBK" w:hAnsi="宋体" w:eastAsia="方正仿宋_GBK" w:cs="宋体"/>
          <w:b/>
          <w:bCs/>
          <w:color w:val="auto"/>
          <w:kern w:val="0"/>
          <w:sz w:val="36"/>
          <w:highlight w:val="none"/>
        </w:rPr>
      </w:pPr>
    </w:p>
    <w:p w14:paraId="4E951774">
      <w:pPr>
        <w:adjustRightInd w:val="0"/>
        <w:snapToGrid w:val="0"/>
        <w:spacing w:line="360" w:lineRule="auto"/>
        <w:jc w:val="center"/>
        <w:rPr>
          <w:rFonts w:ascii="方正仿宋_GBK" w:hAnsi="宋体" w:eastAsia="方正仿宋_GBK" w:cs="宋体"/>
          <w:b/>
          <w:bCs/>
          <w:color w:val="auto"/>
          <w:kern w:val="0"/>
          <w:sz w:val="36"/>
          <w:highlight w:val="none"/>
        </w:rPr>
      </w:pPr>
    </w:p>
    <w:p w14:paraId="70B908D2">
      <w:pPr>
        <w:adjustRightInd w:val="0"/>
        <w:snapToGrid w:val="0"/>
        <w:spacing w:line="360" w:lineRule="auto"/>
        <w:jc w:val="center"/>
        <w:rPr>
          <w:rFonts w:ascii="方正仿宋_GBK" w:hAnsi="宋体" w:eastAsia="方正仿宋_GBK" w:cs="宋体"/>
          <w:b/>
          <w:bCs/>
          <w:color w:val="auto"/>
          <w:kern w:val="0"/>
          <w:sz w:val="36"/>
          <w:highlight w:val="none"/>
        </w:rPr>
      </w:pPr>
    </w:p>
    <w:p w14:paraId="63EB44CE">
      <w:pPr>
        <w:adjustRightInd w:val="0"/>
        <w:snapToGrid w:val="0"/>
        <w:spacing w:line="360" w:lineRule="auto"/>
        <w:jc w:val="center"/>
        <w:rPr>
          <w:rFonts w:ascii="方正仿宋_GBK" w:hAnsi="宋体" w:eastAsia="方正仿宋_GBK" w:cs="宋体"/>
          <w:b/>
          <w:bCs/>
          <w:color w:val="auto"/>
          <w:kern w:val="0"/>
          <w:sz w:val="36"/>
          <w:highlight w:val="none"/>
        </w:rPr>
      </w:pPr>
    </w:p>
    <w:p w14:paraId="75917B79">
      <w:pPr>
        <w:adjustRightInd w:val="0"/>
        <w:snapToGrid w:val="0"/>
        <w:spacing w:line="360" w:lineRule="auto"/>
        <w:jc w:val="center"/>
        <w:rPr>
          <w:rFonts w:ascii="方正仿宋_GBK" w:hAnsi="宋体" w:eastAsia="方正仿宋_GBK" w:cs="宋体"/>
          <w:color w:val="auto"/>
          <w:kern w:val="0"/>
          <w:sz w:val="28"/>
          <w:highlight w:val="none"/>
        </w:rPr>
      </w:pPr>
      <w:r>
        <w:rPr>
          <w:rFonts w:hint="eastAsia" w:ascii="方正仿宋_GBK" w:hAnsi="宋体" w:eastAsia="方正仿宋_GBK" w:cs="宋体"/>
          <w:b/>
          <w:bCs/>
          <w:color w:val="auto"/>
          <w:kern w:val="0"/>
          <w:sz w:val="36"/>
          <w:highlight w:val="none"/>
        </w:rPr>
        <w:t>目   录</w:t>
      </w:r>
    </w:p>
    <w:p w14:paraId="5C73801D">
      <w:pPr>
        <w:tabs>
          <w:tab w:val="left" w:pos="0"/>
        </w:tabs>
        <w:adjustRightInd w:val="0"/>
        <w:spacing w:line="600" w:lineRule="exact"/>
        <w:rPr>
          <w:rFonts w:ascii="方正仿宋_GBK" w:hAnsi="宋体" w:eastAsia="方正仿宋_GBK" w:cs="宋体"/>
          <w:color w:val="auto"/>
          <w:kern w:val="0"/>
          <w:sz w:val="28"/>
          <w:szCs w:val="28"/>
          <w:highlight w:val="none"/>
        </w:rPr>
      </w:pPr>
      <w:r>
        <w:rPr>
          <w:rFonts w:hint="eastAsia" w:ascii="方正仿宋_GBK" w:hAnsi="宋体" w:eastAsia="方正仿宋_GBK" w:cs="宋体"/>
          <w:color w:val="auto"/>
          <w:kern w:val="0"/>
          <w:sz w:val="28"/>
          <w:szCs w:val="28"/>
          <w:highlight w:val="none"/>
        </w:rPr>
        <w:t>一、竞选人须知</w:t>
      </w:r>
    </w:p>
    <w:p w14:paraId="64893AD8">
      <w:pPr>
        <w:tabs>
          <w:tab w:val="left" w:pos="0"/>
        </w:tabs>
        <w:adjustRightInd w:val="0"/>
        <w:spacing w:line="600" w:lineRule="exact"/>
        <w:rPr>
          <w:rFonts w:ascii="方正仿宋_GBK" w:hAnsi="宋体" w:eastAsia="方正仿宋_GBK" w:cs="宋体"/>
          <w:color w:val="auto"/>
          <w:kern w:val="0"/>
          <w:sz w:val="28"/>
          <w:szCs w:val="28"/>
          <w:highlight w:val="none"/>
        </w:rPr>
      </w:pPr>
      <w:r>
        <w:rPr>
          <w:rFonts w:hint="eastAsia" w:ascii="方正仿宋_GBK" w:hAnsi="宋体" w:eastAsia="方正仿宋_GBK" w:cs="宋体"/>
          <w:color w:val="auto"/>
          <w:kern w:val="0"/>
          <w:sz w:val="28"/>
          <w:szCs w:val="28"/>
          <w:highlight w:val="none"/>
        </w:rPr>
        <w:t>（一）采购货物</w:t>
      </w:r>
    </w:p>
    <w:p w14:paraId="7B86981D">
      <w:pPr>
        <w:tabs>
          <w:tab w:val="left" w:pos="0"/>
        </w:tabs>
        <w:adjustRightInd w:val="0"/>
        <w:spacing w:line="600" w:lineRule="exact"/>
        <w:rPr>
          <w:rFonts w:ascii="方正仿宋_GBK" w:hAnsi="宋体" w:eastAsia="方正仿宋_GBK" w:cs="宋体"/>
          <w:color w:val="auto"/>
          <w:kern w:val="0"/>
          <w:sz w:val="28"/>
          <w:szCs w:val="28"/>
          <w:highlight w:val="none"/>
        </w:rPr>
      </w:pPr>
      <w:r>
        <w:rPr>
          <w:rFonts w:hint="eastAsia" w:ascii="方正仿宋_GBK" w:hAnsi="宋体" w:eastAsia="方正仿宋_GBK" w:cs="宋体"/>
          <w:color w:val="auto"/>
          <w:kern w:val="0"/>
          <w:sz w:val="28"/>
          <w:szCs w:val="28"/>
          <w:highlight w:val="none"/>
        </w:rPr>
        <w:t>（二）比选人基本情况</w:t>
      </w:r>
    </w:p>
    <w:p w14:paraId="62723858">
      <w:pPr>
        <w:tabs>
          <w:tab w:val="left" w:pos="0"/>
        </w:tabs>
        <w:adjustRightInd w:val="0"/>
        <w:spacing w:line="600" w:lineRule="exact"/>
        <w:rPr>
          <w:rFonts w:ascii="方正仿宋_GBK" w:hAnsi="宋体" w:eastAsia="方正仿宋_GBK" w:cs="宋体"/>
          <w:color w:val="auto"/>
          <w:kern w:val="0"/>
          <w:sz w:val="28"/>
          <w:szCs w:val="28"/>
          <w:highlight w:val="none"/>
        </w:rPr>
      </w:pPr>
      <w:r>
        <w:rPr>
          <w:rFonts w:hint="eastAsia" w:ascii="方正仿宋_GBK" w:hAnsi="宋体" w:eastAsia="方正仿宋_GBK" w:cs="宋体"/>
          <w:color w:val="auto"/>
          <w:kern w:val="0"/>
          <w:sz w:val="28"/>
          <w:szCs w:val="28"/>
          <w:highlight w:val="none"/>
        </w:rPr>
        <w:t>（三）竞选人资格要求</w:t>
      </w:r>
    </w:p>
    <w:p w14:paraId="6423DFFD">
      <w:pPr>
        <w:tabs>
          <w:tab w:val="left" w:pos="0"/>
        </w:tabs>
        <w:adjustRightInd w:val="0"/>
        <w:spacing w:line="600" w:lineRule="exact"/>
        <w:rPr>
          <w:rFonts w:ascii="方正仿宋_GBK" w:hAnsi="宋体" w:eastAsia="方正仿宋_GBK" w:cs="宋体"/>
          <w:color w:val="auto"/>
          <w:kern w:val="0"/>
          <w:sz w:val="28"/>
          <w:szCs w:val="28"/>
          <w:highlight w:val="none"/>
        </w:rPr>
      </w:pPr>
      <w:r>
        <w:rPr>
          <w:rFonts w:hint="eastAsia" w:ascii="方正仿宋_GBK" w:hAnsi="宋体" w:eastAsia="方正仿宋_GBK" w:cs="宋体"/>
          <w:color w:val="auto"/>
          <w:kern w:val="0"/>
          <w:sz w:val="28"/>
          <w:szCs w:val="28"/>
          <w:highlight w:val="none"/>
        </w:rPr>
        <w:t>（四）质量标准</w:t>
      </w:r>
    </w:p>
    <w:p w14:paraId="480561DD">
      <w:pPr>
        <w:tabs>
          <w:tab w:val="left" w:pos="0"/>
        </w:tabs>
        <w:adjustRightInd w:val="0"/>
        <w:spacing w:line="600" w:lineRule="exact"/>
        <w:rPr>
          <w:rFonts w:ascii="方正仿宋_GBK" w:hAnsi="宋体" w:eastAsia="方正仿宋_GBK" w:cs="宋体"/>
          <w:color w:val="auto"/>
          <w:kern w:val="0"/>
          <w:sz w:val="28"/>
          <w:szCs w:val="28"/>
          <w:highlight w:val="none"/>
        </w:rPr>
      </w:pPr>
      <w:r>
        <w:rPr>
          <w:rFonts w:hint="eastAsia" w:ascii="方正仿宋_GBK" w:hAnsi="宋体" w:eastAsia="方正仿宋_GBK" w:cs="宋体"/>
          <w:color w:val="auto"/>
          <w:kern w:val="0"/>
          <w:sz w:val="28"/>
          <w:szCs w:val="28"/>
          <w:highlight w:val="none"/>
        </w:rPr>
        <w:t>（五）技术参数要求</w:t>
      </w:r>
    </w:p>
    <w:p w14:paraId="393154C0">
      <w:pPr>
        <w:tabs>
          <w:tab w:val="left" w:pos="0"/>
        </w:tabs>
        <w:adjustRightInd w:val="0"/>
        <w:spacing w:line="600" w:lineRule="exact"/>
        <w:rPr>
          <w:rFonts w:ascii="方正仿宋_GBK" w:hAnsi="宋体" w:eastAsia="方正仿宋_GBK" w:cs="宋体"/>
          <w:color w:val="auto"/>
          <w:kern w:val="0"/>
          <w:sz w:val="28"/>
          <w:szCs w:val="28"/>
          <w:highlight w:val="none"/>
        </w:rPr>
      </w:pPr>
      <w:r>
        <w:rPr>
          <w:rFonts w:hint="eastAsia" w:ascii="方正仿宋_GBK" w:hAnsi="宋体" w:eastAsia="方正仿宋_GBK" w:cs="宋体"/>
          <w:color w:val="auto"/>
          <w:kern w:val="0"/>
          <w:sz w:val="28"/>
          <w:szCs w:val="28"/>
          <w:highlight w:val="none"/>
        </w:rPr>
        <w:t>（六）计量、验收方式</w:t>
      </w:r>
    </w:p>
    <w:p w14:paraId="142B23D0">
      <w:pPr>
        <w:tabs>
          <w:tab w:val="left" w:pos="0"/>
        </w:tabs>
        <w:adjustRightInd w:val="0"/>
        <w:spacing w:line="600" w:lineRule="exact"/>
        <w:rPr>
          <w:rFonts w:ascii="方正仿宋_GBK" w:hAnsi="宋体" w:eastAsia="方正仿宋_GBK" w:cs="宋体"/>
          <w:color w:val="auto"/>
          <w:kern w:val="0"/>
          <w:sz w:val="28"/>
          <w:szCs w:val="28"/>
          <w:highlight w:val="none"/>
        </w:rPr>
      </w:pPr>
      <w:r>
        <w:rPr>
          <w:rFonts w:hint="eastAsia" w:ascii="方正仿宋_GBK" w:hAnsi="宋体" w:eastAsia="方正仿宋_GBK" w:cs="宋体"/>
          <w:color w:val="auto"/>
          <w:kern w:val="0"/>
          <w:sz w:val="28"/>
          <w:szCs w:val="28"/>
          <w:highlight w:val="none"/>
        </w:rPr>
        <w:t>（七）样品及品牌品质要求</w:t>
      </w:r>
    </w:p>
    <w:p w14:paraId="22215961">
      <w:pPr>
        <w:tabs>
          <w:tab w:val="left" w:pos="0"/>
        </w:tabs>
        <w:adjustRightInd w:val="0"/>
        <w:spacing w:line="600" w:lineRule="exact"/>
        <w:rPr>
          <w:rFonts w:ascii="方正仿宋_GBK" w:hAnsi="宋体" w:eastAsia="方正仿宋_GBK" w:cs="宋体"/>
          <w:color w:val="auto"/>
          <w:kern w:val="0"/>
          <w:sz w:val="28"/>
          <w:szCs w:val="28"/>
          <w:highlight w:val="none"/>
        </w:rPr>
      </w:pPr>
      <w:r>
        <w:rPr>
          <w:rFonts w:hint="eastAsia" w:ascii="方正仿宋_GBK" w:hAnsi="宋体" w:eastAsia="方正仿宋_GBK" w:cs="宋体"/>
          <w:color w:val="auto"/>
          <w:kern w:val="0"/>
          <w:sz w:val="28"/>
          <w:szCs w:val="28"/>
          <w:highlight w:val="none"/>
        </w:rPr>
        <w:t>（八）限价设置</w:t>
      </w:r>
    </w:p>
    <w:p w14:paraId="1F09FAE1">
      <w:pPr>
        <w:tabs>
          <w:tab w:val="left" w:pos="0"/>
        </w:tabs>
        <w:adjustRightInd w:val="0"/>
        <w:spacing w:line="600" w:lineRule="exact"/>
        <w:rPr>
          <w:rFonts w:ascii="方正仿宋_GBK" w:hAnsi="宋体" w:eastAsia="方正仿宋_GBK" w:cs="宋体"/>
          <w:color w:val="auto"/>
          <w:kern w:val="0"/>
          <w:sz w:val="28"/>
          <w:szCs w:val="28"/>
          <w:highlight w:val="none"/>
        </w:rPr>
      </w:pPr>
      <w:r>
        <w:rPr>
          <w:rFonts w:hint="eastAsia" w:ascii="方正仿宋_GBK" w:hAnsi="宋体" w:eastAsia="方正仿宋_GBK" w:cs="宋体"/>
          <w:color w:val="auto"/>
          <w:kern w:val="0"/>
          <w:sz w:val="28"/>
          <w:szCs w:val="28"/>
          <w:highlight w:val="none"/>
        </w:rPr>
        <w:t>（九）供货周期要求</w:t>
      </w:r>
    </w:p>
    <w:p w14:paraId="07BF811F">
      <w:pPr>
        <w:tabs>
          <w:tab w:val="left" w:pos="0"/>
        </w:tabs>
        <w:adjustRightInd w:val="0"/>
        <w:spacing w:line="600" w:lineRule="exact"/>
        <w:rPr>
          <w:rFonts w:ascii="方正仿宋_GBK" w:hAnsi="宋体" w:eastAsia="方正仿宋_GBK" w:cs="宋体"/>
          <w:color w:val="auto"/>
          <w:kern w:val="0"/>
          <w:sz w:val="28"/>
          <w:szCs w:val="28"/>
          <w:highlight w:val="none"/>
        </w:rPr>
      </w:pPr>
      <w:r>
        <w:rPr>
          <w:rFonts w:hint="eastAsia" w:ascii="方正仿宋_GBK" w:hAnsi="宋体" w:eastAsia="方正仿宋_GBK" w:cs="宋体"/>
          <w:color w:val="auto"/>
          <w:kern w:val="0"/>
          <w:sz w:val="28"/>
          <w:szCs w:val="28"/>
          <w:highlight w:val="none"/>
        </w:rPr>
        <w:t>（十）质保期限</w:t>
      </w:r>
    </w:p>
    <w:p w14:paraId="66F376FB">
      <w:pPr>
        <w:tabs>
          <w:tab w:val="left" w:pos="0"/>
        </w:tabs>
        <w:adjustRightInd w:val="0"/>
        <w:spacing w:line="600" w:lineRule="exact"/>
        <w:rPr>
          <w:rFonts w:ascii="方正仿宋_GBK" w:hAnsi="宋体" w:eastAsia="方正仿宋_GBK" w:cs="宋体"/>
          <w:color w:val="auto"/>
          <w:kern w:val="0"/>
          <w:sz w:val="28"/>
          <w:szCs w:val="28"/>
          <w:highlight w:val="none"/>
        </w:rPr>
      </w:pPr>
      <w:r>
        <w:rPr>
          <w:rFonts w:hint="eastAsia" w:ascii="方正仿宋_GBK" w:hAnsi="宋体" w:eastAsia="方正仿宋_GBK" w:cs="宋体"/>
          <w:color w:val="auto"/>
          <w:kern w:val="0"/>
          <w:sz w:val="28"/>
          <w:szCs w:val="28"/>
          <w:highlight w:val="none"/>
        </w:rPr>
        <w:t>（十一）结算方式</w:t>
      </w:r>
    </w:p>
    <w:p w14:paraId="2C2DA87A">
      <w:pPr>
        <w:tabs>
          <w:tab w:val="left" w:pos="0"/>
        </w:tabs>
        <w:adjustRightInd w:val="0"/>
        <w:spacing w:line="600" w:lineRule="exact"/>
        <w:rPr>
          <w:rFonts w:ascii="方正仿宋_GBK" w:hAnsi="宋体" w:eastAsia="方正仿宋_GBK" w:cs="宋体"/>
          <w:color w:val="auto"/>
          <w:kern w:val="0"/>
          <w:sz w:val="28"/>
          <w:szCs w:val="28"/>
          <w:highlight w:val="none"/>
        </w:rPr>
      </w:pPr>
      <w:r>
        <w:rPr>
          <w:rFonts w:hint="eastAsia" w:ascii="方正仿宋_GBK" w:hAnsi="宋体" w:eastAsia="方正仿宋_GBK" w:cs="宋体"/>
          <w:color w:val="auto"/>
          <w:kern w:val="0"/>
          <w:sz w:val="28"/>
          <w:szCs w:val="28"/>
          <w:highlight w:val="none"/>
        </w:rPr>
        <w:t>（十二）比选程序</w:t>
      </w:r>
    </w:p>
    <w:p w14:paraId="28795641">
      <w:pPr>
        <w:tabs>
          <w:tab w:val="left" w:pos="0"/>
        </w:tabs>
        <w:adjustRightInd w:val="0"/>
        <w:spacing w:line="600" w:lineRule="exact"/>
        <w:rPr>
          <w:rFonts w:ascii="方正仿宋_GBK" w:hAnsi="宋体" w:eastAsia="方正仿宋_GBK" w:cs="宋体"/>
          <w:color w:val="auto"/>
          <w:kern w:val="0"/>
          <w:sz w:val="28"/>
          <w:szCs w:val="28"/>
          <w:highlight w:val="none"/>
        </w:rPr>
      </w:pPr>
      <w:r>
        <w:rPr>
          <w:rFonts w:hint="eastAsia" w:ascii="方正仿宋_GBK" w:hAnsi="宋体" w:eastAsia="方正仿宋_GBK" w:cs="宋体"/>
          <w:color w:val="auto"/>
          <w:kern w:val="0"/>
          <w:sz w:val="28"/>
          <w:szCs w:val="28"/>
          <w:highlight w:val="none"/>
        </w:rPr>
        <w:t>（十三）确定供应商办法</w:t>
      </w:r>
    </w:p>
    <w:p w14:paraId="45BFF7A9">
      <w:pPr>
        <w:tabs>
          <w:tab w:val="left" w:pos="0"/>
        </w:tabs>
        <w:adjustRightInd w:val="0"/>
        <w:spacing w:line="600" w:lineRule="exact"/>
        <w:rPr>
          <w:rFonts w:ascii="方正仿宋_GBK" w:hAnsi="宋体" w:eastAsia="方正仿宋_GBK" w:cs="宋体"/>
          <w:color w:val="auto"/>
          <w:kern w:val="0"/>
          <w:sz w:val="28"/>
          <w:szCs w:val="28"/>
          <w:highlight w:val="none"/>
        </w:rPr>
      </w:pPr>
      <w:r>
        <w:rPr>
          <w:rFonts w:hint="eastAsia" w:ascii="方正仿宋_GBK" w:hAnsi="宋体" w:eastAsia="方正仿宋_GBK" w:cs="宋体"/>
          <w:color w:val="auto"/>
          <w:kern w:val="0"/>
          <w:sz w:val="28"/>
          <w:szCs w:val="28"/>
          <w:highlight w:val="none"/>
        </w:rPr>
        <w:t>（十四）竞选文件评审</w:t>
      </w:r>
    </w:p>
    <w:p w14:paraId="0BEB7CB3">
      <w:pPr>
        <w:tabs>
          <w:tab w:val="left" w:pos="0"/>
        </w:tabs>
        <w:adjustRightInd w:val="0"/>
        <w:spacing w:line="600" w:lineRule="exact"/>
        <w:rPr>
          <w:rFonts w:ascii="方正仿宋_GBK" w:hAnsi="宋体" w:eastAsia="方正仿宋_GBK" w:cs="宋体"/>
          <w:color w:val="auto"/>
          <w:kern w:val="0"/>
          <w:sz w:val="28"/>
          <w:szCs w:val="28"/>
          <w:highlight w:val="none"/>
        </w:rPr>
      </w:pPr>
      <w:r>
        <w:rPr>
          <w:rFonts w:hint="eastAsia" w:ascii="方正仿宋_GBK" w:hAnsi="宋体" w:eastAsia="方正仿宋_GBK" w:cs="宋体"/>
          <w:color w:val="auto"/>
          <w:kern w:val="0"/>
          <w:sz w:val="28"/>
          <w:szCs w:val="28"/>
          <w:highlight w:val="none"/>
        </w:rPr>
        <w:t>（十五）</w:t>
      </w:r>
      <w:r>
        <w:rPr>
          <w:rFonts w:ascii="方正仿宋_GBK" w:hAnsi="宋体" w:eastAsia="方正仿宋_GBK" w:cs="宋体"/>
          <w:color w:val="auto"/>
          <w:kern w:val="0"/>
          <w:sz w:val="28"/>
          <w:szCs w:val="28"/>
          <w:highlight w:val="none"/>
        </w:rPr>
        <w:t>竞选保证金及履约保证金</w:t>
      </w:r>
    </w:p>
    <w:p w14:paraId="6B7143EC">
      <w:pPr>
        <w:tabs>
          <w:tab w:val="left" w:pos="0"/>
        </w:tabs>
        <w:adjustRightInd w:val="0"/>
        <w:spacing w:line="600" w:lineRule="exact"/>
        <w:rPr>
          <w:rFonts w:ascii="方正仿宋_GBK" w:hAnsi="宋体" w:eastAsia="方正仿宋_GBK" w:cs="宋体"/>
          <w:color w:val="auto"/>
          <w:kern w:val="0"/>
          <w:sz w:val="28"/>
          <w:szCs w:val="28"/>
          <w:highlight w:val="none"/>
        </w:rPr>
      </w:pPr>
      <w:r>
        <w:rPr>
          <w:rFonts w:hint="eastAsia" w:ascii="方正仿宋_GBK" w:hAnsi="宋体" w:eastAsia="方正仿宋_GBK" w:cs="宋体"/>
          <w:color w:val="auto"/>
          <w:kern w:val="0"/>
          <w:sz w:val="28"/>
          <w:szCs w:val="28"/>
          <w:highlight w:val="none"/>
        </w:rPr>
        <w:t>（十六）现场踏勘及答疑</w:t>
      </w:r>
    </w:p>
    <w:p w14:paraId="504136AF">
      <w:pPr>
        <w:tabs>
          <w:tab w:val="left" w:pos="0"/>
        </w:tabs>
        <w:adjustRightInd w:val="0"/>
        <w:spacing w:line="600" w:lineRule="exact"/>
        <w:rPr>
          <w:rFonts w:ascii="方正仿宋_GBK" w:hAnsi="宋体" w:eastAsia="方正仿宋_GBK" w:cs="宋体"/>
          <w:color w:val="auto"/>
          <w:kern w:val="0"/>
          <w:sz w:val="28"/>
          <w:szCs w:val="28"/>
          <w:highlight w:val="none"/>
        </w:rPr>
      </w:pPr>
      <w:r>
        <w:rPr>
          <w:rFonts w:hint="eastAsia" w:ascii="方正仿宋_GBK" w:hAnsi="宋体" w:eastAsia="方正仿宋_GBK" w:cs="宋体"/>
          <w:color w:val="auto"/>
          <w:kern w:val="0"/>
          <w:sz w:val="28"/>
          <w:szCs w:val="28"/>
          <w:highlight w:val="none"/>
        </w:rPr>
        <w:t>（十七）比选会时间、地点、文件递交时间、文件封装</w:t>
      </w:r>
    </w:p>
    <w:p w14:paraId="43FB4189">
      <w:pPr>
        <w:tabs>
          <w:tab w:val="left" w:pos="0"/>
        </w:tabs>
        <w:adjustRightInd w:val="0"/>
        <w:spacing w:line="600" w:lineRule="exact"/>
        <w:rPr>
          <w:rFonts w:ascii="方正仿宋_GBK" w:hAnsi="宋体" w:eastAsia="方正仿宋_GBK" w:cs="宋体"/>
          <w:color w:val="auto"/>
          <w:kern w:val="0"/>
          <w:sz w:val="28"/>
          <w:szCs w:val="28"/>
          <w:highlight w:val="none"/>
        </w:rPr>
      </w:pPr>
      <w:r>
        <w:rPr>
          <w:rFonts w:hint="eastAsia" w:ascii="方正仿宋_GBK" w:hAnsi="宋体" w:eastAsia="方正仿宋_GBK" w:cs="宋体"/>
          <w:color w:val="auto"/>
          <w:kern w:val="0"/>
          <w:sz w:val="28"/>
          <w:szCs w:val="28"/>
          <w:highlight w:val="none"/>
        </w:rPr>
        <w:t>（十八）联系方式</w:t>
      </w:r>
    </w:p>
    <w:p w14:paraId="35F7CF1F">
      <w:pPr>
        <w:tabs>
          <w:tab w:val="left" w:pos="0"/>
        </w:tabs>
        <w:adjustRightInd w:val="0"/>
        <w:spacing w:line="600" w:lineRule="exact"/>
        <w:rPr>
          <w:rFonts w:ascii="方正仿宋_GBK" w:hAnsi="宋体" w:eastAsia="方正仿宋_GBK" w:cs="宋体"/>
          <w:color w:val="auto"/>
          <w:kern w:val="0"/>
          <w:sz w:val="28"/>
          <w:szCs w:val="28"/>
          <w:highlight w:val="none"/>
        </w:rPr>
      </w:pPr>
      <w:r>
        <w:rPr>
          <w:rFonts w:hint="eastAsia" w:ascii="方正仿宋_GBK" w:hAnsi="宋体" w:eastAsia="方正仿宋_GBK" w:cs="宋体"/>
          <w:color w:val="auto"/>
          <w:kern w:val="0"/>
          <w:sz w:val="28"/>
          <w:szCs w:val="28"/>
          <w:highlight w:val="none"/>
        </w:rPr>
        <w:t>二、主要合同条款</w:t>
      </w:r>
    </w:p>
    <w:p w14:paraId="420BF041">
      <w:pPr>
        <w:tabs>
          <w:tab w:val="left" w:pos="0"/>
        </w:tabs>
        <w:adjustRightInd w:val="0"/>
        <w:spacing w:line="600" w:lineRule="exact"/>
        <w:rPr>
          <w:rFonts w:ascii="方正仿宋_GBK" w:hAnsi="宋体" w:eastAsia="方正仿宋_GBK" w:cs="宋体"/>
          <w:color w:val="auto"/>
          <w:kern w:val="0"/>
          <w:sz w:val="28"/>
          <w:szCs w:val="28"/>
          <w:highlight w:val="none"/>
        </w:rPr>
      </w:pPr>
      <w:r>
        <w:rPr>
          <w:rFonts w:hint="eastAsia" w:ascii="方正仿宋_GBK" w:hAnsi="宋体" w:eastAsia="方正仿宋_GBK" w:cs="宋体"/>
          <w:color w:val="auto"/>
          <w:kern w:val="0"/>
          <w:sz w:val="28"/>
          <w:szCs w:val="28"/>
          <w:highlight w:val="none"/>
        </w:rPr>
        <w:t>三、</w:t>
      </w:r>
      <w:r>
        <w:rPr>
          <w:rFonts w:hint="eastAsia" w:ascii="方正仿宋_GBK" w:hAnsi="ˎ̥" w:eastAsia="方正仿宋_GBK"/>
          <w:color w:val="auto"/>
          <w:sz w:val="28"/>
          <w:szCs w:val="28"/>
          <w:highlight w:val="none"/>
        </w:rPr>
        <w:t>竞选人</w:t>
      </w:r>
      <w:r>
        <w:rPr>
          <w:rFonts w:hint="eastAsia" w:ascii="方正仿宋_GBK" w:hAnsi="宋体" w:eastAsia="方正仿宋_GBK" w:cs="宋体"/>
          <w:color w:val="auto"/>
          <w:kern w:val="0"/>
          <w:sz w:val="28"/>
          <w:szCs w:val="28"/>
          <w:highlight w:val="none"/>
        </w:rPr>
        <w:t>应提交资料及格式要求</w:t>
      </w:r>
    </w:p>
    <w:p w14:paraId="54730E6B">
      <w:pPr>
        <w:tabs>
          <w:tab w:val="left" w:pos="0"/>
        </w:tabs>
        <w:adjustRightInd w:val="0"/>
        <w:spacing w:line="600" w:lineRule="exact"/>
        <w:rPr>
          <w:rFonts w:ascii="方正仿宋_GBK" w:hAnsi="宋体" w:eastAsia="方正仿宋_GBK" w:cs="宋体"/>
          <w:color w:val="auto"/>
          <w:kern w:val="0"/>
          <w:sz w:val="28"/>
          <w:szCs w:val="28"/>
          <w:highlight w:val="none"/>
        </w:rPr>
      </w:pPr>
      <w:r>
        <w:rPr>
          <w:rFonts w:hint="eastAsia" w:ascii="方正仿宋_GBK" w:hAnsi="宋体" w:eastAsia="方正仿宋_GBK" w:cs="宋体"/>
          <w:color w:val="auto"/>
          <w:kern w:val="0"/>
          <w:sz w:val="28"/>
          <w:szCs w:val="28"/>
          <w:highlight w:val="none"/>
        </w:rPr>
        <w:t>四、报价函</w:t>
      </w:r>
    </w:p>
    <w:p w14:paraId="4277479F">
      <w:pPr>
        <w:spacing w:line="520" w:lineRule="exact"/>
        <w:jc w:val="center"/>
        <w:outlineLvl w:val="0"/>
        <w:rPr>
          <w:rFonts w:ascii="方正仿宋_GBK" w:hAnsi="宋体" w:eastAsia="方正仿宋_GBK" w:cs="宋体"/>
          <w:b/>
          <w:color w:val="auto"/>
          <w:kern w:val="0"/>
          <w:sz w:val="36"/>
          <w:szCs w:val="44"/>
          <w:highlight w:val="none"/>
        </w:rPr>
      </w:pPr>
      <w:bookmarkStart w:id="0" w:name="_Toc130893315"/>
      <w:bookmarkStart w:id="1" w:name="_Toc130893021"/>
      <w:r>
        <w:rPr>
          <w:rFonts w:hint="eastAsia" w:ascii="方正仿宋_GBK" w:hAnsi="宋体" w:eastAsia="方正仿宋_GBK" w:cs="宋体"/>
          <w:b/>
          <w:color w:val="auto"/>
          <w:kern w:val="0"/>
          <w:sz w:val="36"/>
          <w:szCs w:val="44"/>
          <w:highlight w:val="none"/>
        </w:rPr>
        <w:t>一、竞选人须知</w:t>
      </w:r>
      <w:bookmarkEnd w:id="0"/>
      <w:bookmarkEnd w:id="1"/>
    </w:p>
    <w:p w14:paraId="2A473777">
      <w:pPr>
        <w:tabs>
          <w:tab w:val="left" w:pos="0"/>
        </w:tabs>
        <w:adjustRightInd w:val="0"/>
        <w:spacing w:line="520" w:lineRule="exact"/>
        <w:ind w:firstLine="551" w:firstLineChars="196"/>
        <w:outlineLvl w:val="0"/>
        <w:rPr>
          <w:rFonts w:ascii="方正仿宋_GBK" w:hAnsi="黑体" w:eastAsia="方正仿宋_GBK"/>
          <w:b/>
          <w:color w:val="auto"/>
          <w:sz w:val="28"/>
          <w:highlight w:val="none"/>
        </w:rPr>
      </w:pPr>
      <w:bookmarkStart w:id="2" w:name="_Toc130893022"/>
      <w:bookmarkStart w:id="3" w:name="_Toc130893316"/>
      <w:r>
        <w:rPr>
          <w:rFonts w:hint="eastAsia" w:ascii="方正仿宋_GBK" w:hAnsi="黑体" w:eastAsia="方正仿宋_GBK"/>
          <w:b/>
          <w:color w:val="auto"/>
          <w:sz w:val="28"/>
          <w:highlight w:val="none"/>
        </w:rPr>
        <w:t>（一）采购货物</w:t>
      </w:r>
      <w:bookmarkEnd w:id="2"/>
      <w:bookmarkEnd w:id="3"/>
    </w:p>
    <w:p w14:paraId="3E25E3F6">
      <w:pPr>
        <w:tabs>
          <w:tab w:val="left" w:pos="0"/>
        </w:tabs>
        <w:adjustRightInd w:val="0"/>
        <w:spacing w:line="520" w:lineRule="exact"/>
        <w:ind w:firstLine="700" w:firstLineChars="25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本次比选文件所涉采购货物为我司承建的</w:t>
      </w:r>
      <w:r>
        <w:rPr>
          <w:rFonts w:hint="eastAsia" w:ascii="方正仿宋_GBK" w:hAnsi="宋体" w:eastAsia="方正仿宋_GBK"/>
          <w:color w:val="auto"/>
          <w:sz w:val="28"/>
          <w:szCs w:val="28"/>
          <w:highlight w:val="none"/>
          <w:lang w:val="en-US" w:eastAsia="zh-CN"/>
        </w:rPr>
        <w:t>重庆市万州第二高级中学高峰校区学生宿舍建设项目</w:t>
      </w:r>
      <w:r>
        <w:rPr>
          <w:rFonts w:hint="eastAsia" w:ascii="方正仿宋_GBK" w:eastAsia="方正仿宋_GBK"/>
          <w:bCs/>
          <w:color w:val="auto"/>
          <w:sz w:val="28"/>
          <w:highlight w:val="none"/>
        </w:rPr>
        <w:t>采购防火门、</w:t>
      </w:r>
      <w:r>
        <w:rPr>
          <w:rFonts w:hint="eastAsia" w:ascii="方正仿宋_GBK" w:eastAsia="方正仿宋_GBK"/>
          <w:bCs/>
          <w:color w:val="auto"/>
          <w:sz w:val="28"/>
          <w:highlight w:val="none"/>
          <w:lang w:val="en-US" w:eastAsia="zh-CN"/>
        </w:rPr>
        <w:t>成品木门扇、钢质门</w:t>
      </w:r>
      <w:r>
        <w:rPr>
          <w:rFonts w:hint="eastAsia" w:ascii="方正仿宋_GBK" w:eastAsia="方正仿宋_GBK"/>
          <w:bCs/>
          <w:color w:val="auto"/>
          <w:sz w:val="28"/>
          <w:highlight w:val="none"/>
        </w:rPr>
        <w:t>一批，暂定</w:t>
      </w:r>
      <w:r>
        <w:rPr>
          <w:rFonts w:hint="eastAsia" w:ascii="方正仿宋_GBK" w:eastAsia="方正仿宋_GBK"/>
          <w:bCs/>
          <w:color w:val="auto"/>
          <w:sz w:val="28"/>
          <w:highlight w:val="none"/>
          <w:lang w:val="en-US" w:eastAsia="zh-CN"/>
        </w:rPr>
        <w:t>3801.50</w:t>
      </w:r>
      <w:r>
        <w:rPr>
          <w:rFonts w:hint="eastAsia" w:ascii="方正仿宋_GBK" w:eastAsia="方正仿宋_GBK"/>
          <w:bCs/>
          <w:color w:val="auto"/>
          <w:sz w:val="28"/>
          <w:highlight w:val="none"/>
        </w:rPr>
        <w:t>㎡</w:t>
      </w:r>
      <w:r>
        <w:rPr>
          <w:rFonts w:hint="eastAsia" w:ascii="方正仿宋_GBK" w:hAnsi="宋体" w:eastAsia="方正仿宋_GBK"/>
          <w:color w:val="auto"/>
          <w:sz w:val="28"/>
          <w:szCs w:val="28"/>
          <w:highlight w:val="none"/>
        </w:rPr>
        <w:t>。拟通过公开、公平、公正比选确定供应商。</w:t>
      </w:r>
    </w:p>
    <w:p w14:paraId="0FB7FC4E">
      <w:pPr>
        <w:tabs>
          <w:tab w:val="left" w:pos="0"/>
        </w:tabs>
        <w:adjustRightInd w:val="0"/>
        <w:spacing w:line="520" w:lineRule="exact"/>
        <w:ind w:firstLine="551" w:firstLineChars="196"/>
        <w:outlineLvl w:val="0"/>
        <w:rPr>
          <w:rFonts w:ascii="方正仿宋_GBK" w:hAnsi="黑体" w:eastAsia="方正仿宋_GBK"/>
          <w:b/>
          <w:color w:val="auto"/>
          <w:sz w:val="28"/>
          <w:highlight w:val="none"/>
        </w:rPr>
      </w:pPr>
      <w:bookmarkStart w:id="4" w:name="_Toc130893317"/>
      <w:bookmarkStart w:id="5" w:name="_Toc130893023"/>
      <w:r>
        <w:rPr>
          <w:rFonts w:hint="eastAsia" w:ascii="方正仿宋_GBK" w:hAnsi="黑体" w:eastAsia="方正仿宋_GBK"/>
          <w:b/>
          <w:color w:val="auto"/>
          <w:sz w:val="28"/>
          <w:highlight w:val="none"/>
        </w:rPr>
        <w:t>（二）比选人基本情况</w:t>
      </w:r>
      <w:bookmarkEnd w:id="4"/>
      <w:bookmarkEnd w:id="5"/>
    </w:p>
    <w:p w14:paraId="58F0FE4C">
      <w:pPr>
        <w:spacing w:line="54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比选人重庆市玉罗实业有限公司是重庆万州经济技术开发（集团）有限公司一级子公司，注册资本13600万元。主要经营工程建设、环境治理、绿化工程和自来水生产供应。公司地址重庆市万州区经开大道</w:t>
      </w:r>
      <w:r>
        <w:rPr>
          <w:rFonts w:ascii="方正仿宋_GBK" w:hAnsi="宋体" w:eastAsia="方正仿宋_GBK"/>
          <w:color w:val="auto"/>
          <w:sz w:val="28"/>
          <w:szCs w:val="28"/>
          <w:highlight w:val="none"/>
        </w:rPr>
        <w:t>5</w:t>
      </w:r>
      <w:r>
        <w:rPr>
          <w:rFonts w:hint="eastAsia" w:ascii="方正仿宋_GBK" w:hAnsi="宋体" w:eastAsia="方正仿宋_GBK"/>
          <w:color w:val="auto"/>
          <w:sz w:val="28"/>
          <w:szCs w:val="28"/>
          <w:highlight w:val="none"/>
        </w:rPr>
        <w:t>号（万州经开区）</w:t>
      </w:r>
      <w:r>
        <w:rPr>
          <w:rFonts w:ascii="方正仿宋_GBK" w:hAnsi="宋体" w:eastAsia="方正仿宋_GBK"/>
          <w:color w:val="auto"/>
          <w:sz w:val="28"/>
          <w:szCs w:val="28"/>
          <w:highlight w:val="none"/>
        </w:rPr>
        <w:t>4</w:t>
      </w:r>
      <w:r>
        <w:rPr>
          <w:rFonts w:hint="eastAsia" w:ascii="方正仿宋_GBK" w:hAnsi="宋体" w:eastAsia="方正仿宋_GBK"/>
          <w:color w:val="auto"/>
          <w:sz w:val="28"/>
          <w:szCs w:val="28"/>
          <w:highlight w:val="none"/>
        </w:rPr>
        <w:t>楼玉罗公司。</w:t>
      </w:r>
    </w:p>
    <w:p w14:paraId="6C317A3F">
      <w:pPr>
        <w:tabs>
          <w:tab w:val="left" w:pos="0"/>
        </w:tabs>
        <w:adjustRightInd w:val="0"/>
        <w:spacing w:line="520" w:lineRule="exact"/>
        <w:ind w:firstLine="548" w:firstLineChars="196"/>
        <w:outlineLvl w:val="0"/>
        <w:rPr>
          <w:rFonts w:ascii="方正仿宋_GBK" w:hAnsi="宋体" w:eastAsia="方正仿宋_GBK"/>
          <w:bCs/>
          <w:color w:val="auto"/>
          <w:sz w:val="28"/>
          <w:szCs w:val="28"/>
          <w:highlight w:val="none"/>
        </w:rPr>
      </w:pPr>
      <w:r>
        <w:rPr>
          <w:rFonts w:hint="eastAsia" w:ascii="方正仿宋_GBK" w:hAnsi="宋体" w:eastAsia="方正仿宋_GBK"/>
          <w:bCs/>
          <w:color w:val="auto"/>
          <w:sz w:val="28"/>
          <w:szCs w:val="28"/>
          <w:highlight w:val="none"/>
        </w:rPr>
        <w:t xml:space="preserve"> </w:t>
      </w:r>
      <w:bookmarkStart w:id="6" w:name="_Toc130893024"/>
      <w:bookmarkStart w:id="7" w:name="_Toc130893318"/>
      <w:r>
        <w:rPr>
          <w:rFonts w:hint="eastAsia" w:ascii="方正仿宋_GBK" w:hAnsi="黑体" w:eastAsia="方正仿宋_GBK"/>
          <w:b/>
          <w:color w:val="auto"/>
          <w:sz w:val="28"/>
          <w:highlight w:val="none"/>
        </w:rPr>
        <w:t>（三）竞选人资格要求</w:t>
      </w:r>
      <w:bookmarkEnd w:id="6"/>
      <w:bookmarkEnd w:id="7"/>
    </w:p>
    <w:p w14:paraId="41C27B72">
      <w:pPr>
        <w:snapToGrid w:val="0"/>
        <w:spacing w:line="520" w:lineRule="exact"/>
        <w:ind w:firstLine="573"/>
        <w:rPr>
          <w:rFonts w:hint="eastAsia" w:ascii="方正仿宋_GBK" w:hAnsi="宋体" w:eastAsia="方正仿宋_GBK"/>
          <w:bCs/>
          <w:color w:val="auto"/>
          <w:sz w:val="28"/>
          <w:szCs w:val="28"/>
          <w:highlight w:val="none"/>
          <w:lang w:eastAsia="zh-CN"/>
        </w:rPr>
      </w:pPr>
      <w:r>
        <w:rPr>
          <w:rFonts w:hint="eastAsia" w:ascii="方正仿宋_GBK" w:hAnsi="宋体" w:eastAsia="方正仿宋_GBK"/>
          <w:bCs/>
          <w:color w:val="auto"/>
          <w:sz w:val="28"/>
          <w:szCs w:val="28"/>
          <w:highlight w:val="none"/>
        </w:rPr>
        <w:t>1、竞选人具有本次比选产品生产能力的厂家或经销商，其经营范围满足本次比选产品的要求，并依法取得工商营业执照</w:t>
      </w:r>
      <w:r>
        <w:rPr>
          <w:rFonts w:hint="eastAsia" w:ascii="方正仿宋_GBK" w:hAnsi="宋体" w:eastAsia="方正仿宋_GBK"/>
          <w:bCs/>
          <w:color w:val="auto"/>
          <w:sz w:val="28"/>
          <w:szCs w:val="28"/>
          <w:highlight w:val="none"/>
          <w:lang w:eastAsia="zh-CN"/>
        </w:rPr>
        <w:t>。</w:t>
      </w:r>
    </w:p>
    <w:p w14:paraId="096C818C">
      <w:pPr>
        <w:tabs>
          <w:tab w:val="left" w:pos="0"/>
        </w:tabs>
        <w:adjustRightInd w:val="0"/>
        <w:spacing w:line="520" w:lineRule="exact"/>
        <w:ind w:firstLine="560" w:firstLineChars="200"/>
        <w:rPr>
          <w:rFonts w:hint="eastAsia" w:ascii="方正仿宋_GBK" w:hAnsi="宋体" w:eastAsia="方正仿宋_GBK"/>
          <w:color w:val="auto"/>
          <w:sz w:val="28"/>
          <w:szCs w:val="28"/>
          <w:highlight w:val="none"/>
          <w:lang w:eastAsia="zh-CN"/>
        </w:rPr>
      </w:pPr>
      <w:r>
        <w:rPr>
          <w:rFonts w:hint="eastAsia" w:ascii="方正仿宋_GBK" w:eastAsia="方正仿宋_GBK"/>
          <w:bCs/>
          <w:color w:val="auto"/>
          <w:sz w:val="28"/>
          <w:highlight w:val="none"/>
        </w:rPr>
        <w:t>2、防火门系列</w:t>
      </w:r>
      <w:r>
        <w:rPr>
          <w:rFonts w:hint="eastAsia" w:ascii="方正仿宋_GBK" w:hAnsi="宋体" w:eastAsia="方正仿宋_GBK"/>
          <w:color w:val="auto"/>
          <w:sz w:val="28"/>
          <w:szCs w:val="28"/>
          <w:highlight w:val="none"/>
        </w:rPr>
        <w:t>所报品牌的生产厂家应是消防备案合格产品，且在应急管理部消防产品合格评定中心</w:t>
      </w:r>
      <w:r>
        <w:rPr>
          <w:rFonts w:hint="eastAsia" w:ascii="方正仿宋_GBK" w:hAnsi="宋体" w:eastAsia="方正仿宋_GBK"/>
          <w:color w:val="auto"/>
          <w:sz w:val="28"/>
          <w:szCs w:val="28"/>
          <w:highlight w:val="none"/>
          <w:lang w:val="en-US" w:eastAsia="zh-CN"/>
        </w:rPr>
        <w:t>官网</w:t>
      </w:r>
      <w:r>
        <w:rPr>
          <w:rFonts w:hint="eastAsia" w:ascii="方正仿宋_GBK" w:hAnsi="宋体" w:eastAsia="方正仿宋_GBK"/>
          <w:color w:val="auto"/>
          <w:sz w:val="28"/>
          <w:szCs w:val="28"/>
          <w:highlight w:val="none"/>
        </w:rPr>
        <w:t>上能查询到产品备案情况</w:t>
      </w:r>
      <w:r>
        <w:rPr>
          <w:rFonts w:hint="eastAsia" w:ascii="方正仿宋_GBK" w:hAnsi="宋体" w:eastAsia="方正仿宋_GBK"/>
          <w:color w:val="auto"/>
          <w:sz w:val="28"/>
          <w:szCs w:val="28"/>
          <w:highlight w:val="none"/>
          <w:lang w:eastAsia="zh-CN"/>
        </w:rPr>
        <w:t>（</w:t>
      </w:r>
      <w:r>
        <w:rPr>
          <w:rFonts w:hint="eastAsia" w:ascii="方正仿宋_GBK" w:hAnsi="宋体" w:eastAsia="方正仿宋_GBK"/>
          <w:color w:val="auto"/>
          <w:sz w:val="28"/>
          <w:szCs w:val="28"/>
          <w:highlight w:val="none"/>
          <w:lang w:val="en-US" w:eastAsia="zh-CN"/>
        </w:rPr>
        <w:t>消防产品信息查询系统</w:t>
      </w:r>
      <w:r>
        <w:rPr>
          <w:rFonts w:hint="eastAsia" w:ascii="方正仿宋_GBK" w:hAnsi="宋体" w:eastAsia="方正仿宋_GBK"/>
          <w:color w:val="auto"/>
          <w:sz w:val="28"/>
          <w:szCs w:val="28"/>
          <w:highlight w:val="none"/>
          <w:lang w:eastAsia="zh-CN"/>
        </w:rPr>
        <w:t>）。</w:t>
      </w:r>
    </w:p>
    <w:p w14:paraId="4ED621B3">
      <w:pPr>
        <w:snapToGrid w:val="0"/>
        <w:spacing w:line="520" w:lineRule="exact"/>
        <w:ind w:firstLine="573"/>
        <w:rPr>
          <w:rFonts w:hint="eastAsia" w:ascii="方正仿宋_GBK" w:hAnsi="宋体" w:eastAsia="方正仿宋_GBK"/>
          <w:bCs/>
          <w:color w:val="auto"/>
          <w:sz w:val="28"/>
          <w:szCs w:val="28"/>
          <w:highlight w:val="none"/>
          <w:lang w:eastAsia="zh-CN"/>
        </w:rPr>
      </w:pPr>
      <w:r>
        <w:rPr>
          <w:rFonts w:hint="eastAsia" w:ascii="方正仿宋_GBK" w:hAnsi="宋体" w:eastAsia="方正仿宋_GBK"/>
          <w:bCs/>
          <w:color w:val="auto"/>
          <w:sz w:val="28"/>
          <w:szCs w:val="28"/>
          <w:highlight w:val="none"/>
        </w:rPr>
        <w:t>3、</w:t>
      </w:r>
      <w:r>
        <w:rPr>
          <w:rFonts w:hint="eastAsia" w:ascii="方正仿宋_GBK" w:hAnsi="ˎ̥" w:eastAsia="方正仿宋_GBK"/>
          <w:color w:val="auto"/>
          <w:sz w:val="28"/>
          <w:szCs w:val="28"/>
          <w:highlight w:val="none"/>
        </w:rPr>
        <w:t>具有良好的商业信誉</w:t>
      </w:r>
      <w:r>
        <w:rPr>
          <w:rFonts w:hint="eastAsia" w:ascii="方正仿宋_GBK" w:eastAsia="方正仿宋_GBK"/>
          <w:bCs/>
          <w:color w:val="auto"/>
          <w:sz w:val="28"/>
          <w:highlight w:val="none"/>
        </w:rPr>
        <w:t>，有充分的供应保障能力，相应售后服务能力；</w:t>
      </w:r>
      <w:r>
        <w:rPr>
          <w:rFonts w:hint="eastAsia" w:ascii="方正仿宋_GBK" w:hAnsi="宋体" w:eastAsia="方正仿宋_GBK"/>
          <w:bCs/>
          <w:color w:val="auto"/>
          <w:sz w:val="28"/>
          <w:szCs w:val="28"/>
          <w:highlight w:val="none"/>
        </w:rPr>
        <w:t>保证货物供应的及时性，满足施工进度要求</w:t>
      </w:r>
      <w:r>
        <w:rPr>
          <w:rFonts w:hint="eastAsia" w:ascii="方正仿宋_GBK" w:hAnsi="宋体" w:eastAsia="方正仿宋_GBK"/>
          <w:bCs/>
          <w:color w:val="auto"/>
          <w:sz w:val="28"/>
          <w:szCs w:val="28"/>
          <w:highlight w:val="none"/>
          <w:lang w:eastAsia="zh-CN"/>
        </w:rPr>
        <w:t>。</w:t>
      </w:r>
    </w:p>
    <w:p w14:paraId="5A2405F5">
      <w:pPr>
        <w:tabs>
          <w:tab w:val="left" w:pos="0"/>
        </w:tabs>
        <w:adjustRightInd w:val="0"/>
        <w:spacing w:line="520" w:lineRule="exact"/>
        <w:ind w:firstLine="560" w:firstLineChars="200"/>
        <w:rPr>
          <w:rFonts w:hint="eastAsia" w:ascii="方正仿宋_GBK" w:hAnsi="宋体" w:eastAsia="方正仿宋_GBK"/>
          <w:color w:val="auto"/>
          <w:sz w:val="28"/>
          <w:szCs w:val="28"/>
          <w:highlight w:val="none"/>
          <w:lang w:eastAsia="zh-CN"/>
        </w:rPr>
      </w:pPr>
      <w:r>
        <w:rPr>
          <w:rFonts w:hint="eastAsia" w:ascii="方正仿宋_GBK" w:hAnsi="宋体" w:eastAsia="方正仿宋_GBK"/>
          <w:color w:val="auto"/>
          <w:sz w:val="28"/>
          <w:szCs w:val="28"/>
          <w:highlight w:val="none"/>
        </w:rPr>
        <w:t>4、</w:t>
      </w:r>
      <w:r>
        <w:rPr>
          <w:rFonts w:ascii="方正仿宋_GBK" w:hAnsi="宋体" w:eastAsia="方正仿宋_GBK"/>
          <w:color w:val="auto"/>
          <w:sz w:val="28"/>
          <w:szCs w:val="28"/>
          <w:highlight w:val="none"/>
        </w:rPr>
        <w:t>提供承诺书（对产品质量、供货数量、时间的及时性、提供增值税专票作出书面承诺，承诺书模板详见比选文件）</w:t>
      </w:r>
      <w:r>
        <w:rPr>
          <w:rFonts w:hint="eastAsia" w:ascii="方正仿宋_GBK" w:hAnsi="宋体" w:eastAsia="方正仿宋_GBK"/>
          <w:color w:val="auto"/>
          <w:sz w:val="28"/>
          <w:szCs w:val="28"/>
          <w:highlight w:val="none"/>
          <w:lang w:eastAsia="zh-CN"/>
        </w:rPr>
        <w:t>。</w:t>
      </w:r>
    </w:p>
    <w:p w14:paraId="2A3F8FB7">
      <w:pPr>
        <w:tabs>
          <w:tab w:val="left" w:pos="0"/>
        </w:tabs>
        <w:adjustRightInd w:val="0"/>
        <w:spacing w:line="520" w:lineRule="exact"/>
        <w:ind w:firstLine="551" w:firstLineChars="196"/>
        <w:outlineLvl w:val="0"/>
        <w:rPr>
          <w:rFonts w:ascii="方正仿宋_GBK" w:hAnsi="黑体" w:eastAsia="方正仿宋_GBK"/>
          <w:b/>
          <w:color w:val="auto"/>
          <w:sz w:val="28"/>
          <w:highlight w:val="none"/>
        </w:rPr>
      </w:pPr>
      <w:bookmarkStart w:id="8" w:name="_Toc367957821"/>
      <w:bookmarkEnd w:id="8"/>
      <w:bookmarkStart w:id="9" w:name="_Toc130893025"/>
      <w:bookmarkStart w:id="10" w:name="_Toc130893319"/>
      <w:r>
        <w:rPr>
          <w:rFonts w:hint="eastAsia" w:ascii="方正仿宋_GBK" w:hAnsi="黑体" w:eastAsia="方正仿宋_GBK"/>
          <w:b/>
          <w:color w:val="auto"/>
          <w:sz w:val="28"/>
          <w:highlight w:val="none"/>
        </w:rPr>
        <w:t>（四）质量标准</w:t>
      </w:r>
      <w:bookmarkEnd w:id="9"/>
      <w:bookmarkEnd w:id="10"/>
    </w:p>
    <w:p w14:paraId="34A47542">
      <w:pPr>
        <w:tabs>
          <w:tab w:val="left" w:pos="0"/>
          <w:tab w:val="left" w:pos="2324"/>
        </w:tabs>
        <w:adjustRightInd w:val="0"/>
        <w:spacing w:line="520" w:lineRule="exact"/>
        <w:ind w:firstLine="719" w:firstLineChars="257"/>
        <w:rPr>
          <w:rFonts w:ascii="方正仿宋_GBK" w:eastAsia="方正仿宋_GBK"/>
          <w:color w:val="auto"/>
          <w:sz w:val="28"/>
          <w:szCs w:val="24"/>
          <w:highlight w:val="none"/>
        </w:rPr>
      </w:pPr>
      <w:r>
        <w:rPr>
          <w:rFonts w:hint="eastAsia" w:ascii="方正仿宋_GBK" w:hAnsi="宋体" w:eastAsia="方正仿宋_GBK"/>
          <w:color w:val="auto"/>
          <w:sz w:val="28"/>
          <w:szCs w:val="28"/>
          <w:highlight w:val="none"/>
        </w:rPr>
        <w:t>1、防火门符合国标12J609</w:t>
      </w:r>
      <w:r>
        <w:rPr>
          <w:rFonts w:hint="eastAsia" w:ascii="方正仿宋_GBK" w:hAnsi="宋体" w:eastAsia="方正仿宋_GBK"/>
          <w:color w:val="auto"/>
          <w:sz w:val="28"/>
          <w:szCs w:val="28"/>
          <w:highlight w:val="none"/>
          <w:lang w:eastAsia="zh-CN"/>
        </w:rPr>
        <w:t>、</w:t>
      </w:r>
      <w:r>
        <w:rPr>
          <w:rFonts w:hint="eastAsia" w:ascii="方正仿宋_GBK" w:hAnsi="宋体" w:eastAsia="方正仿宋_GBK"/>
          <w:color w:val="auto"/>
          <w:sz w:val="28"/>
          <w:szCs w:val="28"/>
          <w:highlight w:val="none"/>
          <w:lang w:val="en-US" w:eastAsia="zh-CN"/>
        </w:rPr>
        <w:t>GB12955</w:t>
      </w:r>
      <w:r>
        <w:rPr>
          <w:rFonts w:hint="eastAsia" w:ascii="方正仿宋_GBK" w:hAnsi="宋体" w:eastAsia="方正仿宋_GBK"/>
          <w:color w:val="auto"/>
          <w:sz w:val="28"/>
          <w:szCs w:val="28"/>
          <w:highlight w:val="none"/>
        </w:rPr>
        <w:t>质量标准。主要填充</w:t>
      </w:r>
      <w:r>
        <w:rPr>
          <w:rFonts w:hint="eastAsia" w:ascii="方正仿宋_GBK" w:eastAsia="方正仿宋_GBK"/>
          <w:color w:val="auto"/>
          <w:sz w:val="28"/>
          <w:szCs w:val="24"/>
          <w:highlight w:val="none"/>
        </w:rPr>
        <w:t>为无机防火材料，防火锁、防火合页、防火闭门装置、插销等附件应与防火门使用功能协调一致，有效证明符合国家相关标准的规定。</w:t>
      </w:r>
    </w:p>
    <w:p w14:paraId="30AB1AB5">
      <w:pPr>
        <w:tabs>
          <w:tab w:val="left" w:pos="0"/>
          <w:tab w:val="left" w:pos="2324"/>
        </w:tabs>
        <w:adjustRightInd w:val="0"/>
        <w:spacing w:line="520" w:lineRule="exact"/>
        <w:ind w:firstLine="719" w:firstLineChars="257"/>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2、产品具有技术监督部门出具的产品质量检测报告</w:t>
      </w:r>
      <w:r>
        <w:rPr>
          <w:rFonts w:hint="eastAsia" w:ascii="方正仿宋_GBK" w:hAnsi="宋体" w:eastAsia="方正仿宋_GBK"/>
          <w:color w:val="auto"/>
          <w:sz w:val="28"/>
          <w:szCs w:val="28"/>
          <w:highlight w:val="none"/>
          <w:lang w:eastAsia="zh-CN"/>
        </w:rPr>
        <w:t>、</w:t>
      </w:r>
      <w:r>
        <w:rPr>
          <w:rFonts w:hint="eastAsia" w:ascii="方正仿宋_GBK" w:hAnsi="宋体" w:eastAsia="方正仿宋_GBK"/>
          <w:color w:val="auto"/>
          <w:sz w:val="28"/>
          <w:szCs w:val="28"/>
          <w:highlight w:val="none"/>
        </w:rPr>
        <w:t>产品合格证。</w:t>
      </w:r>
    </w:p>
    <w:p w14:paraId="21125FE3">
      <w:pPr>
        <w:tabs>
          <w:tab w:val="left" w:pos="0"/>
          <w:tab w:val="left" w:pos="2324"/>
        </w:tabs>
        <w:adjustRightInd w:val="0"/>
        <w:spacing w:line="520" w:lineRule="exact"/>
        <w:ind w:firstLine="719" w:firstLineChars="257"/>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3、防火门安装好后门框外的后塞抹灰由采购方负责，产品自身需灌浆填充的由中选单位负责。</w:t>
      </w:r>
    </w:p>
    <w:p w14:paraId="6E32E5B9">
      <w:pPr>
        <w:tabs>
          <w:tab w:val="left" w:pos="0"/>
          <w:tab w:val="left" w:pos="2324"/>
        </w:tabs>
        <w:adjustRightInd w:val="0"/>
        <w:spacing w:line="520" w:lineRule="exact"/>
        <w:ind w:firstLine="719" w:firstLineChars="257"/>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lang w:val="en-US" w:eastAsia="zh-CN"/>
        </w:rPr>
        <w:t>4</w:t>
      </w:r>
      <w:r>
        <w:rPr>
          <w:rFonts w:hint="eastAsia" w:ascii="方正仿宋_GBK" w:hAnsi="宋体" w:eastAsia="方正仿宋_GBK"/>
          <w:color w:val="auto"/>
          <w:sz w:val="28"/>
          <w:szCs w:val="28"/>
          <w:highlight w:val="none"/>
        </w:rPr>
        <w:t>、安装尺寸型号：具体根据施工现场实际测量尺寸制作安装。</w:t>
      </w:r>
    </w:p>
    <w:p w14:paraId="0BA99149">
      <w:pPr>
        <w:tabs>
          <w:tab w:val="left" w:pos="0"/>
          <w:tab w:val="left" w:pos="2324"/>
        </w:tabs>
        <w:adjustRightInd w:val="0"/>
        <w:spacing w:line="520" w:lineRule="exact"/>
        <w:ind w:firstLine="719" w:firstLineChars="257"/>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lang w:val="en-US" w:eastAsia="zh-CN"/>
        </w:rPr>
        <w:t>5</w:t>
      </w:r>
      <w:r>
        <w:rPr>
          <w:rFonts w:hint="eastAsia" w:ascii="方正仿宋_GBK" w:hAnsi="宋体" w:eastAsia="方正仿宋_GBK"/>
          <w:color w:val="auto"/>
          <w:sz w:val="28"/>
          <w:szCs w:val="28"/>
          <w:highlight w:val="none"/>
        </w:rPr>
        <w:t>、防火门颜色、夹板门、套装门款式在签订合同后</w:t>
      </w:r>
      <w:r>
        <w:rPr>
          <w:rFonts w:hint="eastAsia" w:ascii="方正仿宋_GBK" w:hAnsi="宋体" w:eastAsia="方正仿宋_GBK"/>
          <w:color w:val="auto"/>
          <w:sz w:val="28"/>
          <w:szCs w:val="28"/>
          <w:highlight w:val="none"/>
          <w:lang w:eastAsia="zh-CN"/>
        </w:rPr>
        <w:t>由中</w:t>
      </w:r>
      <w:r>
        <w:rPr>
          <w:rFonts w:hint="eastAsia" w:ascii="方正仿宋_GBK" w:hAnsi="宋体" w:eastAsia="方正仿宋_GBK"/>
          <w:color w:val="auto"/>
          <w:sz w:val="28"/>
          <w:szCs w:val="28"/>
          <w:highlight w:val="none"/>
        </w:rPr>
        <w:t>选单位与采购方施工现场相关人员确定后再下单批量生产。</w:t>
      </w:r>
    </w:p>
    <w:p w14:paraId="670AB136">
      <w:pPr>
        <w:tabs>
          <w:tab w:val="left" w:pos="0"/>
        </w:tabs>
        <w:adjustRightInd w:val="0"/>
        <w:spacing w:line="520" w:lineRule="exact"/>
        <w:ind w:firstLine="551" w:firstLineChars="196"/>
        <w:outlineLvl w:val="0"/>
        <w:rPr>
          <w:rFonts w:ascii="方正仿宋_GBK" w:hAnsi="黑体" w:eastAsia="方正仿宋_GBK"/>
          <w:b/>
          <w:color w:val="auto"/>
          <w:sz w:val="28"/>
          <w:highlight w:val="none"/>
        </w:rPr>
      </w:pPr>
      <w:bookmarkStart w:id="11" w:name="_Toc130893320"/>
      <w:r>
        <w:rPr>
          <w:rFonts w:hint="eastAsia" w:ascii="方正仿宋_GBK" w:hAnsi="黑体" w:eastAsia="方正仿宋_GBK"/>
          <w:b/>
          <w:color w:val="auto"/>
          <w:sz w:val="28"/>
          <w:highlight w:val="none"/>
        </w:rPr>
        <w:t>（五）技术参数要求</w:t>
      </w:r>
      <w:bookmarkEnd w:id="11"/>
    </w:p>
    <w:p w14:paraId="2371D474">
      <w:pPr>
        <w:tabs>
          <w:tab w:val="left" w:pos="0"/>
          <w:tab w:val="left" w:pos="2324"/>
        </w:tabs>
        <w:adjustRightInd w:val="0"/>
        <w:spacing w:line="520" w:lineRule="exact"/>
        <w:ind w:firstLine="719" w:firstLineChars="257"/>
        <w:rPr>
          <w:rFonts w:hint="default" w:ascii="方正仿宋_GBK" w:hAnsi="宋体" w:eastAsia="方正仿宋_GBK"/>
          <w:color w:val="auto"/>
          <w:sz w:val="28"/>
          <w:szCs w:val="28"/>
          <w:highlight w:val="none"/>
          <w:lang w:val="en-US" w:eastAsia="zh-CN"/>
        </w:rPr>
      </w:pPr>
      <w:r>
        <w:rPr>
          <w:rFonts w:hint="eastAsia" w:ascii="方正仿宋_GBK" w:hAnsi="宋体" w:eastAsia="方正仿宋_GBK"/>
          <w:color w:val="auto"/>
          <w:sz w:val="28"/>
          <w:szCs w:val="28"/>
          <w:highlight w:val="none"/>
        </w:rPr>
        <w:t>1、</w:t>
      </w:r>
      <w:r>
        <w:rPr>
          <w:rFonts w:hint="eastAsia" w:ascii="方正仿宋_GBK" w:hAnsi="宋体" w:eastAsia="方正仿宋_GBK"/>
          <w:color w:val="auto"/>
          <w:sz w:val="28"/>
          <w:szCs w:val="28"/>
          <w:highlight w:val="none"/>
          <w:lang w:val="en-US" w:eastAsia="zh-CN"/>
        </w:rPr>
        <w:t>成品木门扇（</w:t>
      </w:r>
      <w:r>
        <w:rPr>
          <w:rFonts w:hint="eastAsia" w:ascii="方正仿宋_GBK" w:hAnsi="宋体" w:eastAsia="方正仿宋_GBK"/>
          <w:color w:val="auto"/>
          <w:sz w:val="28"/>
          <w:szCs w:val="28"/>
          <w:highlight w:val="none"/>
        </w:rPr>
        <w:t>套装</w:t>
      </w:r>
      <w:r>
        <w:rPr>
          <w:rFonts w:hint="eastAsia" w:ascii="方正仿宋_GBK" w:hAnsi="宋体" w:eastAsia="方正仿宋_GBK"/>
          <w:color w:val="auto"/>
          <w:sz w:val="28"/>
          <w:szCs w:val="28"/>
          <w:highlight w:val="none"/>
          <w:lang w:val="en-US" w:eastAsia="zh-CN"/>
        </w:rPr>
        <w:t>）</w:t>
      </w:r>
      <w:r>
        <w:rPr>
          <w:rFonts w:hint="eastAsia" w:ascii="方正仿宋_GBK" w:hAnsi="宋体" w:eastAsia="方正仿宋_GBK"/>
          <w:color w:val="auto"/>
          <w:sz w:val="28"/>
          <w:szCs w:val="28"/>
          <w:highlight w:val="none"/>
        </w:rPr>
        <w:t>：门扇厚度43mm，门框厚度3</w:t>
      </w:r>
      <w:r>
        <w:rPr>
          <w:rFonts w:hint="eastAsia" w:ascii="方正仿宋_GBK" w:hAnsi="宋体" w:eastAsia="方正仿宋_GBK"/>
          <w:color w:val="auto"/>
          <w:sz w:val="28"/>
          <w:szCs w:val="28"/>
          <w:highlight w:val="none"/>
          <w:lang w:val="en-US" w:eastAsia="zh-CN"/>
        </w:rPr>
        <w:t>0</w:t>
      </w:r>
      <w:r>
        <w:rPr>
          <w:rFonts w:hint="eastAsia" w:ascii="方正仿宋_GBK" w:hAnsi="宋体" w:eastAsia="方正仿宋_GBK"/>
          <w:color w:val="auto"/>
          <w:sz w:val="28"/>
          <w:szCs w:val="28"/>
          <w:highlight w:val="none"/>
        </w:rPr>
        <w:t>mm，饰面为</w:t>
      </w:r>
      <w:r>
        <w:rPr>
          <w:rFonts w:hint="eastAsia" w:ascii="方正仿宋_GBK" w:hAnsi="宋体" w:eastAsia="方正仿宋_GBK"/>
          <w:color w:val="auto"/>
          <w:sz w:val="28"/>
          <w:szCs w:val="28"/>
          <w:highlight w:val="none"/>
          <w:lang w:val="en-US" w:eastAsia="zh-CN"/>
        </w:rPr>
        <w:t>4</w:t>
      </w:r>
      <w:r>
        <w:rPr>
          <w:rFonts w:hint="eastAsia" w:ascii="方正仿宋_GBK" w:hAnsi="宋体" w:eastAsia="方正仿宋_GBK"/>
          <w:color w:val="auto"/>
          <w:sz w:val="28"/>
          <w:szCs w:val="28"/>
          <w:highlight w:val="none"/>
        </w:rPr>
        <w:t>mm高密度免漆板，四周木方做框架，内部80%木方填充，门套线为</w:t>
      </w:r>
      <w:r>
        <w:rPr>
          <w:rFonts w:hint="eastAsia" w:ascii="方正仿宋_GBK" w:hAnsi="宋体" w:eastAsia="方正仿宋_GBK"/>
          <w:color w:val="auto"/>
          <w:sz w:val="28"/>
          <w:szCs w:val="28"/>
          <w:highlight w:val="none"/>
          <w:lang w:val="en-US" w:eastAsia="zh-CN"/>
        </w:rPr>
        <w:t>57</w:t>
      </w:r>
      <w:r>
        <w:rPr>
          <w:rFonts w:hint="eastAsia" w:ascii="方正仿宋_GBK" w:hAnsi="宋体" w:eastAsia="方正仿宋_GBK"/>
          <w:color w:val="auto"/>
          <w:sz w:val="28"/>
          <w:szCs w:val="28"/>
          <w:highlight w:val="none"/>
        </w:rPr>
        <w:t>mm宽复合实木线条。</w:t>
      </w:r>
      <w:r>
        <w:rPr>
          <w:rFonts w:hint="eastAsia" w:ascii="方正仿宋_GBK" w:hAnsi="宋体" w:eastAsia="方正仿宋_GBK"/>
          <w:color w:val="auto"/>
          <w:sz w:val="28"/>
          <w:szCs w:val="28"/>
          <w:highlight w:val="none"/>
          <w:lang w:val="en-US" w:eastAsia="zh-CN"/>
        </w:rPr>
        <w:t>观察窗改为200mm*400mm，参照现场样板。</w:t>
      </w:r>
    </w:p>
    <w:p w14:paraId="0E1D21D9">
      <w:pPr>
        <w:tabs>
          <w:tab w:val="left" w:pos="0"/>
          <w:tab w:val="left" w:pos="2324"/>
        </w:tabs>
        <w:adjustRightInd w:val="0"/>
        <w:spacing w:line="520" w:lineRule="exact"/>
        <w:ind w:firstLine="719" w:firstLineChars="257"/>
        <w:rPr>
          <w:rFonts w:hint="default" w:ascii="方正仿宋_GBK" w:hAnsi="宋体" w:eastAsia="方正仿宋_GBK"/>
          <w:color w:val="auto"/>
          <w:sz w:val="28"/>
          <w:szCs w:val="28"/>
          <w:highlight w:val="none"/>
          <w:lang w:val="en-US" w:eastAsia="zh-CN"/>
        </w:rPr>
      </w:pPr>
      <w:r>
        <w:rPr>
          <w:rFonts w:hint="eastAsia" w:ascii="方正仿宋_GBK" w:hAnsi="宋体" w:eastAsia="方正仿宋_GBK"/>
          <w:color w:val="auto"/>
          <w:sz w:val="28"/>
          <w:szCs w:val="28"/>
          <w:highlight w:val="none"/>
          <w:lang w:val="en-US" w:eastAsia="zh-CN"/>
        </w:rPr>
        <w:t>2</w:t>
      </w:r>
      <w:r>
        <w:rPr>
          <w:rFonts w:hint="eastAsia" w:ascii="方正仿宋_GBK" w:hAnsi="宋体" w:eastAsia="方正仿宋_GBK"/>
          <w:color w:val="auto"/>
          <w:sz w:val="28"/>
          <w:szCs w:val="28"/>
          <w:highlight w:val="none"/>
        </w:rPr>
        <w:t>、</w:t>
      </w:r>
      <w:r>
        <w:rPr>
          <w:rFonts w:hint="eastAsia" w:ascii="方正仿宋_GBK" w:hAnsi="宋体" w:eastAsia="方正仿宋_GBK"/>
          <w:color w:val="auto"/>
          <w:sz w:val="28"/>
          <w:szCs w:val="28"/>
          <w:highlight w:val="none"/>
          <w:lang w:val="en-US" w:eastAsia="zh-CN"/>
        </w:rPr>
        <w:t>甲</w:t>
      </w:r>
      <w:r>
        <w:rPr>
          <w:rFonts w:hint="eastAsia" w:ascii="方正仿宋_GBK" w:hAnsi="宋体" w:eastAsia="方正仿宋_GBK"/>
          <w:color w:val="auto"/>
          <w:sz w:val="28"/>
          <w:szCs w:val="28"/>
          <w:highlight w:val="none"/>
        </w:rPr>
        <w:t>级木质防火门：门扇门框面板为3mm柳桉三夹板，内加6mm无机防火板，四周阻燃杉木做框架，内部填充防火材料。</w:t>
      </w:r>
      <w:r>
        <w:rPr>
          <w:rFonts w:hint="eastAsia" w:ascii="方正仿宋_GBK" w:hAnsi="宋体" w:eastAsia="方正仿宋_GBK"/>
          <w:color w:val="auto"/>
          <w:sz w:val="28"/>
          <w:szCs w:val="28"/>
          <w:highlight w:val="none"/>
          <w:lang w:val="en-US" w:eastAsia="zh-CN"/>
        </w:rPr>
        <w:t>提供检验报告。</w:t>
      </w:r>
    </w:p>
    <w:p w14:paraId="0A14D856">
      <w:pPr>
        <w:tabs>
          <w:tab w:val="left" w:pos="0"/>
          <w:tab w:val="left" w:pos="2324"/>
        </w:tabs>
        <w:adjustRightInd w:val="0"/>
        <w:spacing w:line="520" w:lineRule="exact"/>
        <w:ind w:firstLine="719" w:firstLineChars="257"/>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3、乙级木质防火门：门扇门框面板为3mm柳桉三夹板，内加6mm无机防火板，四周阻燃杉木做框架，内部填充防火材料。</w:t>
      </w:r>
      <w:r>
        <w:rPr>
          <w:rFonts w:hint="eastAsia" w:ascii="方正仿宋_GBK" w:hAnsi="宋体" w:eastAsia="方正仿宋_GBK"/>
          <w:color w:val="auto"/>
          <w:sz w:val="28"/>
          <w:szCs w:val="28"/>
          <w:highlight w:val="none"/>
          <w:lang w:val="en-US" w:eastAsia="zh-CN"/>
        </w:rPr>
        <w:t>提供检验报告。</w:t>
      </w:r>
    </w:p>
    <w:p w14:paraId="4AB0681F">
      <w:pPr>
        <w:tabs>
          <w:tab w:val="left" w:pos="0"/>
          <w:tab w:val="left" w:pos="2324"/>
        </w:tabs>
        <w:adjustRightInd w:val="0"/>
        <w:spacing w:line="520" w:lineRule="exact"/>
        <w:ind w:firstLine="719" w:firstLineChars="257"/>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lang w:val="en-US" w:eastAsia="zh-CN"/>
        </w:rPr>
        <w:t>4</w:t>
      </w:r>
      <w:r>
        <w:rPr>
          <w:rFonts w:hint="eastAsia" w:ascii="方正仿宋_GBK" w:hAnsi="宋体" w:eastAsia="方正仿宋_GBK"/>
          <w:color w:val="auto"/>
          <w:sz w:val="28"/>
          <w:szCs w:val="28"/>
          <w:highlight w:val="none"/>
        </w:rPr>
        <w:t>、钢质</w:t>
      </w:r>
      <w:r>
        <w:rPr>
          <w:rFonts w:hint="eastAsia" w:ascii="方正仿宋_GBK" w:hAnsi="宋体" w:eastAsia="方正仿宋_GBK"/>
          <w:color w:val="auto"/>
          <w:sz w:val="28"/>
          <w:szCs w:val="28"/>
          <w:highlight w:val="none"/>
          <w:lang w:val="en-US" w:eastAsia="zh-CN"/>
        </w:rPr>
        <w:t>节能外</w:t>
      </w:r>
      <w:r>
        <w:rPr>
          <w:rFonts w:hint="eastAsia" w:ascii="方正仿宋_GBK" w:hAnsi="宋体" w:eastAsia="方正仿宋_GBK"/>
          <w:color w:val="auto"/>
          <w:sz w:val="28"/>
          <w:szCs w:val="28"/>
          <w:highlight w:val="none"/>
        </w:rPr>
        <w:t>门：技术参数：材质厚度框1.2mm，扇0.8mm，中间为节能材料</w:t>
      </w:r>
      <w:r>
        <w:rPr>
          <w:rFonts w:hint="eastAsia" w:ascii="方正仿宋_GBK" w:hAnsi="宋体" w:eastAsia="方正仿宋_GBK"/>
          <w:color w:val="auto"/>
          <w:sz w:val="28"/>
          <w:szCs w:val="28"/>
          <w:highlight w:val="none"/>
          <w:lang w:eastAsia="zh-CN"/>
        </w:rPr>
        <w:t>，</w:t>
      </w:r>
      <w:r>
        <w:rPr>
          <w:rFonts w:hint="eastAsia" w:ascii="方正仿宋_GBK" w:hAnsi="宋体" w:eastAsia="方正仿宋_GBK"/>
          <w:color w:val="auto"/>
          <w:sz w:val="28"/>
          <w:szCs w:val="28"/>
          <w:highlight w:val="none"/>
          <w:lang w:val="en-US" w:eastAsia="zh-CN"/>
        </w:rPr>
        <w:t>后附节能参数图片</w:t>
      </w:r>
      <w:r>
        <w:rPr>
          <w:rFonts w:hint="eastAsia" w:ascii="方正仿宋_GBK" w:hAnsi="宋体" w:eastAsia="方正仿宋_GBK"/>
          <w:color w:val="auto"/>
          <w:sz w:val="28"/>
          <w:szCs w:val="28"/>
          <w:highlight w:val="none"/>
        </w:rPr>
        <w:t>，外带边，颜色棕色（可参照一期卫生间门）。</w:t>
      </w:r>
    </w:p>
    <w:p w14:paraId="4958436D">
      <w:pPr>
        <w:tabs>
          <w:tab w:val="left" w:pos="0"/>
          <w:tab w:val="left" w:pos="2324"/>
        </w:tabs>
        <w:adjustRightInd w:val="0"/>
        <w:spacing w:line="520" w:lineRule="exact"/>
        <w:ind w:firstLine="719" w:firstLineChars="257"/>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lang w:val="en-US" w:eastAsia="zh-CN"/>
        </w:rPr>
        <w:t>5</w:t>
      </w:r>
      <w:r>
        <w:rPr>
          <w:rFonts w:hint="eastAsia" w:ascii="方正仿宋_GBK" w:hAnsi="宋体" w:eastAsia="方正仿宋_GBK"/>
          <w:color w:val="auto"/>
          <w:sz w:val="28"/>
          <w:szCs w:val="28"/>
          <w:highlight w:val="none"/>
        </w:rPr>
        <w:t>、其他要求（图片可自行放大）</w:t>
      </w:r>
    </w:p>
    <w:p w14:paraId="45F5AC7D">
      <w:pPr>
        <w:tabs>
          <w:tab w:val="left" w:pos="0"/>
          <w:tab w:val="left" w:pos="2324"/>
        </w:tabs>
        <w:adjustRightInd w:val="0"/>
        <w:spacing w:line="520" w:lineRule="exact"/>
        <w:ind w:firstLine="539" w:firstLineChars="257"/>
        <w:rPr>
          <w:rFonts w:ascii="方正仿宋_GBK" w:hAnsi="宋体" w:eastAsia="方正仿宋_GBK"/>
          <w:color w:val="auto"/>
          <w:sz w:val="28"/>
          <w:szCs w:val="28"/>
          <w:highlight w:val="none"/>
        </w:rPr>
      </w:pPr>
      <w:r>
        <w:rPr>
          <w:color w:val="auto"/>
          <w:highlight w:val="none"/>
        </w:rPr>
        <w:drawing>
          <wp:anchor distT="0" distB="0" distL="114300" distR="114300" simplePos="0" relativeHeight="251659264" behindDoc="1" locked="0" layoutInCell="1" allowOverlap="1">
            <wp:simplePos x="0" y="0"/>
            <wp:positionH relativeFrom="column">
              <wp:posOffset>175895</wp:posOffset>
            </wp:positionH>
            <wp:positionV relativeFrom="paragraph">
              <wp:posOffset>100330</wp:posOffset>
            </wp:positionV>
            <wp:extent cx="5608320" cy="2685415"/>
            <wp:effectExtent l="0" t="0" r="11430" b="635"/>
            <wp:wrapTight wrapText="bothSides">
              <wp:wrapPolygon>
                <wp:start x="0" y="0"/>
                <wp:lineTo x="0" y="21452"/>
                <wp:lineTo x="21497" y="21452"/>
                <wp:lineTo x="21497" y="0"/>
                <wp:lineTo x="0" y="0"/>
              </wp:wrapPolygon>
            </wp:wrapTight>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5608320" cy="2685415"/>
                    </a:xfrm>
                    <a:prstGeom prst="rect">
                      <a:avLst/>
                    </a:prstGeom>
                    <a:noFill/>
                    <a:ln>
                      <a:noFill/>
                    </a:ln>
                  </pic:spPr>
                </pic:pic>
              </a:graphicData>
            </a:graphic>
          </wp:anchor>
        </w:drawing>
      </w:r>
    </w:p>
    <w:p w14:paraId="2612C721">
      <w:pPr>
        <w:tabs>
          <w:tab w:val="left" w:pos="0"/>
        </w:tabs>
        <w:adjustRightInd w:val="0"/>
        <w:spacing w:line="560" w:lineRule="exact"/>
        <w:ind w:firstLine="411" w:firstLineChars="196"/>
        <w:outlineLvl w:val="0"/>
        <w:rPr>
          <w:rFonts w:hint="eastAsia" w:ascii="方正仿宋_GBK" w:hAnsi="黑体" w:eastAsia="方正仿宋_GBK"/>
          <w:b/>
          <w:color w:val="auto"/>
          <w:sz w:val="28"/>
          <w:highlight w:val="none"/>
        </w:rPr>
      </w:pPr>
      <w:bookmarkStart w:id="12" w:name="_Toc130893026"/>
      <w:bookmarkStart w:id="13" w:name="_Toc130893321"/>
      <w:r>
        <w:rPr>
          <w:color w:val="auto"/>
          <w:highlight w:val="none"/>
        </w:rPr>
        <w:drawing>
          <wp:anchor distT="0" distB="0" distL="114300" distR="114300" simplePos="0" relativeHeight="251660288" behindDoc="0" locked="0" layoutInCell="1" allowOverlap="1">
            <wp:simplePos x="0" y="0"/>
            <wp:positionH relativeFrom="column">
              <wp:posOffset>52070</wp:posOffset>
            </wp:positionH>
            <wp:positionV relativeFrom="paragraph">
              <wp:posOffset>7620</wp:posOffset>
            </wp:positionV>
            <wp:extent cx="5612130" cy="1036320"/>
            <wp:effectExtent l="0" t="0" r="7620" b="11430"/>
            <wp:wrapSquare wrapText="bothSides"/>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5612130" cy="1036320"/>
                    </a:xfrm>
                    <a:prstGeom prst="rect">
                      <a:avLst/>
                    </a:prstGeom>
                    <a:noFill/>
                    <a:ln>
                      <a:noFill/>
                    </a:ln>
                  </pic:spPr>
                </pic:pic>
              </a:graphicData>
            </a:graphic>
          </wp:anchor>
        </w:drawing>
      </w:r>
    </w:p>
    <w:p w14:paraId="3610F7B7">
      <w:pPr>
        <w:tabs>
          <w:tab w:val="left" w:pos="0"/>
        </w:tabs>
        <w:adjustRightInd w:val="0"/>
        <w:spacing w:line="560" w:lineRule="exact"/>
        <w:ind w:firstLine="551" w:firstLineChars="196"/>
        <w:outlineLvl w:val="0"/>
        <w:rPr>
          <w:rFonts w:ascii="方正仿宋_GBK" w:hAnsi="黑体" w:eastAsia="方正仿宋_GBK"/>
          <w:b/>
          <w:color w:val="auto"/>
          <w:sz w:val="28"/>
          <w:highlight w:val="none"/>
        </w:rPr>
      </w:pPr>
      <w:r>
        <w:rPr>
          <w:rFonts w:hint="eastAsia" w:ascii="方正仿宋_GBK" w:hAnsi="黑体" w:eastAsia="方正仿宋_GBK"/>
          <w:b/>
          <w:color w:val="auto"/>
          <w:sz w:val="28"/>
          <w:highlight w:val="none"/>
        </w:rPr>
        <w:t>（六）计量、验收方式</w:t>
      </w:r>
      <w:bookmarkEnd w:id="12"/>
      <w:bookmarkEnd w:id="13"/>
    </w:p>
    <w:p w14:paraId="47FB9082">
      <w:pPr>
        <w:tabs>
          <w:tab w:val="left" w:pos="0"/>
        </w:tabs>
        <w:adjustRightInd w:val="0"/>
        <w:spacing w:line="560" w:lineRule="exact"/>
        <w:ind w:firstLine="548" w:firstLineChars="196"/>
        <w:outlineLvl w:val="0"/>
        <w:rPr>
          <w:rFonts w:ascii="方正仿宋_GBK" w:hAnsi="黑体" w:eastAsia="方正仿宋_GBK"/>
          <w:color w:val="auto"/>
          <w:sz w:val="28"/>
          <w:highlight w:val="none"/>
        </w:rPr>
      </w:pPr>
      <w:bookmarkStart w:id="14" w:name="_Toc130893322"/>
      <w:bookmarkStart w:id="15" w:name="_Toc130893027"/>
      <w:r>
        <w:rPr>
          <w:rFonts w:hint="eastAsia" w:ascii="方正仿宋_GBK" w:hAnsi="黑体" w:eastAsia="方正仿宋_GBK"/>
          <w:color w:val="auto"/>
          <w:sz w:val="28"/>
          <w:highlight w:val="none"/>
        </w:rPr>
        <w:t>1、计量单位：</w:t>
      </w:r>
      <w:r>
        <w:rPr>
          <w:rFonts w:hint="eastAsia" w:ascii="方正仿宋_GBK" w:eastAsia="方正仿宋_GBK"/>
          <w:color w:val="auto"/>
          <w:sz w:val="28"/>
          <w:szCs w:val="24"/>
          <w:highlight w:val="none"/>
        </w:rPr>
        <w:t>㎡。</w:t>
      </w:r>
      <w:bookmarkEnd w:id="14"/>
      <w:bookmarkEnd w:id="15"/>
    </w:p>
    <w:p w14:paraId="07CC70A9">
      <w:pPr>
        <w:tabs>
          <w:tab w:val="left" w:pos="0"/>
        </w:tabs>
        <w:adjustRightInd w:val="0"/>
        <w:spacing w:line="560" w:lineRule="exact"/>
        <w:ind w:firstLine="548" w:firstLineChars="196"/>
        <w:outlineLvl w:val="0"/>
        <w:rPr>
          <w:rFonts w:ascii="方正仿宋_GBK" w:hAnsi="黑体" w:eastAsia="方正仿宋_GBK"/>
          <w:color w:val="auto"/>
          <w:sz w:val="28"/>
          <w:highlight w:val="none"/>
        </w:rPr>
      </w:pPr>
      <w:bookmarkStart w:id="16" w:name="_Toc130893028"/>
      <w:bookmarkStart w:id="17" w:name="_Toc130893323"/>
      <w:r>
        <w:rPr>
          <w:rFonts w:hint="eastAsia" w:ascii="方正仿宋_GBK" w:hAnsi="黑体" w:eastAsia="方正仿宋_GBK"/>
          <w:color w:val="auto"/>
          <w:sz w:val="28"/>
          <w:highlight w:val="none"/>
        </w:rPr>
        <w:t>2、验收方式：按设计图纸洞口尺寸收方计量，超出洞口尺寸面积的收口线条、木桩等不另外计费。如</w:t>
      </w:r>
      <w:r>
        <w:rPr>
          <w:rFonts w:hint="eastAsia" w:ascii="方正仿宋_GBK" w:eastAsia="方正仿宋_GBK"/>
          <w:color w:val="auto"/>
          <w:sz w:val="28"/>
          <w:szCs w:val="24"/>
          <w:highlight w:val="none"/>
        </w:rPr>
        <w:t>因业主、设计要求变更，按变更后设计图洞口尺寸收方计量。</w:t>
      </w:r>
      <w:bookmarkEnd w:id="16"/>
      <w:bookmarkEnd w:id="17"/>
    </w:p>
    <w:p w14:paraId="042E3538">
      <w:pPr>
        <w:tabs>
          <w:tab w:val="left" w:pos="0"/>
        </w:tabs>
        <w:adjustRightInd w:val="0"/>
        <w:spacing w:line="560" w:lineRule="exact"/>
        <w:ind w:firstLine="551" w:firstLineChars="196"/>
        <w:outlineLvl w:val="0"/>
        <w:rPr>
          <w:rFonts w:ascii="方正仿宋_GBK" w:hAnsi="黑体" w:eastAsia="方正仿宋_GBK"/>
          <w:b/>
          <w:color w:val="auto"/>
          <w:sz w:val="28"/>
          <w:highlight w:val="none"/>
        </w:rPr>
      </w:pPr>
      <w:bookmarkStart w:id="18" w:name="_Toc130893324"/>
      <w:bookmarkStart w:id="19" w:name="_Toc130893029"/>
      <w:r>
        <w:rPr>
          <w:rFonts w:hint="eastAsia" w:ascii="方正仿宋_GBK" w:hAnsi="黑体" w:eastAsia="方正仿宋_GBK"/>
          <w:b/>
          <w:color w:val="auto"/>
          <w:sz w:val="28"/>
          <w:highlight w:val="none"/>
        </w:rPr>
        <w:t>（七）样品及品牌品质要求</w:t>
      </w:r>
      <w:bookmarkEnd w:id="18"/>
      <w:bookmarkEnd w:id="19"/>
    </w:p>
    <w:p w14:paraId="5E6503C3">
      <w:pPr>
        <w:tabs>
          <w:tab w:val="left" w:pos="0"/>
        </w:tabs>
        <w:adjustRightInd w:val="0"/>
        <w:spacing w:line="50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1、样品：本次比选竞选人无需提供样品，竞选人自行到</w:t>
      </w:r>
      <w:r>
        <w:rPr>
          <w:rFonts w:hint="eastAsia" w:ascii="方正仿宋_GBK" w:hAnsi="宋体" w:eastAsia="方正仿宋_GBK"/>
          <w:color w:val="auto"/>
          <w:sz w:val="28"/>
          <w:szCs w:val="28"/>
          <w:highlight w:val="none"/>
          <w:lang w:val="en-US" w:eastAsia="zh-CN"/>
        </w:rPr>
        <w:t>施工现场样板间</w:t>
      </w:r>
      <w:r>
        <w:rPr>
          <w:rFonts w:hint="eastAsia" w:ascii="方正仿宋_GBK" w:hAnsi="宋体" w:eastAsia="方正仿宋_GBK"/>
          <w:color w:val="auto"/>
          <w:sz w:val="28"/>
          <w:szCs w:val="28"/>
          <w:highlight w:val="none"/>
        </w:rPr>
        <w:t>处勘查比选人确定的样品质量、颜色、款式等，</w:t>
      </w:r>
      <w:r>
        <w:rPr>
          <w:rFonts w:hint="eastAsia" w:ascii="方正仿宋_GBK" w:hAnsi="宋体" w:eastAsia="方正仿宋_GBK"/>
          <w:b/>
          <w:color w:val="auto"/>
          <w:sz w:val="28"/>
          <w:szCs w:val="28"/>
          <w:highlight w:val="none"/>
        </w:rPr>
        <w:t>按照样品标准及技术参数要求填写报价。</w:t>
      </w:r>
    </w:p>
    <w:p w14:paraId="5036C020">
      <w:pPr>
        <w:tabs>
          <w:tab w:val="left" w:pos="0"/>
        </w:tabs>
        <w:adjustRightInd w:val="0"/>
        <w:spacing w:line="560" w:lineRule="exact"/>
        <w:ind w:firstLine="548" w:firstLineChars="196"/>
        <w:outlineLvl w:val="0"/>
        <w:rPr>
          <w:rFonts w:hint="eastAsia" w:ascii="方正仿宋_GBK" w:hAnsi="宋体" w:eastAsia="方正仿宋_GBK"/>
          <w:color w:val="auto"/>
          <w:sz w:val="28"/>
          <w:szCs w:val="28"/>
          <w:highlight w:val="none"/>
          <w:lang w:eastAsia="zh-CN"/>
        </w:rPr>
      </w:pPr>
      <w:bookmarkStart w:id="20" w:name="_Toc130893030"/>
      <w:bookmarkStart w:id="21" w:name="_Toc130893325"/>
      <w:r>
        <w:rPr>
          <w:rFonts w:hint="eastAsia" w:ascii="方正仿宋_GBK" w:hAnsi="宋体" w:eastAsia="方正仿宋_GBK"/>
          <w:color w:val="auto"/>
          <w:sz w:val="28"/>
          <w:szCs w:val="28"/>
          <w:highlight w:val="none"/>
        </w:rPr>
        <w:t>2、品牌：采购方不指定品牌报价</w:t>
      </w:r>
      <w:bookmarkEnd w:id="20"/>
      <w:bookmarkEnd w:id="21"/>
      <w:r>
        <w:rPr>
          <w:rFonts w:hint="eastAsia" w:ascii="方正仿宋_GBK" w:hAnsi="宋体" w:eastAsia="方正仿宋_GBK"/>
          <w:color w:val="auto"/>
          <w:sz w:val="28"/>
          <w:szCs w:val="28"/>
          <w:highlight w:val="none"/>
          <w:lang w:eastAsia="zh-CN"/>
        </w:rPr>
        <w:t>。</w:t>
      </w:r>
    </w:p>
    <w:p w14:paraId="1E15A349">
      <w:pPr>
        <w:tabs>
          <w:tab w:val="left" w:pos="0"/>
        </w:tabs>
        <w:adjustRightInd w:val="0"/>
        <w:spacing w:line="560" w:lineRule="exact"/>
        <w:ind w:firstLine="548" w:firstLineChars="196"/>
        <w:outlineLvl w:val="0"/>
        <w:rPr>
          <w:rFonts w:ascii="方正仿宋_GBK" w:eastAsia="方正仿宋_GBK"/>
          <w:color w:val="auto"/>
          <w:sz w:val="28"/>
          <w:szCs w:val="24"/>
          <w:highlight w:val="none"/>
        </w:rPr>
      </w:pPr>
      <w:bookmarkStart w:id="22" w:name="_Toc130893326"/>
      <w:bookmarkStart w:id="23" w:name="_Toc130893031"/>
      <w:r>
        <w:rPr>
          <w:rFonts w:hint="eastAsia" w:ascii="方正仿宋_GBK" w:hAnsi="宋体" w:eastAsia="方正仿宋_GBK"/>
          <w:color w:val="auto"/>
          <w:sz w:val="28"/>
          <w:szCs w:val="28"/>
          <w:highlight w:val="none"/>
        </w:rPr>
        <w:t>3、防火门系列由竞选人自行选择消防备案品牌报价，所报品牌品质必须达到国家相关消防验收规范标准，</w:t>
      </w:r>
      <w:r>
        <w:rPr>
          <w:rFonts w:hint="eastAsia" w:ascii="方正仿宋_GBK" w:eastAsia="方正仿宋_GBK"/>
          <w:color w:val="auto"/>
          <w:sz w:val="28"/>
          <w:szCs w:val="24"/>
          <w:highlight w:val="none"/>
        </w:rPr>
        <w:t>并经过公安消防验收为合格产品，满足采购方对防火门要求的等级，即甲级、乙级。若未能达到公安消防验收合格的，由中选单位负责整改直至消防验收合格。</w:t>
      </w:r>
      <w:bookmarkEnd w:id="22"/>
      <w:bookmarkEnd w:id="23"/>
    </w:p>
    <w:p w14:paraId="540347FE">
      <w:pPr>
        <w:tabs>
          <w:tab w:val="left" w:pos="0"/>
        </w:tabs>
        <w:adjustRightInd w:val="0"/>
        <w:spacing w:line="560" w:lineRule="exact"/>
        <w:ind w:firstLine="548" w:firstLineChars="196"/>
        <w:outlineLvl w:val="0"/>
        <w:rPr>
          <w:rFonts w:ascii="方正仿宋_GBK" w:hAnsi="宋体" w:eastAsia="方正仿宋_GBK"/>
          <w:color w:val="auto"/>
          <w:sz w:val="28"/>
          <w:szCs w:val="28"/>
          <w:highlight w:val="none"/>
        </w:rPr>
      </w:pPr>
      <w:bookmarkStart w:id="24" w:name="_Toc130893327"/>
      <w:bookmarkStart w:id="25" w:name="_Toc130893032"/>
      <w:r>
        <w:rPr>
          <w:rFonts w:hint="eastAsia" w:ascii="方正仿宋_GBK" w:eastAsia="方正仿宋_GBK"/>
          <w:color w:val="auto"/>
          <w:sz w:val="28"/>
          <w:szCs w:val="24"/>
          <w:highlight w:val="none"/>
        </w:rPr>
        <w:t>4、</w:t>
      </w:r>
      <w:r>
        <w:rPr>
          <w:rFonts w:hint="eastAsia" w:ascii="方正仿宋_GBK" w:hAnsi="宋体" w:eastAsia="方正仿宋_GBK"/>
          <w:color w:val="auto"/>
          <w:sz w:val="28"/>
          <w:szCs w:val="28"/>
          <w:highlight w:val="none"/>
        </w:rPr>
        <w:t>钢质</w:t>
      </w:r>
      <w:r>
        <w:rPr>
          <w:rFonts w:hint="eastAsia" w:ascii="方正仿宋_GBK" w:hAnsi="宋体" w:eastAsia="方正仿宋_GBK"/>
          <w:color w:val="auto"/>
          <w:sz w:val="28"/>
          <w:szCs w:val="28"/>
          <w:highlight w:val="none"/>
          <w:lang w:val="en-US" w:eastAsia="zh-CN"/>
        </w:rPr>
        <w:t>节能外</w:t>
      </w:r>
      <w:r>
        <w:rPr>
          <w:rFonts w:hint="eastAsia" w:ascii="方正仿宋_GBK" w:hAnsi="宋体" w:eastAsia="方正仿宋_GBK"/>
          <w:color w:val="auto"/>
          <w:sz w:val="28"/>
          <w:szCs w:val="28"/>
          <w:highlight w:val="none"/>
        </w:rPr>
        <w:t>门</w:t>
      </w:r>
      <w:r>
        <w:rPr>
          <w:rFonts w:hint="eastAsia" w:ascii="方正仿宋_GBK" w:hAnsi="宋体" w:eastAsia="方正仿宋_GBK"/>
          <w:color w:val="auto"/>
          <w:sz w:val="28"/>
          <w:szCs w:val="28"/>
          <w:highlight w:val="none"/>
          <w:lang w:eastAsia="zh-CN"/>
        </w:rPr>
        <w:t>、</w:t>
      </w:r>
      <w:r>
        <w:rPr>
          <w:rFonts w:hint="eastAsia" w:ascii="方正仿宋_GBK" w:eastAsia="方正仿宋_GBK"/>
          <w:color w:val="auto"/>
          <w:sz w:val="28"/>
          <w:szCs w:val="24"/>
          <w:highlight w:val="none"/>
          <w:lang w:val="en-US" w:eastAsia="zh-CN"/>
        </w:rPr>
        <w:t>木</w:t>
      </w:r>
      <w:r>
        <w:rPr>
          <w:rFonts w:hint="eastAsia" w:ascii="方正仿宋_GBK" w:eastAsia="方正仿宋_GBK"/>
          <w:color w:val="auto"/>
          <w:sz w:val="28"/>
          <w:szCs w:val="24"/>
          <w:highlight w:val="none"/>
        </w:rPr>
        <w:t>门品牌由竞选人自行选择优质品牌报价。</w:t>
      </w:r>
      <w:bookmarkEnd w:id="24"/>
      <w:bookmarkEnd w:id="25"/>
    </w:p>
    <w:p w14:paraId="4DD2B10E">
      <w:pPr>
        <w:tabs>
          <w:tab w:val="left" w:pos="0"/>
        </w:tabs>
        <w:adjustRightInd w:val="0"/>
        <w:spacing w:line="560" w:lineRule="exact"/>
        <w:ind w:left="551"/>
        <w:outlineLvl w:val="0"/>
        <w:rPr>
          <w:rFonts w:ascii="方正仿宋_GBK" w:hAnsi="黑体" w:eastAsia="方正仿宋_GBK"/>
          <w:b/>
          <w:color w:val="auto"/>
          <w:sz w:val="28"/>
          <w:highlight w:val="none"/>
        </w:rPr>
      </w:pPr>
      <w:bookmarkStart w:id="26" w:name="_Toc130893033"/>
      <w:bookmarkStart w:id="27" w:name="_Toc130893328"/>
      <w:r>
        <w:rPr>
          <w:rFonts w:hint="eastAsia" w:ascii="方正仿宋_GBK" w:hAnsi="黑体" w:eastAsia="方正仿宋_GBK"/>
          <w:b/>
          <w:color w:val="auto"/>
          <w:sz w:val="28"/>
          <w:highlight w:val="none"/>
        </w:rPr>
        <w:t>（八）限价设置：（最高限价）</w:t>
      </w:r>
      <w:bookmarkEnd w:id="26"/>
      <w:bookmarkEnd w:id="27"/>
    </w:p>
    <w:tbl>
      <w:tblPr>
        <w:tblStyle w:val="12"/>
        <w:tblW w:w="9693" w:type="dxa"/>
        <w:jc w:val="center"/>
        <w:tblLayout w:type="fixed"/>
        <w:tblCellMar>
          <w:top w:w="0" w:type="dxa"/>
          <w:left w:w="108" w:type="dxa"/>
          <w:bottom w:w="0" w:type="dxa"/>
          <w:right w:w="108" w:type="dxa"/>
        </w:tblCellMar>
      </w:tblPr>
      <w:tblGrid>
        <w:gridCol w:w="2043"/>
        <w:gridCol w:w="810"/>
        <w:gridCol w:w="1133"/>
        <w:gridCol w:w="1560"/>
        <w:gridCol w:w="1559"/>
        <w:gridCol w:w="2588"/>
      </w:tblGrid>
      <w:tr w14:paraId="54EACC61">
        <w:tblPrEx>
          <w:tblCellMar>
            <w:top w:w="0" w:type="dxa"/>
            <w:left w:w="108" w:type="dxa"/>
            <w:bottom w:w="0" w:type="dxa"/>
            <w:right w:w="108" w:type="dxa"/>
          </w:tblCellMar>
        </w:tblPrEx>
        <w:trPr>
          <w:trHeight w:val="828" w:hRule="atLeast"/>
          <w:jc w:val="center"/>
        </w:trPr>
        <w:tc>
          <w:tcPr>
            <w:tcW w:w="2043" w:type="dxa"/>
            <w:tcBorders>
              <w:top w:val="single" w:color="auto" w:sz="4" w:space="0"/>
              <w:left w:val="single" w:color="auto" w:sz="4" w:space="0"/>
              <w:bottom w:val="single" w:color="auto" w:sz="4" w:space="0"/>
              <w:right w:val="single" w:color="auto" w:sz="4" w:space="0"/>
            </w:tcBorders>
            <w:vAlign w:val="center"/>
          </w:tcPr>
          <w:p w14:paraId="58A7E5B0">
            <w:pPr>
              <w:tabs>
                <w:tab w:val="left" w:pos="0"/>
                <w:tab w:val="left" w:pos="2324"/>
              </w:tabs>
              <w:adjustRightInd w:val="0"/>
              <w:spacing w:line="360" w:lineRule="exact"/>
              <w:jc w:val="center"/>
              <w:rPr>
                <w:rFonts w:ascii="宋体" w:hAnsi="宋体"/>
                <w:color w:val="auto"/>
                <w:sz w:val="24"/>
                <w:highlight w:val="none"/>
              </w:rPr>
            </w:pPr>
            <w:r>
              <w:rPr>
                <w:rFonts w:hint="eastAsia" w:ascii="宋体" w:hAnsi="宋体"/>
                <w:color w:val="auto"/>
                <w:sz w:val="24"/>
                <w:highlight w:val="none"/>
              </w:rPr>
              <w:t>货物名称</w:t>
            </w:r>
          </w:p>
        </w:tc>
        <w:tc>
          <w:tcPr>
            <w:tcW w:w="810" w:type="dxa"/>
            <w:tcBorders>
              <w:top w:val="single" w:color="auto" w:sz="4" w:space="0"/>
              <w:left w:val="nil"/>
              <w:bottom w:val="single" w:color="auto" w:sz="4" w:space="0"/>
              <w:right w:val="single" w:color="auto" w:sz="4" w:space="0"/>
            </w:tcBorders>
            <w:vAlign w:val="center"/>
          </w:tcPr>
          <w:p w14:paraId="16A6E4DC">
            <w:pPr>
              <w:tabs>
                <w:tab w:val="left" w:pos="0"/>
                <w:tab w:val="left" w:pos="2324"/>
              </w:tabs>
              <w:adjustRightInd w:val="0"/>
              <w:spacing w:line="360" w:lineRule="exact"/>
              <w:jc w:val="center"/>
              <w:rPr>
                <w:rFonts w:ascii="宋体" w:hAnsi="宋体"/>
                <w:color w:val="auto"/>
                <w:sz w:val="24"/>
                <w:highlight w:val="none"/>
              </w:rPr>
            </w:pPr>
            <w:r>
              <w:rPr>
                <w:rFonts w:hint="eastAsia" w:ascii="宋体" w:hAnsi="宋体"/>
                <w:color w:val="auto"/>
                <w:sz w:val="24"/>
                <w:highlight w:val="none"/>
              </w:rPr>
              <w:t>单位</w:t>
            </w:r>
          </w:p>
        </w:tc>
        <w:tc>
          <w:tcPr>
            <w:tcW w:w="1133" w:type="dxa"/>
            <w:tcBorders>
              <w:top w:val="single" w:color="auto" w:sz="4" w:space="0"/>
              <w:left w:val="nil"/>
              <w:bottom w:val="single" w:color="auto" w:sz="4" w:space="0"/>
              <w:right w:val="single" w:color="auto" w:sz="4" w:space="0"/>
            </w:tcBorders>
            <w:vAlign w:val="center"/>
          </w:tcPr>
          <w:p w14:paraId="07A5ACBA">
            <w:pPr>
              <w:tabs>
                <w:tab w:val="left" w:pos="0"/>
                <w:tab w:val="left" w:pos="2324"/>
              </w:tabs>
              <w:adjustRightInd w:val="0"/>
              <w:spacing w:line="360" w:lineRule="exact"/>
              <w:jc w:val="center"/>
              <w:rPr>
                <w:rFonts w:ascii="宋体" w:hAnsi="宋体"/>
                <w:color w:val="auto"/>
                <w:sz w:val="24"/>
                <w:highlight w:val="none"/>
              </w:rPr>
            </w:pPr>
            <w:r>
              <w:rPr>
                <w:rFonts w:hint="eastAsia" w:ascii="宋体" w:hAnsi="宋体"/>
                <w:color w:val="auto"/>
                <w:sz w:val="24"/>
                <w:highlight w:val="none"/>
              </w:rPr>
              <w:t>暂定采购量</w:t>
            </w:r>
          </w:p>
        </w:tc>
        <w:tc>
          <w:tcPr>
            <w:tcW w:w="1560" w:type="dxa"/>
            <w:tcBorders>
              <w:top w:val="single" w:color="auto" w:sz="4" w:space="0"/>
              <w:left w:val="nil"/>
              <w:bottom w:val="single" w:color="auto" w:sz="4" w:space="0"/>
              <w:right w:val="single" w:color="auto" w:sz="4" w:space="0"/>
            </w:tcBorders>
            <w:vAlign w:val="center"/>
          </w:tcPr>
          <w:p w14:paraId="33A0701D">
            <w:pPr>
              <w:tabs>
                <w:tab w:val="left" w:pos="0"/>
                <w:tab w:val="left" w:pos="2324"/>
              </w:tabs>
              <w:adjustRightInd w:val="0"/>
              <w:spacing w:line="360" w:lineRule="exact"/>
              <w:jc w:val="center"/>
              <w:rPr>
                <w:rFonts w:ascii="宋体" w:hAnsi="宋体"/>
                <w:color w:val="auto"/>
                <w:sz w:val="24"/>
                <w:highlight w:val="none"/>
              </w:rPr>
            </w:pPr>
            <w:r>
              <w:rPr>
                <w:rFonts w:hint="eastAsia" w:ascii="宋体" w:hAnsi="宋体"/>
                <w:color w:val="auto"/>
                <w:sz w:val="24"/>
                <w:highlight w:val="none"/>
              </w:rPr>
              <w:t>单价限价（元）</w:t>
            </w:r>
          </w:p>
        </w:tc>
        <w:tc>
          <w:tcPr>
            <w:tcW w:w="1559" w:type="dxa"/>
            <w:tcBorders>
              <w:top w:val="single" w:color="auto" w:sz="4" w:space="0"/>
              <w:left w:val="nil"/>
              <w:bottom w:val="single" w:color="auto" w:sz="4" w:space="0"/>
              <w:right w:val="single" w:color="auto" w:sz="4" w:space="0"/>
            </w:tcBorders>
            <w:vAlign w:val="center"/>
          </w:tcPr>
          <w:p w14:paraId="25BB6AE4">
            <w:pPr>
              <w:tabs>
                <w:tab w:val="left" w:pos="0"/>
                <w:tab w:val="left" w:pos="2324"/>
              </w:tabs>
              <w:adjustRightInd w:val="0"/>
              <w:spacing w:line="360" w:lineRule="exact"/>
              <w:jc w:val="center"/>
              <w:rPr>
                <w:rFonts w:ascii="宋体" w:hAnsi="宋体"/>
                <w:color w:val="auto"/>
                <w:sz w:val="24"/>
                <w:highlight w:val="none"/>
              </w:rPr>
            </w:pPr>
            <w:r>
              <w:rPr>
                <w:rFonts w:hint="eastAsia" w:ascii="宋体" w:hAnsi="宋体"/>
                <w:color w:val="auto"/>
                <w:sz w:val="24"/>
                <w:highlight w:val="none"/>
              </w:rPr>
              <w:t>合计（元）</w:t>
            </w:r>
          </w:p>
        </w:tc>
        <w:tc>
          <w:tcPr>
            <w:tcW w:w="2588" w:type="dxa"/>
            <w:tcBorders>
              <w:top w:val="single" w:color="auto" w:sz="4" w:space="0"/>
              <w:left w:val="nil"/>
              <w:bottom w:val="single" w:color="auto" w:sz="4" w:space="0"/>
              <w:right w:val="single" w:color="auto" w:sz="4" w:space="0"/>
            </w:tcBorders>
            <w:vAlign w:val="center"/>
          </w:tcPr>
          <w:p w14:paraId="0A0670BF">
            <w:pPr>
              <w:tabs>
                <w:tab w:val="left" w:pos="0"/>
                <w:tab w:val="left" w:pos="2324"/>
              </w:tabs>
              <w:adjustRightInd w:val="0"/>
              <w:spacing w:line="360" w:lineRule="exact"/>
              <w:jc w:val="center"/>
              <w:rPr>
                <w:rFonts w:ascii="宋体" w:hAnsi="宋体"/>
                <w:color w:val="auto"/>
                <w:sz w:val="24"/>
                <w:highlight w:val="none"/>
              </w:rPr>
            </w:pPr>
            <w:r>
              <w:rPr>
                <w:rFonts w:hint="eastAsia" w:ascii="宋体" w:hAnsi="宋体"/>
                <w:color w:val="auto"/>
                <w:sz w:val="24"/>
                <w:highlight w:val="none"/>
              </w:rPr>
              <w:t>备注</w:t>
            </w:r>
          </w:p>
        </w:tc>
      </w:tr>
      <w:tr w14:paraId="7F9BA048">
        <w:tblPrEx>
          <w:tblCellMar>
            <w:top w:w="0" w:type="dxa"/>
            <w:left w:w="108" w:type="dxa"/>
            <w:bottom w:w="0" w:type="dxa"/>
            <w:right w:w="108" w:type="dxa"/>
          </w:tblCellMar>
        </w:tblPrEx>
        <w:trPr>
          <w:trHeight w:val="900" w:hRule="atLeast"/>
          <w:jc w:val="center"/>
        </w:trPr>
        <w:tc>
          <w:tcPr>
            <w:tcW w:w="2043" w:type="dxa"/>
            <w:tcBorders>
              <w:top w:val="nil"/>
              <w:left w:val="single" w:color="auto" w:sz="4" w:space="0"/>
              <w:bottom w:val="single" w:color="auto" w:sz="4" w:space="0"/>
              <w:right w:val="single" w:color="auto" w:sz="4" w:space="0"/>
            </w:tcBorders>
            <w:vAlign w:val="center"/>
          </w:tcPr>
          <w:p w14:paraId="13EE4E92">
            <w:pPr>
              <w:tabs>
                <w:tab w:val="left" w:pos="0"/>
                <w:tab w:val="left" w:pos="2324"/>
              </w:tabs>
              <w:adjustRightInd w:val="0"/>
              <w:spacing w:line="36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甲级木质防火门</w:t>
            </w:r>
          </w:p>
        </w:tc>
        <w:tc>
          <w:tcPr>
            <w:tcW w:w="810" w:type="dxa"/>
            <w:tcBorders>
              <w:top w:val="nil"/>
              <w:left w:val="nil"/>
              <w:bottom w:val="single" w:color="auto" w:sz="4" w:space="0"/>
              <w:right w:val="single" w:color="auto" w:sz="4" w:space="0"/>
            </w:tcBorders>
            <w:vAlign w:val="center"/>
          </w:tcPr>
          <w:p w14:paraId="65743D1C">
            <w:pPr>
              <w:tabs>
                <w:tab w:val="left" w:pos="0"/>
                <w:tab w:val="left" w:pos="2324"/>
              </w:tabs>
              <w:adjustRightInd w:val="0"/>
              <w:spacing w:line="360" w:lineRule="exact"/>
              <w:jc w:val="center"/>
              <w:rPr>
                <w:rFonts w:ascii="宋体" w:hAnsi="宋体"/>
                <w:color w:val="auto"/>
                <w:sz w:val="24"/>
                <w:highlight w:val="none"/>
              </w:rPr>
            </w:pPr>
            <w:r>
              <w:rPr>
                <w:rFonts w:hint="eastAsia" w:ascii="宋体" w:hAnsi="宋体" w:eastAsia="宋体" w:cs="宋体"/>
                <w:color w:val="auto"/>
                <w:sz w:val="24"/>
                <w:highlight w:val="none"/>
              </w:rPr>
              <w:t>㎡</w:t>
            </w:r>
          </w:p>
        </w:tc>
        <w:tc>
          <w:tcPr>
            <w:tcW w:w="1133" w:type="dxa"/>
            <w:tcBorders>
              <w:top w:val="nil"/>
              <w:left w:val="nil"/>
              <w:bottom w:val="single" w:color="auto" w:sz="4" w:space="0"/>
              <w:right w:val="single" w:color="auto" w:sz="4" w:space="0"/>
            </w:tcBorders>
            <w:vAlign w:val="center"/>
          </w:tcPr>
          <w:p w14:paraId="4CF7B1CA">
            <w:pPr>
              <w:tabs>
                <w:tab w:val="left" w:pos="0"/>
                <w:tab w:val="left" w:pos="2324"/>
              </w:tabs>
              <w:adjustRightInd w:val="0"/>
              <w:spacing w:line="36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33</w:t>
            </w:r>
          </w:p>
        </w:tc>
        <w:tc>
          <w:tcPr>
            <w:tcW w:w="1560" w:type="dxa"/>
            <w:tcBorders>
              <w:top w:val="nil"/>
              <w:left w:val="nil"/>
              <w:bottom w:val="single" w:color="auto" w:sz="4" w:space="0"/>
              <w:right w:val="single" w:color="auto" w:sz="4" w:space="0"/>
            </w:tcBorders>
            <w:vAlign w:val="center"/>
          </w:tcPr>
          <w:p w14:paraId="3E86375E">
            <w:pPr>
              <w:keepNext w:val="0"/>
              <w:keepLines w:val="0"/>
              <w:widowControl/>
              <w:suppressLineNumbers w:val="0"/>
              <w:jc w:val="center"/>
              <w:textAlignment w:val="center"/>
              <w:rPr>
                <w:rFonts w:ascii="宋体" w:hAnsi="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247</w:t>
            </w:r>
          </w:p>
        </w:tc>
        <w:tc>
          <w:tcPr>
            <w:tcW w:w="1559" w:type="dxa"/>
            <w:tcBorders>
              <w:top w:val="nil"/>
              <w:left w:val="nil"/>
              <w:bottom w:val="single" w:color="auto" w:sz="4" w:space="0"/>
              <w:right w:val="single" w:color="auto" w:sz="4" w:space="0"/>
            </w:tcBorders>
            <w:vAlign w:val="center"/>
          </w:tcPr>
          <w:p w14:paraId="159DCB57">
            <w:pPr>
              <w:keepNext w:val="0"/>
              <w:keepLines w:val="0"/>
              <w:widowControl/>
              <w:suppressLineNumbers w:val="0"/>
              <w:jc w:val="center"/>
              <w:textAlignment w:val="center"/>
              <w:rPr>
                <w:rFonts w:hint="default" w:ascii="宋体" w:hAnsi="宋体"/>
                <w:color w:val="auto"/>
                <w:sz w:val="24"/>
                <w:highlight w:val="none"/>
                <w:lang w:val="en-US"/>
              </w:rPr>
            </w:pPr>
            <w:r>
              <w:rPr>
                <w:rFonts w:hint="eastAsia" w:ascii="宋体" w:hAnsi="宋体" w:eastAsia="宋体" w:cs="宋体"/>
                <w:i w:val="0"/>
                <w:iCs w:val="0"/>
                <w:color w:val="auto"/>
                <w:kern w:val="0"/>
                <w:sz w:val="24"/>
                <w:szCs w:val="24"/>
                <w:highlight w:val="none"/>
                <w:u w:val="none"/>
                <w:lang w:val="en-US" w:eastAsia="zh-CN" w:bidi="ar"/>
              </w:rPr>
              <w:t>8151</w:t>
            </w:r>
            <w:r>
              <w:rPr>
                <w:rFonts w:hint="eastAsia" w:ascii="宋体" w:hAnsi="宋体" w:cs="宋体"/>
                <w:i w:val="0"/>
                <w:iCs w:val="0"/>
                <w:color w:val="auto"/>
                <w:kern w:val="0"/>
                <w:sz w:val="24"/>
                <w:szCs w:val="24"/>
                <w:highlight w:val="none"/>
                <w:u w:val="none"/>
                <w:lang w:val="en-US" w:eastAsia="zh-CN" w:bidi="ar"/>
              </w:rPr>
              <w:t>.00</w:t>
            </w:r>
          </w:p>
        </w:tc>
        <w:tc>
          <w:tcPr>
            <w:tcW w:w="2588" w:type="dxa"/>
            <w:tcBorders>
              <w:top w:val="nil"/>
              <w:left w:val="nil"/>
              <w:bottom w:val="single" w:color="auto" w:sz="4" w:space="0"/>
              <w:right w:val="single" w:color="auto" w:sz="4" w:space="0"/>
            </w:tcBorders>
            <w:vAlign w:val="center"/>
          </w:tcPr>
          <w:p w14:paraId="730CD003">
            <w:pPr>
              <w:tabs>
                <w:tab w:val="left" w:pos="0"/>
                <w:tab w:val="left" w:pos="2324"/>
              </w:tabs>
              <w:adjustRightInd w:val="0"/>
              <w:spacing w:line="36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含门框套、五金配件、门锁</w:t>
            </w:r>
          </w:p>
        </w:tc>
      </w:tr>
      <w:tr w14:paraId="1D55D0B7">
        <w:tblPrEx>
          <w:tblCellMar>
            <w:top w:w="0" w:type="dxa"/>
            <w:left w:w="108" w:type="dxa"/>
            <w:bottom w:w="0" w:type="dxa"/>
            <w:right w:w="108" w:type="dxa"/>
          </w:tblCellMar>
        </w:tblPrEx>
        <w:trPr>
          <w:trHeight w:val="660" w:hRule="atLeast"/>
          <w:jc w:val="center"/>
        </w:trPr>
        <w:tc>
          <w:tcPr>
            <w:tcW w:w="2043" w:type="dxa"/>
            <w:tcBorders>
              <w:top w:val="nil"/>
              <w:left w:val="single" w:color="auto" w:sz="4" w:space="0"/>
              <w:bottom w:val="single" w:color="auto" w:sz="4" w:space="0"/>
              <w:right w:val="single" w:color="auto" w:sz="4" w:space="0"/>
            </w:tcBorders>
            <w:vAlign w:val="center"/>
          </w:tcPr>
          <w:p w14:paraId="7A454A9B">
            <w:pPr>
              <w:tabs>
                <w:tab w:val="left" w:pos="0"/>
                <w:tab w:val="left" w:pos="2324"/>
              </w:tabs>
              <w:adjustRightInd w:val="0"/>
              <w:spacing w:line="36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乙级木质防火门</w:t>
            </w:r>
          </w:p>
        </w:tc>
        <w:tc>
          <w:tcPr>
            <w:tcW w:w="810" w:type="dxa"/>
            <w:tcBorders>
              <w:top w:val="nil"/>
              <w:left w:val="nil"/>
              <w:bottom w:val="single" w:color="auto" w:sz="4" w:space="0"/>
              <w:right w:val="single" w:color="auto" w:sz="4" w:space="0"/>
            </w:tcBorders>
            <w:vAlign w:val="center"/>
          </w:tcPr>
          <w:p w14:paraId="5752DD89">
            <w:pPr>
              <w:tabs>
                <w:tab w:val="left" w:pos="0"/>
                <w:tab w:val="left" w:pos="2324"/>
              </w:tabs>
              <w:adjustRightInd w:val="0"/>
              <w:spacing w:line="360" w:lineRule="exact"/>
              <w:jc w:val="center"/>
              <w:rPr>
                <w:rFonts w:ascii="宋体" w:hAnsi="宋体"/>
                <w:color w:val="auto"/>
                <w:sz w:val="24"/>
                <w:highlight w:val="none"/>
              </w:rPr>
            </w:pPr>
            <w:r>
              <w:rPr>
                <w:rFonts w:hint="eastAsia" w:ascii="宋体" w:hAnsi="宋体" w:eastAsia="宋体" w:cs="宋体"/>
                <w:color w:val="auto"/>
                <w:sz w:val="24"/>
                <w:highlight w:val="none"/>
              </w:rPr>
              <w:t>㎡</w:t>
            </w:r>
          </w:p>
        </w:tc>
        <w:tc>
          <w:tcPr>
            <w:tcW w:w="1133" w:type="dxa"/>
            <w:tcBorders>
              <w:top w:val="nil"/>
              <w:left w:val="nil"/>
              <w:bottom w:val="single" w:color="auto" w:sz="4" w:space="0"/>
              <w:right w:val="single" w:color="auto" w:sz="4" w:space="0"/>
            </w:tcBorders>
            <w:vAlign w:val="center"/>
          </w:tcPr>
          <w:p w14:paraId="6105A021">
            <w:pPr>
              <w:tabs>
                <w:tab w:val="left" w:pos="0"/>
                <w:tab w:val="left" w:pos="2324"/>
              </w:tabs>
              <w:adjustRightInd w:val="0"/>
              <w:spacing w:line="36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236.5</w:t>
            </w:r>
          </w:p>
        </w:tc>
        <w:tc>
          <w:tcPr>
            <w:tcW w:w="1560" w:type="dxa"/>
            <w:tcBorders>
              <w:top w:val="nil"/>
              <w:left w:val="nil"/>
              <w:bottom w:val="single" w:color="auto" w:sz="4" w:space="0"/>
              <w:right w:val="single" w:color="auto" w:sz="4" w:space="0"/>
            </w:tcBorders>
            <w:vAlign w:val="center"/>
          </w:tcPr>
          <w:p w14:paraId="72E7FCEB">
            <w:pPr>
              <w:keepNext w:val="0"/>
              <w:keepLines w:val="0"/>
              <w:widowControl/>
              <w:suppressLineNumbers w:val="0"/>
              <w:jc w:val="center"/>
              <w:textAlignment w:val="center"/>
              <w:rPr>
                <w:rFonts w:ascii="宋体" w:hAnsi="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241</w:t>
            </w:r>
          </w:p>
        </w:tc>
        <w:tc>
          <w:tcPr>
            <w:tcW w:w="1559" w:type="dxa"/>
            <w:tcBorders>
              <w:top w:val="nil"/>
              <w:left w:val="nil"/>
              <w:bottom w:val="single" w:color="auto" w:sz="4" w:space="0"/>
              <w:right w:val="single" w:color="auto" w:sz="4" w:space="0"/>
            </w:tcBorders>
            <w:vAlign w:val="center"/>
          </w:tcPr>
          <w:p w14:paraId="104F2487">
            <w:pPr>
              <w:keepNext w:val="0"/>
              <w:keepLines w:val="0"/>
              <w:widowControl/>
              <w:suppressLineNumbers w:val="0"/>
              <w:jc w:val="center"/>
              <w:textAlignment w:val="center"/>
              <w:rPr>
                <w:rFonts w:hint="default" w:ascii="宋体" w:hAnsi="宋体"/>
                <w:color w:val="auto"/>
                <w:sz w:val="24"/>
                <w:highlight w:val="none"/>
                <w:lang w:val="en-US"/>
              </w:rPr>
            </w:pPr>
            <w:r>
              <w:rPr>
                <w:rFonts w:hint="eastAsia" w:ascii="宋体" w:hAnsi="宋体" w:eastAsia="宋体" w:cs="宋体"/>
                <w:i w:val="0"/>
                <w:iCs w:val="0"/>
                <w:color w:val="auto"/>
                <w:kern w:val="0"/>
                <w:sz w:val="24"/>
                <w:szCs w:val="24"/>
                <w:highlight w:val="none"/>
                <w:u w:val="none"/>
                <w:lang w:val="en-US" w:eastAsia="zh-CN" w:bidi="ar"/>
              </w:rPr>
              <w:t>56996.5</w:t>
            </w:r>
            <w:r>
              <w:rPr>
                <w:rFonts w:hint="eastAsia" w:ascii="宋体" w:hAnsi="宋体" w:cs="宋体"/>
                <w:i w:val="0"/>
                <w:iCs w:val="0"/>
                <w:color w:val="auto"/>
                <w:kern w:val="0"/>
                <w:sz w:val="24"/>
                <w:szCs w:val="24"/>
                <w:highlight w:val="none"/>
                <w:u w:val="none"/>
                <w:lang w:val="en-US" w:eastAsia="zh-CN" w:bidi="ar"/>
              </w:rPr>
              <w:t>0</w:t>
            </w:r>
          </w:p>
        </w:tc>
        <w:tc>
          <w:tcPr>
            <w:tcW w:w="2588" w:type="dxa"/>
            <w:tcBorders>
              <w:top w:val="nil"/>
              <w:left w:val="nil"/>
              <w:bottom w:val="single" w:color="auto" w:sz="4" w:space="0"/>
              <w:right w:val="single" w:color="auto" w:sz="4" w:space="0"/>
            </w:tcBorders>
            <w:vAlign w:val="center"/>
          </w:tcPr>
          <w:p w14:paraId="1A76035E">
            <w:pPr>
              <w:tabs>
                <w:tab w:val="left" w:pos="0"/>
                <w:tab w:val="left" w:pos="2324"/>
              </w:tabs>
              <w:adjustRightInd w:val="0"/>
              <w:spacing w:line="360" w:lineRule="exact"/>
              <w:jc w:val="center"/>
              <w:rPr>
                <w:rFonts w:ascii="宋体" w:hAnsi="宋体"/>
                <w:color w:val="auto"/>
                <w:sz w:val="24"/>
                <w:highlight w:val="none"/>
              </w:rPr>
            </w:pPr>
            <w:r>
              <w:rPr>
                <w:rFonts w:hint="eastAsia" w:ascii="宋体" w:hAnsi="宋体"/>
                <w:color w:val="auto"/>
                <w:sz w:val="24"/>
                <w:highlight w:val="none"/>
                <w:lang w:val="en-US" w:eastAsia="zh-CN"/>
              </w:rPr>
              <w:t>含门框套、五金配件、门锁</w:t>
            </w:r>
          </w:p>
        </w:tc>
      </w:tr>
      <w:tr w14:paraId="417EC456">
        <w:tblPrEx>
          <w:tblCellMar>
            <w:top w:w="0" w:type="dxa"/>
            <w:left w:w="108" w:type="dxa"/>
            <w:bottom w:w="0" w:type="dxa"/>
            <w:right w:w="108" w:type="dxa"/>
          </w:tblCellMar>
        </w:tblPrEx>
        <w:trPr>
          <w:trHeight w:val="655" w:hRule="atLeast"/>
          <w:jc w:val="center"/>
        </w:trPr>
        <w:tc>
          <w:tcPr>
            <w:tcW w:w="2043" w:type="dxa"/>
            <w:tcBorders>
              <w:top w:val="single" w:color="auto" w:sz="4" w:space="0"/>
              <w:left w:val="single" w:color="auto" w:sz="4" w:space="0"/>
              <w:bottom w:val="single" w:color="auto" w:sz="4" w:space="0"/>
              <w:right w:val="single" w:color="auto" w:sz="4" w:space="0"/>
            </w:tcBorders>
            <w:vAlign w:val="center"/>
          </w:tcPr>
          <w:p w14:paraId="6D1F47E1">
            <w:pPr>
              <w:tabs>
                <w:tab w:val="left" w:pos="0"/>
                <w:tab w:val="left" w:pos="2324"/>
              </w:tabs>
              <w:adjustRightInd w:val="0"/>
              <w:spacing w:line="36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成品木门扇</w:t>
            </w:r>
          </w:p>
        </w:tc>
        <w:tc>
          <w:tcPr>
            <w:tcW w:w="810" w:type="dxa"/>
            <w:tcBorders>
              <w:top w:val="single" w:color="auto" w:sz="4" w:space="0"/>
              <w:left w:val="nil"/>
              <w:bottom w:val="single" w:color="auto" w:sz="4" w:space="0"/>
              <w:right w:val="single" w:color="auto" w:sz="4" w:space="0"/>
            </w:tcBorders>
            <w:vAlign w:val="center"/>
          </w:tcPr>
          <w:p w14:paraId="499F5806">
            <w:pPr>
              <w:tabs>
                <w:tab w:val="left" w:pos="0"/>
                <w:tab w:val="left" w:pos="2324"/>
              </w:tabs>
              <w:adjustRightInd w:val="0"/>
              <w:spacing w:line="360" w:lineRule="exact"/>
              <w:jc w:val="center"/>
              <w:rPr>
                <w:rFonts w:ascii="宋体" w:hAnsi="宋体"/>
                <w:color w:val="auto"/>
                <w:sz w:val="24"/>
                <w:highlight w:val="none"/>
              </w:rPr>
            </w:pPr>
            <w:r>
              <w:rPr>
                <w:rFonts w:hint="eastAsia" w:ascii="宋体" w:hAnsi="宋体" w:eastAsia="宋体" w:cs="宋体"/>
                <w:color w:val="auto"/>
                <w:sz w:val="24"/>
                <w:highlight w:val="none"/>
              </w:rPr>
              <w:t>㎡</w:t>
            </w:r>
          </w:p>
        </w:tc>
        <w:tc>
          <w:tcPr>
            <w:tcW w:w="1133" w:type="dxa"/>
            <w:tcBorders>
              <w:top w:val="single" w:color="auto" w:sz="4" w:space="0"/>
              <w:left w:val="nil"/>
              <w:bottom w:val="single" w:color="auto" w:sz="4" w:space="0"/>
              <w:right w:val="single" w:color="auto" w:sz="4" w:space="0"/>
            </w:tcBorders>
            <w:vAlign w:val="center"/>
          </w:tcPr>
          <w:p w14:paraId="4FE50B97">
            <w:pPr>
              <w:tabs>
                <w:tab w:val="left" w:pos="0"/>
                <w:tab w:val="left" w:pos="2324"/>
              </w:tabs>
              <w:adjustRightInd w:val="0"/>
              <w:spacing w:line="36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1549</w:t>
            </w:r>
          </w:p>
        </w:tc>
        <w:tc>
          <w:tcPr>
            <w:tcW w:w="1560" w:type="dxa"/>
            <w:tcBorders>
              <w:top w:val="single" w:color="auto" w:sz="4" w:space="0"/>
              <w:left w:val="nil"/>
              <w:bottom w:val="single" w:color="auto" w:sz="4" w:space="0"/>
              <w:right w:val="single" w:color="auto" w:sz="4" w:space="0"/>
            </w:tcBorders>
            <w:vAlign w:val="center"/>
          </w:tcPr>
          <w:p w14:paraId="672F1C34">
            <w:pPr>
              <w:keepNext w:val="0"/>
              <w:keepLines w:val="0"/>
              <w:widowControl/>
              <w:suppressLineNumbers w:val="0"/>
              <w:jc w:val="center"/>
              <w:textAlignment w:val="center"/>
              <w:rPr>
                <w:rFonts w:ascii="宋体" w:hAnsi="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270</w:t>
            </w:r>
          </w:p>
        </w:tc>
        <w:tc>
          <w:tcPr>
            <w:tcW w:w="1559" w:type="dxa"/>
            <w:tcBorders>
              <w:top w:val="single" w:color="auto" w:sz="4" w:space="0"/>
              <w:left w:val="nil"/>
              <w:bottom w:val="single" w:color="auto" w:sz="4" w:space="0"/>
              <w:right w:val="single" w:color="auto" w:sz="4" w:space="0"/>
            </w:tcBorders>
            <w:vAlign w:val="center"/>
          </w:tcPr>
          <w:p w14:paraId="0E5E0560">
            <w:pPr>
              <w:keepNext w:val="0"/>
              <w:keepLines w:val="0"/>
              <w:widowControl/>
              <w:suppressLineNumbers w:val="0"/>
              <w:jc w:val="center"/>
              <w:textAlignment w:val="center"/>
              <w:rPr>
                <w:rFonts w:hint="default" w:ascii="宋体" w:hAnsi="宋体"/>
                <w:color w:val="auto"/>
                <w:sz w:val="24"/>
                <w:highlight w:val="none"/>
                <w:lang w:val="en-US"/>
              </w:rPr>
            </w:pPr>
            <w:r>
              <w:rPr>
                <w:rFonts w:hint="eastAsia" w:ascii="宋体" w:hAnsi="宋体" w:eastAsia="宋体" w:cs="宋体"/>
                <w:i w:val="0"/>
                <w:iCs w:val="0"/>
                <w:color w:val="auto"/>
                <w:kern w:val="0"/>
                <w:sz w:val="24"/>
                <w:szCs w:val="24"/>
                <w:highlight w:val="none"/>
                <w:u w:val="none"/>
                <w:lang w:val="en-US" w:eastAsia="zh-CN" w:bidi="ar"/>
              </w:rPr>
              <w:t>418230</w:t>
            </w:r>
            <w:r>
              <w:rPr>
                <w:rFonts w:hint="eastAsia" w:ascii="宋体" w:hAnsi="宋体" w:cs="宋体"/>
                <w:i w:val="0"/>
                <w:iCs w:val="0"/>
                <w:color w:val="auto"/>
                <w:kern w:val="0"/>
                <w:sz w:val="24"/>
                <w:szCs w:val="24"/>
                <w:highlight w:val="none"/>
                <w:u w:val="none"/>
                <w:lang w:val="en-US" w:eastAsia="zh-CN" w:bidi="ar"/>
              </w:rPr>
              <w:t>.00</w:t>
            </w:r>
          </w:p>
        </w:tc>
        <w:tc>
          <w:tcPr>
            <w:tcW w:w="2588" w:type="dxa"/>
            <w:tcBorders>
              <w:top w:val="single" w:color="auto" w:sz="4" w:space="0"/>
              <w:left w:val="nil"/>
              <w:bottom w:val="single" w:color="auto" w:sz="4" w:space="0"/>
              <w:right w:val="single" w:color="auto" w:sz="4" w:space="0"/>
            </w:tcBorders>
            <w:vAlign w:val="center"/>
          </w:tcPr>
          <w:p w14:paraId="0FA2B6FB">
            <w:pPr>
              <w:tabs>
                <w:tab w:val="left" w:pos="0"/>
                <w:tab w:val="left" w:pos="2324"/>
              </w:tabs>
              <w:adjustRightInd w:val="0"/>
              <w:spacing w:line="360" w:lineRule="exact"/>
              <w:jc w:val="center"/>
              <w:rPr>
                <w:rFonts w:ascii="宋体" w:hAnsi="宋体"/>
                <w:color w:val="auto"/>
                <w:sz w:val="24"/>
                <w:highlight w:val="none"/>
              </w:rPr>
            </w:pPr>
          </w:p>
        </w:tc>
      </w:tr>
      <w:tr w14:paraId="0D200EAE">
        <w:tblPrEx>
          <w:tblCellMar>
            <w:top w:w="0" w:type="dxa"/>
            <w:left w:w="108" w:type="dxa"/>
            <w:bottom w:w="0" w:type="dxa"/>
            <w:right w:w="108" w:type="dxa"/>
          </w:tblCellMar>
        </w:tblPrEx>
        <w:trPr>
          <w:trHeight w:val="600" w:hRule="atLeast"/>
          <w:jc w:val="center"/>
        </w:trPr>
        <w:tc>
          <w:tcPr>
            <w:tcW w:w="2043" w:type="dxa"/>
            <w:tcBorders>
              <w:top w:val="single" w:color="auto" w:sz="4" w:space="0"/>
              <w:left w:val="single" w:color="auto" w:sz="4" w:space="0"/>
              <w:bottom w:val="single" w:color="auto" w:sz="4" w:space="0"/>
              <w:right w:val="single" w:color="auto" w:sz="4" w:space="0"/>
            </w:tcBorders>
            <w:vAlign w:val="center"/>
          </w:tcPr>
          <w:p w14:paraId="60BD9A37">
            <w:pPr>
              <w:tabs>
                <w:tab w:val="left" w:pos="0"/>
                <w:tab w:val="left" w:pos="2324"/>
              </w:tabs>
              <w:adjustRightInd w:val="0"/>
              <w:spacing w:line="36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钢质节能外门</w:t>
            </w:r>
          </w:p>
        </w:tc>
        <w:tc>
          <w:tcPr>
            <w:tcW w:w="810" w:type="dxa"/>
            <w:tcBorders>
              <w:top w:val="single" w:color="auto" w:sz="4" w:space="0"/>
              <w:left w:val="nil"/>
              <w:bottom w:val="single" w:color="auto" w:sz="4" w:space="0"/>
              <w:right w:val="single" w:color="auto" w:sz="4" w:space="0"/>
            </w:tcBorders>
            <w:vAlign w:val="center"/>
          </w:tcPr>
          <w:p w14:paraId="43E181E9">
            <w:pPr>
              <w:tabs>
                <w:tab w:val="left" w:pos="0"/>
                <w:tab w:val="left" w:pos="2324"/>
              </w:tabs>
              <w:adjustRightInd w:val="0"/>
              <w:spacing w:line="360" w:lineRule="exact"/>
              <w:jc w:val="center"/>
              <w:rPr>
                <w:rFonts w:ascii="宋体" w:hAnsi="宋体"/>
                <w:color w:val="auto"/>
                <w:sz w:val="24"/>
                <w:highlight w:val="none"/>
              </w:rPr>
            </w:pPr>
            <w:r>
              <w:rPr>
                <w:rFonts w:hint="eastAsia" w:ascii="宋体" w:hAnsi="宋体" w:eastAsia="宋体" w:cs="宋体"/>
                <w:color w:val="auto"/>
                <w:sz w:val="24"/>
                <w:highlight w:val="none"/>
              </w:rPr>
              <w:t>㎡</w:t>
            </w:r>
          </w:p>
        </w:tc>
        <w:tc>
          <w:tcPr>
            <w:tcW w:w="1133" w:type="dxa"/>
            <w:tcBorders>
              <w:top w:val="single" w:color="auto" w:sz="4" w:space="0"/>
              <w:left w:val="nil"/>
              <w:bottom w:val="single" w:color="auto" w:sz="4" w:space="0"/>
              <w:right w:val="single" w:color="auto" w:sz="4" w:space="0"/>
            </w:tcBorders>
            <w:vAlign w:val="center"/>
          </w:tcPr>
          <w:p w14:paraId="5D60676E">
            <w:pPr>
              <w:tabs>
                <w:tab w:val="left" w:pos="0"/>
                <w:tab w:val="left" w:pos="2324"/>
              </w:tabs>
              <w:adjustRightInd w:val="0"/>
              <w:spacing w:line="36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1983</w:t>
            </w:r>
          </w:p>
        </w:tc>
        <w:tc>
          <w:tcPr>
            <w:tcW w:w="1560" w:type="dxa"/>
            <w:tcBorders>
              <w:top w:val="single" w:color="auto" w:sz="4" w:space="0"/>
              <w:left w:val="nil"/>
              <w:bottom w:val="single" w:color="auto" w:sz="4" w:space="0"/>
              <w:right w:val="single" w:color="auto" w:sz="4" w:space="0"/>
            </w:tcBorders>
            <w:vAlign w:val="center"/>
          </w:tcPr>
          <w:p w14:paraId="373C9D3B">
            <w:pPr>
              <w:keepNext w:val="0"/>
              <w:keepLines w:val="0"/>
              <w:widowControl/>
              <w:suppressLineNumbers w:val="0"/>
              <w:jc w:val="center"/>
              <w:textAlignment w:val="center"/>
              <w:rPr>
                <w:rFonts w:ascii="宋体" w:hAnsi="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314</w:t>
            </w:r>
          </w:p>
        </w:tc>
        <w:tc>
          <w:tcPr>
            <w:tcW w:w="1559" w:type="dxa"/>
            <w:tcBorders>
              <w:top w:val="single" w:color="auto" w:sz="4" w:space="0"/>
              <w:left w:val="nil"/>
              <w:bottom w:val="single" w:color="auto" w:sz="4" w:space="0"/>
              <w:right w:val="single" w:color="auto" w:sz="4" w:space="0"/>
            </w:tcBorders>
            <w:vAlign w:val="center"/>
          </w:tcPr>
          <w:p w14:paraId="469BE793">
            <w:pPr>
              <w:keepNext w:val="0"/>
              <w:keepLines w:val="0"/>
              <w:widowControl/>
              <w:suppressLineNumbers w:val="0"/>
              <w:jc w:val="center"/>
              <w:textAlignment w:val="center"/>
              <w:rPr>
                <w:rFonts w:hint="default" w:ascii="宋体" w:hAnsi="宋体"/>
                <w:color w:val="auto"/>
                <w:sz w:val="24"/>
                <w:highlight w:val="none"/>
                <w:lang w:val="en-US"/>
              </w:rPr>
            </w:pPr>
            <w:r>
              <w:rPr>
                <w:rFonts w:hint="eastAsia" w:ascii="宋体" w:hAnsi="宋体" w:eastAsia="宋体" w:cs="宋体"/>
                <w:i w:val="0"/>
                <w:iCs w:val="0"/>
                <w:color w:val="auto"/>
                <w:kern w:val="0"/>
                <w:sz w:val="24"/>
                <w:szCs w:val="24"/>
                <w:highlight w:val="none"/>
                <w:u w:val="none"/>
                <w:lang w:val="en-US" w:eastAsia="zh-CN" w:bidi="ar"/>
              </w:rPr>
              <w:t>622662</w:t>
            </w:r>
            <w:r>
              <w:rPr>
                <w:rFonts w:hint="eastAsia" w:ascii="宋体" w:hAnsi="宋体" w:cs="宋体"/>
                <w:i w:val="0"/>
                <w:iCs w:val="0"/>
                <w:color w:val="auto"/>
                <w:kern w:val="0"/>
                <w:sz w:val="24"/>
                <w:szCs w:val="24"/>
                <w:highlight w:val="none"/>
                <w:u w:val="none"/>
                <w:lang w:val="en-US" w:eastAsia="zh-CN" w:bidi="ar"/>
              </w:rPr>
              <w:t>.00</w:t>
            </w:r>
          </w:p>
        </w:tc>
        <w:tc>
          <w:tcPr>
            <w:tcW w:w="2588" w:type="dxa"/>
            <w:tcBorders>
              <w:top w:val="single" w:color="auto" w:sz="4" w:space="0"/>
              <w:left w:val="nil"/>
              <w:bottom w:val="single" w:color="auto" w:sz="4" w:space="0"/>
              <w:right w:val="single" w:color="auto" w:sz="4" w:space="0"/>
            </w:tcBorders>
            <w:vAlign w:val="center"/>
          </w:tcPr>
          <w:p w14:paraId="1E6FA36D">
            <w:pPr>
              <w:tabs>
                <w:tab w:val="left" w:pos="0"/>
                <w:tab w:val="left" w:pos="2324"/>
              </w:tabs>
              <w:adjustRightInd w:val="0"/>
              <w:spacing w:line="36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材质厚度框1.2mm，扇0.8mm，中间为节能材料，外带边，颜色棕色，满足节能要求</w:t>
            </w:r>
          </w:p>
        </w:tc>
      </w:tr>
      <w:tr w14:paraId="185C48A1">
        <w:tblPrEx>
          <w:tblCellMar>
            <w:top w:w="0" w:type="dxa"/>
            <w:left w:w="108" w:type="dxa"/>
            <w:bottom w:w="0" w:type="dxa"/>
            <w:right w:w="108" w:type="dxa"/>
          </w:tblCellMar>
        </w:tblPrEx>
        <w:trPr>
          <w:trHeight w:val="730" w:hRule="atLeast"/>
          <w:jc w:val="center"/>
        </w:trPr>
        <w:tc>
          <w:tcPr>
            <w:tcW w:w="2043" w:type="dxa"/>
            <w:tcBorders>
              <w:top w:val="single" w:color="auto" w:sz="4" w:space="0"/>
              <w:left w:val="single" w:color="auto" w:sz="4" w:space="0"/>
              <w:bottom w:val="single" w:color="auto" w:sz="4" w:space="0"/>
              <w:right w:val="single" w:color="auto" w:sz="4" w:space="0"/>
            </w:tcBorders>
            <w:vAlign w:val="center"/>
          </w:tcPr>
          <w:p w14:paraId="43003FC5">
            <w:pPr>
              <w:tabs>
                <w:tab w:val="left" w:pos="0"/>
                <w:tab w:val="left" w:pos="2324"/>
              </w:tabs>
              <w:adjustRightInd w:val="0"/>
              <w:spacing w:line="360" w:lineRule="exact"/>
              <w:jc w:val="center"/>
              <w:rPr>
                <w:rFonts w:ascii="宋体" w:hAnsi="宋体"/>
                <w:color w:val="auto"/>
                <w:sz w:val="24"/>
                <w:highlight w:val="none"/>
              </w:rPr>
            </w:pPr>
            <w:r>
              <w:rPr>
                <w:rFonts w:hint="eastAsia" w:ascii="宋体" w:hAnsi="宋体"/>
                <w:color w:val="auto"/>
                <w:sz w:val="24"/>
                <w:highlight w:val="none"/>
              </w:rPr>
              <w:t>总计（限价）</w:t>
            </w:r>
          </w:p>
        </w:tc>
        <w:tc>
          <w:tcPr>
            <w:tcW w:w="810" w:type="dxa"/>
            <w:tcBorders>
              <w:top w:val="single" w:color="auto" w:sz="4" w:space="0"/>
              <w:left w:val="nil"/>
              <w:bottom w:val="single" w:color="auto" w:sz="4" w:space="0"/>
              <w:right w:val="single" w:color="auto" w:sz="4" w:space="0"/>
            </w:tcBorders>
            <w:vAlign w:val="center"/>
          </w:tcPr>
          <w:p w14:paraId="301C3639">
            <w:pPr>
              <w:tabs>
                <w:tab w:val="left" w:pos="0"/>
                <w:tab w:val="left" w:pos="2324"/>
              </w:tabs>
              <w:adjustRightInd w:val="0"/>
              <w:spacing w:line="360" w:lineRule="exact"/>
              <w:jc w:val="center"/>
              <w:rPr>
                <w:rFonts w:ascii="宋体" w:hAnsi="宋体"/>
                <w:color w:val="auto"/>
                <w:sz w:val="24"/>
                <w:highlight w:val="none"/>
              </w:rPr>
            </w:pPr>
          </w:p>
        </w:tc>
        <w:tc>
          <w:tcPr>
            <w:tcW w:w="1133" w:type="dxa"/>
            <w:tcBorders>
              <w:top w:val="single" w:color="auto" w:sz="4" w:space="0"/>
              <w:left w:val="nil"/>
              <w:bottom w:val="single" w:color="auto" w:sz="4" w:space="0"/>
              <w:right w:val="single" w:color="auto" w:sz="4" w:space="0"/>
            </w:tcBorders>
            <w:vAlign w:val="center"/>
          </w:tcPr>
          <w:p w14:paraId="75BED6DD">
            <w:pPr>
              <w:tabs>
                <w:tab w:val="left" w:pos="0"/>
                <w:tab w:val="left" w:pos="2324"/>
              </w:tabs>
              <w:adjustRightInd w:val="0"/>
              <w:spacing w:line="360" w:lineRule="exact"/>
              <w:jc w:val="center"/>
              <w:rPr>
                <w:rFonts w:ascii="宋体" w:hAnsi="宋体"/>
                <w:color w:val="auto"/>
                <w:sz w:val="24"/>
                <w:highlight w:val="none"/>
              </w:rPr>
            </w:pPr>
          </w:p>
        </w:tc>
        <w:tc>
          <w:tcPr>
            <w:tcW w:w="1560" w:type="dxa"/>
            <w:tcBorders>
              <w:top w:val="single" w:color="auto" w:sz="4" w:space="0"/>
              <w:left w:val="nil"/>
              <w:bottom w:val="single" w:color="auto" w:sz="4" w:space="0"/>
              <w:right w:val="single" w:color="auto" w:sz="4" w:space="0"/>
            </w:tcBorders>
            <w:vAlign w:val="center"/>
          </w:tcPr>
          <w:p w14:paraId="63960EB5">
            <w:pPr>
              <w:jc w:val="center"/>
              <w:rPr>
                <w:rFonts w:ascii="宋体" w:hAnsi="宋体"/>
                <w:color w:val="auto"/>
                <w:sz w:val="24"/>
                <w:highlight w:val="none"/>
              </w:rPr>
            </w:pPr>
          </w:p>
        </w:tc>
        <w:tc>
          <w:tcPr>
            <w:tcW w:w="1559" w:type="dxa"/>
            <w:tcBorders>
              <w:top w:val="single" w:color="auto" w:sz="4" w:space="0"/>
              <w:bottom w:val="single" w:color="auto" w:sz="4" w:space="0"/>
              <w:right w:val="single" w:color="auto" w:sz="4" w:space="0"/>
            </w:tcBorders>
            <w:vAlign w:val="center"/>
          </w:tcPr>
          <w:p w14:paraId="118D8D70">
            <w:pPr>
              <w:keepNext w:val="0"/>
              <w:keepLines w:val="0"/>
              <w:widowControl/>
              <w:suppressLineNumbers w:val="0"/>
              <w:jc w:val="center"/>
              <w:textAlignment w:val="center"/>
              <w:rPr>
                <w:rFonts w:hint="default" w:ascii="宋体" w:hAnsi="宋体"/>
                <w:color w:val="auto"/>
                <w:sz w:val="24"/>
                <w:highlight w:val="none"/>
                <w:lang w:val="en-US"/>
              </w:rPr>
            </w:pPr>
            <w:r>
              <w:rPr>
                <w:rFonts w:hint="eastAsia" w:ascii="宋体" w:hAnsi="宋体" w:eastAsia="宋体" w:cs="宋体"/>
                <w:i w:val="0"/>
                <w:iCs w:val="0"/>
                <w:color w:val="auto"/>
                <w:kern w:val="0"/>
                <w:sz w:val="24"/>
                <w:szCs w:val="24"/>
                <w:highlight w:val="none"/>
                <w:u w:val="none"/>
                <w:lang w:val="en-US" w:eastAsia="zh-CN" w:bidi="ar"/>
              </w:rPr>
              <w:t>1106039.5</w:t>
            </w:r>
            <w:r>
              <w:rPr>
                <w:rFonts w:hint="eastAsia" w:ascii="宋体" w:hAnsi="宋体" w:cs="宋体"/>
                <w:i w:val="0"/>
                <w:iCs w:val="0"/>
                <w:color w:val="auto"/>
                <w:kern w:val="0"/>
                <w:sz w:val="24"/>
                <w:szCs w:val="24"/>
                <w:highlight w:val="none"/>
                <w:u w:val="none"/>
                <w:lang w:val="en-US" w:eastAsia="zh-CN" w:bidi="ar"/>
              </w:rPr>
              <w:t>0</w:t>
            </w:r>
          </w:p>
        </w:tc>
        <w:tc>
          <w:tcPr>
            <w:tcW w:w="2588" w:type="dxa"/>
            <w:tcBorders>
              <w:top w:val="single" w:color="auto" w:sz="4" w:space="0"/>
              <w:bottom w:val="single" w:color="auto" w:sz="4" w:space="0"/>
              <w:right w:val="single" w:color="auto" w:sz="4" w:space="0"/>
            </w:tcBorders>
            <w:vAlign w:val="center"/>
          </w:tcPr>
          <w:p w14:paraId="6949B450">
            <w:pPr>
              <w:tabs>
                <w:tab w:val="left" w:pos="0"/>
                <w:tab w:val="left" w:pos="2324"/>
              </w:tabs>
              <w:adjustRightInd w:val="0"/>
              <w:spacing w:line="360" w:lineRule="exact"/>
              <w:jc w:val="center"/>
              <w:rPr>
                <w:rFonts w:ascii="宋体" w:hAnsi="宋体"/>
                <w:color w:val="auto"/>
                <w:sz w:val="24"/>
                <w:highlight w:val="none"/>
              </w:rPr>
            </w:pPr>
          </w:p>
        </w:tc>
      </w:tr>
    </w:tbl>
    <w:p w14:paraId="105D8371">
      <w:pPr>
        <w:tabs>
          <w:tab w:val="left" w:pos="0"/>
        </w:tabs>
        <w:adjustRightInd w:val="0"/>
        <w:spacing w:line="560" w:lineRule="exact"/>
        <w:ind w:firstLine="548" w:firstLineChars="196"/>
        <w:outlineLvl w:val="0"/>
        <w:rPr>
          <w:rFonts w:ascii="方正仿宋_GBK" w:hAnsi="宋体" w:eastAsia="方正仿宋_GBK"/>
          <w:color w:val="auto"/>
          <w:sz w:val="28"/>
          <w:szCs w:val="28"/>
          <w:highlight w:val="none"/>
        </w:rPr>
      </w:pPr>
      <w:bookmarkStart w:id="28" w:name="_Toc130893329"/>
      <w:bookmarkStart w:id="29" w:name="_Toc130893034"/>
      <w:r>
        <w:rPr>
          <w:rFonts w:hint="eastAsia" w:ascii="方正仿宋_GBK" w:hAnsi="宋体" w:eastAsia="方正仿宋_GBK"/>
          <w:color w:val="auto"/>
          <w:sz w:val="28"/>
          <w:szCs w:val="28"/>
          <w:highlight w:val="none"/>
        </w:rPr>
        <w:t>1、防火门、</w:t>
      </w:r>
      <w:r>
        <w:rPr>
          <w:rFonts w:hint="eastAsia" w:ascii="方正仿宋_GBK" w:hAnsi="宋体" w:eastAsia="方正仿宋_GBK"/>
          <w:color w:val="auto"/>
          <w:sz w:val="28"/>
          <w:szCs w:val="28"/>
          <w:highlight w:val="none"/>
          <w:lang w:val="en-US" w:eastAsia="zh-CN"/>
        </w:rPr>
        <w:t>木门、钢质门</w:t>
      </w:r>
      <w:r>
        <w:rPr>
          <w:rFonts w:hint="eastAsia" w:ascii="方正仿宋_GBK" w:hAnsi="宋体" w:eastAsia="方正仿宋_GBK"/>
          <w:color w:val="auto"/>
          <w:sz w:val="28"/>
          <w:szCs w:val="28"/>
          <w:highlight w:val="none"/>
        </w:rPr>
        <w:t>规格型号具体尺寸以实际测量为准：</w:t>
      </w:r>
      <w:bookmarkEnd w:id="28"/>
      <w:bookmarkEnd w:id="29"/>
    </w:p>
    <w:p w14:paraId="06CB8925">
      <w:pPr>
        <w:tabs>
          <w:tab w:val="left" w:pos="0"/>
        </w:tabs>
        <w:adjustRightInd w:val="0"/>
        <w:spacing w:line="560" w:lineRule="exact"/>
        <w:ind w:firstLine="548" w:firstLineChars="196"/>
        <w:outlineLvl w:val="0"/>
        <w:rPr>
          <w:rFonts w:ascii="方正仿宋_GBK" w:hAnsi="宋体" w:eastAsia="方正仿宋_GBK"/>
          <w:color w:val="auto"/>
          <w:sz w:val="28"/>
          <w:szCs w:val="28"/>
          <w:highlight w:val="none"/>
        </w:rPr>
      </w:pPr>
      <w:bookmarkStart w:id="30" w:name="_Toc130893330"/>
      <w:bookmarkStart w:id="31" w:name="_Toc130893035"/>
      <w:r>
        <w:rPr>
          <w:rFonts w:hint="eastAsia" w:ascii="方正仿宋_GBK" w:hAnsi="宋体" w:eastAsia="方正仿宋_GBK"/>
          <w:color w:val="auto"/>
          <w:sz w:val="28"/>
          <w:szCs w:val="28"/>
          <w:highlight w:val="none"/>
        </w:rPr>
        <w:t>2、以上数量为暂定采购量，如因业主或设计变更导致数量增加、减少的，中选单位不得提出任何异议，据实结算。</w:t>
      </w:r>
      <w:bookmarkEnd w:id="30"/>
      <w:bookmarkEnd w:id="31"/>
    </w:p>
    <w:p w14:paraId="453D0A47">
      <w:pPr>
        <w:tabs>
          <w:tab w:val="left" w:pos="5250"/>
        </w:tabs>
        <w:spacing w:line="560" w:lineRule="exact"/>
        <w:ind w:firstLine="560" w:firstLineChars="200"/>
        <w:rPr>
          <w:rFonts w:ascii="方正仿宋_GBK" w:eastAsia="方正仿宋_GBK"/>
          <w:color w:val="auto"/>
          <w:sz w:val="28"/>
          <w:szCs w:val="24"/>
          <w:highlight w:val="none"/>
        </w:rPr>
      </w:pPr>
      <w:r>
        <w:rPr>
          <w:rFonts w:hint="eastAsia" w:ascii="方正仿宋_GBK" w:hAnsi="宋体" w:eastAsia="方正仿宋_GBK"/>
          <w:color w:val="auto"/>
          <w:sz w:val="28"/>
          <w:szCs w:val="28"/>
          <w:highlight w:val="none"/>
        </w:rPr>
        <w:t>3、以上限价含</w:t>
      </w:r>
      <w:r>
        <w:rPr>
          <w:rFonts w:hint="eastAsia" w:ascii="方正仿宋_GBK" w:eastAsia="方正仿宋_GBK"/>
          <w:color w:val="auto"/>
          <w:sz w:val="28"/>
          <w:szCs w:val="24"/>
          <w:highlight w:val="none"/>
        </w:rPr>
        <w:t>人工费、安装费、材料费、辅材费、水泥砂浆灌浆费、产品运输费、机械费、税金及五金件、装卸费、安装过程中的第二次转运费等所用费用。</w:t>
      </w:r>
    </w:p>
    <w:p w14:paraId="6139BD6B">
      <w:pPr>
        <w:snapToGrid w:val="0"/>
        <w:spacing w:line="560" w:lineRule="exact"/>
        <w:ind w:firstLine="573"/>
        <w:rPr>
          <w:rFonts w:ascii="方正仿宋_GBK" w:hAnsi="宋体" w:eastAsia="方正仿宋_GBK"/>
          <w:bCs/>
          <w:color w:val="auto"/>
          <w:sz w:val="28"/>
          <w:szCs w:val="28"/>
          <w:highlight w:val="none"/>
        </w:rPr>
      </w:pPr>
      <w:r>
        <w:rPr>
          <w:rFonts w:hint="eastAsia" w:ascii="方正仿宋_GBK" w:hAnsi="宋体" w:eastAsia="方正仿宋_GBK"/>
          <w:bCs/>
          <w:color w:val="auto"/>
          <w:sz w:val="28"/>
          <w:szCs w:val="28"/>
          <w:highlight w:val="none"/>
        </w:rPr>
        <w:t>4、竞选人的最终报价比选人将视为竞选人已充分全面理解、考虑供货质量、数量、供货时间、开增值税专用发票、一切不确定性因素等所有因素，竞选人不得以</w:t>
      </w:r>
      <w:r>
        <w:rPr>
          <w:rFonts w:hint="eastAsia" w:ascii="方正仿宋_GBK" w:hAnsi="宋体" w:eastAsia="方正仿宋_GBK"/>
          <w:bCs/>
          <w:color w:val="auto"/>
          <w:sz w:val="28"/>
          <w:szCs w:val="28"/>
          <w:highlight w:val="none"/>
          <w:lang w:val="en-US" w:eastAsia="zh-CN"/>
        </w:rPr>
        <w:t>上述</w:t>
      </w:r>
      <w:r>
        <w:rPr>
          <w:rFonts w:hint="eastAsia" w:ascii="方正仿宋_GBK" w:hAnsi="宋体" w:eastAsia="方正仿宋_GBK"/>
          <w:bCs/>
          <w:color w:val="auto"/>
          <w:sz w:val="28"/>
          <w:szCs w:val="28"/>
          <w:highlight w:val="none"/>
        </w:rPr>
        <w:t>原因及因素提出任何异议。</w:t>
      </w:r>
      <w:bookmarkStart w:id="56" w:name="_GoBack"/>
      <w:bookmarkEnd w:id="56"/>
    </w:p>
    <w:p w14:paraId="42C065B5">
      <w:pPr>
        <w:tabs>
          <w:tab w:val="left" w:pos="0"/>
        </w:tabs>
        <w:adjustRightInd w:val="0"/>
        <w:spacing w:line="560" w:lineRule="exact"/>
        <w:ind w:firstLine="562" w:firstLineChars="200"/>
        <w:outlineLvl w:val="0"/>
        <w:rPr>
          <w:rFonts w:ascii="方正仿宋_GBK" w:hAnsi="宋体" w:eastAsia="方正仿宋_GBK"/>
          <w:b/>
          <w:color w:val="auto"/>
          <w:sz w:val="28"/>
          <w:szCs w:val="28"/>
          <w:highlight w:val="none"/>
        </w:rPr>
      </w:pPr>
      <w:bookmarkStart w:id="32" w:name="_Toc130893331"/>
      <w:bookmarkStart w:id="33" w:name="_Toc130893036"/>
      <w:r>
        <w:rPr>
          <w:rFonts w:hint="eastAsia" w:ascii="方正仿宋_GBK" w:hAnsi="宋体" w:eastAsia="方正仿宋_GBK"/>
          <w:b/>
          <w:color w:val="auto"/>
          <w:sz w:val="28"/>
          <w:szCs w:val="28"/>
          <w:highlight w:val="none"/>
        </w:rPr>
        <w:t>（九）供货周期要求</w:t>
      </w:r>
      <w:bookmarkEnd w:id="32"/>
      <w:bookmarkEnd w:id="33"/>
    </w:p>
    <w:p w14:paraId="5AB3FAB1">
      <w:pPr>
        <w:spacing w:line="560" w:lineRule="exact"/>
        <w:ind w:firstLine="560" w:firstLineChars="200"/>
        <w:rPr>
          <w:rFonts w:ascii="方正仿宋_GBK" w:hAnsi="宋体" w:eastAsia="方正仿宋_GBK"/>
          <w:bCs/>
          <w:color w:val="auto"/>
          <w:sz w:val="28"/>
          <w:szCs w:val="28"/>
          <w:highlight w:val="none"/>
        </w:rPr>
      </w:pPr>
      <w:r>
        <w:rPr>
          <w:rFonts w:hint="eastAsia" w:ascii="方正仿宋_GBK" w:hAnsi="宋体" w:eastAsia="方正仿宋_GBK"/>
          <w:color w:val="auto"/>
          <w:sz w:val="28"/>
          <w:szCs w:val="28"/>
          <w:highlight w:val="none"/>
        </w:rPr>
        <w:t>1、</w:t>
      </w:r>
      <w:r>
        <w:rPr>
          <w:rFonts w:hint="eastAsia" w:ascii="方正仿宋_GBK" w:hAnsi="宋体" w:eastAsia="方正仿宋_GBK"/>
          <w:bCs/>
          <w:color w:val="auto"/>
          <w:sz w:val="28"/>
          <w:szCs w:val="28"/>
          <w:highlight w:val="none"/>
        </w:rPr>
        <w:t>中选单位</w:t>
      </w:r>
      <w:r>
        <w:rPr>
          <w:rFonts w:hint="eastAsia" w:ascii="方正仿宋_GBK" w:eastAsia="方正仿宋_GBK"/>
          <w:color w:val="auto"/>
          <w:sz w:val="28"/>
          <w:szCs w:val="24"/>
          <w:highlight w:val="none"/>
        </w:rPr>
        <w:t>签订合同之日起第15个日历天开始供货，供货周期120个日历天，中选单位按照</w:t>
      </w:r>
      <w:r>
        <w:rPr>
          <w:rFonts w:hint="eastAsia" w:ascii="方正仿宋_GBK" w:hAnsi="宋体" w:eastAsia="方正仿宋_GBK"/>
          <w:bCs/>
          <w:color w:val="auto"/>
          <w:sz w:val="28"/>
          <w:szCs w:val="28"/>
          <w:highlight w:val="none"/>
        </w:rPr>
        <w:t>采购方施工现场要求分批供货安装完成（前提是应具备安装条件），具体供货时间</w:t>
      </w:r>
      <w:r>
        <w:rPr>
          <w:rFonts w:hint="eastAsia" w:ascii="方正仿宋_GBK" w:hAnsi="宋体" w:eastAsia="方正仿宋_GBK"/>
          <w:bCs/>
          <w:color w:val="auto"/>
          <w:sz w:val="28"/>
          <w:szCs w:val="28"/>
          <w:highlight w:val="none"/>
          <w:lang w:eastAsia="zh-CN"/>
        </w:rPr>
        <w:t>以</w:t>
      </w:r>
      <w:r>
        <w:rPr>
          <w:rFonts w:hint="eastAsia" w:ascii="方正仿宋_GBK" w:hAnsi="宋体" w:eastAsia="方正仿宋_GBK"/>
          <w:bCs/>
          <w:color w:val="auto"/>
          <w:sz w:val="28"/>
          <w:szCs w:val="28"/>
          <w:highlight w:val="none"/>
        </w:rPr>
        <w:t>采购方电话或传真通知为准。遇特殊情况要求延迟供货的除外。</w:t>
      </w:r>
    </w:p>
    <w:p w14:paraId="776CACA9">
      <w:pPr>
        <w:spacing w:line="560" w:lineRule="exact"/>
        <w:ind w:firstLine="560" w:firstLineChars="200"/>
        <w:rPr>
          <w:rFonts w:ascii="方正仿宋_GBK" w:hAnsi="宋体" w:eastAsia="方正仿宋_GBK"/>
          <w:bCs/>
          <w:color w:val="auto"/>
          <w:sz w:val="28"/>
          <w:szCs w:val="28"/>
          <w:highlight w:val="none"/>
        </w:rPr>
      </w:pPr>
      <w:r>
        <w:rPr>
          <w:rFonts w:hint="eastAsia" w:ascii="方正仿宋_GBK" w:hAnsi="宋体" w:eastAsia="方正仿宋_GBK"/>
          <w:bCs/>
          <w:color w:val="auto"/>
          <w:sz w:val="28"/>
          <w:szCs w:val="28"/>
          <w:highlight w:val="none"/>
        </w:rPr>
        <w:t>2、</w:t>
      </w:r>
      <w:r>
        <w:rPr>
          <w:rFonts w:hint="eastAsia" w:ascii="方正仿宋_GBK" w:eastAsia="方正仿宋_GBK"/>
          <w:color w:val="auto"/>
          <w:sz w:val="28"/>
          <w:szCs w:val="24"/>
          <w:highlight w:val="none"/>
        </w:rPr>
        <w:t>中选单位应按照合同约定的时间分批供货安装完毕，若因中选单位自身原因延期交货，延迟一天中选单位支付违约金2000.00元（人民币大写：贰仟元整），若因采购方无法提供安装条件、要求延期交货等情况除外。</w:t>
      </w:r>
    </w:p>
    <w:p w14:paraId="36A6E631">
      <w:pPr>
        <w:snapToGrid w:val="0"/>
        <w:spacing w:line="560" w:lineRule="exact"/>
        <w:ind w:left="139" w:leftChars="66" w:firstLine="562" w:firstLineChars="200"/>
        <w:rPr>
          <w:rFonts w:ascii="方正仿宋_GBK" w:hAnsi="宋体" w:eastAsia="方正仿宋_GBK"/>
          <w:b/>
          <w:bCs/>
          <w:color w:val="auto"/>
          <w:sz w:val="28"/>
          <w:szCs w:val="28"/>
          <w:highlight w:val="none"/>
        </w:rPr>
      </w:pPr>
      <w:r>
        <w:rPr>
          <w:rFonts w:hint="eastAsia" w:ascii="方正仿宋_GBK" w:hAnsi="宋体" w:eastAsia="方正仿宋_GBK"/>
          <w:b/>
          <w:bCs/>
          <w:color w:val="auto"/>
          <w:sz w:val="28"/>
          <w:szCs w:val="28"/>
          <w:highlight w:val="none"/>
        </w:rPr>
        <w:t>3、中选单位如因供货数量、供货时间、质量等未满足采购方要求，从而影响工期等，</w:t>
      </w:r>
      <w:r>
        <w:rPr>
          <w:rFonts w:ascii="方正仿宋_GBK" w:hAnsi="宋体" w:eastAsia="方正仿宋_GBK"/>
          <w:b/>
          <w:bCs/>
          <w:color w:val="auto"/>
          <w:sz w:val="28"/>
          <w:szCs w:val="28"/>
          <w:highlight w:val="none"/>
        </w:rPr>
        <w:t>由此带来的损失由</w:t>
      </w:r>
      <w:r>
        <w:rPr>
          <w:rFonts w:hint="eastAsia" w:ascii="方正仿宋_GBK" w:hAnsi="宋体" w:eastAsia="方正仿宋_GBK"/>
          <w:b/>
          <w:bCs/>
          <w:color w:val="auto"/>
          <w:sz w:val="28"/>
          <w:szCs w:val="28"/>
          <w:highlight w:val="none"/>
        </w:rPr>
        <w:t>中选单位全部</w:t>
      </w:r>
      <w:r>
        <w:rPr>
          <w:rFonts w:ascii="方正仿宋_GBK" w:hAnsi="宋体" w:eastAsia="方正仿宋_GBK"/>
          <w:b/>
          <w:bCs/>
          <w:color w:val="auto"/>
          <w:sz w:val="28"/>
          <w:szCs w:val="28"/>
          <w:highlight w:val="none"/>
        </w:rPr>
        <w:t>承担</w:t>
      </w:r>
      <w:r>
        <w:rPr>
          <w:rFonts w:hint="eastAsia" w:ascii="方正仿宋_GBK" w:hAnsi="宋体" w:eastAsia="方正仿宋_GBK"/>
          <w:b/>
          <w:bCs/>
          <w:color w:val="auto"/>
          <w:sz w:val="28"/>
          <w:szCs w:val="28"/>
          <w:highlight w:val="none"/>
        </w:rPr>
        <w:t>。</w:t>
      </w:r>
    </w:p>
    <w:p w14:paraId="20C38578">
      <w:pPr>
        <w:tabs>
          <w:tab w:val="left" w:pos="0"/>
        </w:tabs>
        <w:adjustRightInd w:val="0"/>
        <w:spacing w:line="500" w:lineRule="exact"/>
        <w:ind w:firstLine="551" w:firstLineChars="196"/>
        <w:outlineLvl w:val="0"/>
        <w:rPr>
          <w:rFonts w:ascii="方正仿宋_GBK" w:hAnsi="黑体" w:eastAsia="方正仿宋_GBK"/>
          <w:b/>
          <w:color w:val="auto"/>
          <w:sz w:val="28"/>
          <w:highlight w:val="none"/>
        </w:rPr>
      </w:pPr>
      <w:bookmarkStart w:id="34" w:name="_Toc130893037"/>
      <w:bookmarkStart w:id="35" w:name="_Toc130893332"/>
      <w:r>
        <w:rPr>
          <w:rFonts w:hint="eastAsia" w:ascii="方正仿宋_GBK" w:hAnsi="黑体" w:eastAsia="方正仿宋_GBK"/>
          <w:b/>
          <w:color w:val="auto"/>
          <w:sz w:val="28"/>
          <w:highlight w:val="none"/>
        </w:rPr>
        <w:t>（十）质保期限</w:t>
      </w:r>
      <w:bookmarkEnd w:id="34"/>
      <w:bookmarkEnd w:id="35"/>
    </w:p>
    <w:p w14:paraId="612A4428">
      <w:pPr>
        <w:snapToGrid w:val="0"/>
        <w:spacing w:line="500" w:lineRule="exact"/>
        <w:ind w:firstLine="570"/>
        <w:rPr>
          <w:rFonts w:ascii="方正仿宋_GBK" w:hAnsi="宋体" w:eastAsia="方正仿宋_GBK"/>
          <w:bCs/>
          <w:color w:val="auto"/>
          <w:sz w:val="28"/>
          <w:szCs w:val="28"/>
          <w:highlight w:val="none"/>
        </w:rPr>
      </w:pPr>
      <w:r>
        <w:rPr>
          <w:rFonts w:hint="eastAsia" w:ascii="方正仿宋_GBK" w:hAnsi="宋体" w:eastAsia="方正仿宋_GBK"/>
          <w:bCs/>
          <w:color w:val="auto"/>
          <w:sz w:val="28"/>
          <w:szCs w:val="28"/>
          <w:highlight w:val="none"/>
        </w:rPr>
        <w:t xml:space="preserve">质保期 </w:t>
      </w:r>
      <w:r>
        <w:rPr>
          <w:rFonts w:hint="eastAsia" w:ascii="方正仿宋_GBK" w:hAnsi="宋体" w:eastAsia="方正仿宋_GBK"/>
          <w:bCs/>
          <w:color w:val="auto"/>
          <w:sz w:val="28"/>
          <w:szCs w:val="28"/>
          <w:highlight w:val="none"/>
          <w:u w:val="single"/>
        </w:rPr>
        <w:t xml:space="preserve"> 2 </w:t>
      </w:r>
      <w:r>
        <w:rPr>
          <w:rFonts w:hint="eastAsia" w:ascii="方正仿宋_GBK" w:hAnsi="宋体" w:eastAsia="方正仿宋_GBK"/>
          <w:bCs/>
          <w:color w:val="auto"/>
          <w:sz w:val="28"/>
          <w:szCs w:val="28"/>
          <w:highlight w:val="none"/>
        </w:rPr>
        <w:t xml:space="preserve">年，防火门自公安消防验收合格之日起算，其余门自验收合格之日起计算。在质保期内因产品质量问题由供方免费维修与更换，如造成的损失由供方负责赔偿，且不予退还质量保证金。 </w:t>
      </w:r>
    </w:p>
    <w:p w14:paraId="7988E8D0">
      <w:pPr>
        <w:tabs>
          <w:tab w:val="left" w:pos="0"/>
        </w:tabs>
        <w:adjustRightInd w:val="0"/>
        <w:spacing w:line="500" w:lineRule="exact"/>
        <w:ind w:firstLine="551" w:firstLineChars="196"/>
        <w:outlineLvl w:val="0"/>
        <w:rPr>
          <w:rFonts w:ascii="方正仿宋_GBK" w:hAnsi="黑体" w:eastAsia="方正仿宋_GBK"/>
          <w:b/>
          <w:color w:val="auto"/>
          <w:sz w:val="28"/>
          <w:highlight w:val="none"/>
        </w:rPr>
      </w:pPr>
      <w:bookmarkStart w:id="36" w:name="_Toc130893333"/>
      <w:bookmarkStart w:id="37" w:name="_Toc130893038"/>
      <w:r>
        <w:rPr>
          <w:rFonts w:hint="eastAsia" w:ascii="方正仿宋_GBK" w:hAnsi="黑体" w:eastAsia="方正仿宋_GBK"/>
          <w:b/>
          <w:color w:val="auto"/>
          <w:sz w:val="28"/>
          <w:highlight w:val="none"/>
        </w:rPr>
        <w:t>（十一）结算方式</w:t>
      </w:r>
      <w:bookmarkEnd w:id="36"/>
      <w:bookmarkEnd w:id="37"/>
    </w:p>
    <w:p w14:paraId="274F17C1">
      <w:pPr>
        <w:tabs>
          <w:tab w:val="left" w:pos="0"/>
        </w:tabs>
        <w:adjustRightInd w:val="0"/>
        <w:spacing w:line="56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1、本项材料采购不设预付款，安装完成内部验收合格后支付70%，消防验收合格后支付97%，剩余3%为质保金，待质保期满后付清余款。</w:t>
      </w:r>
    </w:p>
    <w:p w14:paraId="72F0FDF0">
      <w:pPr>
        <w:tabs>
          <w:tab w:val="left" w:pos="0"/>
        </w:tabs>
        <w:adjustRightInd w:val="0"/>
        <w:spacing w:line="56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2、供货单位根据总金额一次性提供增值税专用发票，税率：</w:t>
      </w:r>
      <w:r>
        <w:rPr>
          <w:rFonts w:hint="eastAsia" w:ascii="方正仿宋_GBK" w:hAnsi="宋体" w:eastAsia="方正仿宋_GBK"/>
          <w:color w:val="auto"/>
          <w:sz w:val="28"/>
          <w:szCs w:val="28"/>
          <w:highlight w:val="none"/>
          <w:u w:val="single"/>
        </w:rPr>
        <w:t xml:space="preserve">   </w:t>
      </w:r>
      <w:r>
        <w:rPr>
          <w:rFonts w:hint="eastAsia" w:ascii="方正仿宋_GBK" w:hAnsi="宋体" w:eastAsia="方正仿宋_GBK"/>
          <w:color w:val="auto"/>
          <w:sz w:val="28"/>
          <w:szCs w:val="28"/>
          <w:highlight w:val="none"/>
        </w:rPr>
        <w:t>%，采购方收到发票后15个工作日内以转账方式支付货款。结算时如未开具增值税专用发票，采购方将从货款中扣除相应税额。</w:t>
      </w:r>
    </w:p>
    <w:p w14:paraId="12F9DE8E">
      <w:pPr>
        <w:snapToGrid w:val="0"/>
        <w:spacing w:line="500" w:lineRule="exact"/>
        <w:ind w:firstLine="562" w:firstLineChars="200"/>
        <w:rPr>
          <w:rFonts w:ascii="方正仿宋_GBK" w:hAnsi="宋体" w:eastAsia="方正仿宋_GBK"/>
          <w:b/>
          <w:color w:val="auto"/>
          <w:sz w:val="28"/>
          <w:szCs w:val="28"/>
          <w:highlight w:val="none"/>
        </w:rPr>
      </w:pPr>
      <w:r>
        <w:rPr>
          <w:rFonts w:hint="eastAsia" w:ascii="方正仿宋_GBK" w:hAnsi="宋体" w:eastAsia="方正仿宋_GBK"/>
          <w:b/>
          <w:color w:val="auto"/>
          <w:sz w:val="28"/>
          <w:szCs w:val="28"/>
          <w:highlight w:val="none"/>
        </w:rPr>
        <w:t>（十二）比选程序</w:t>
      </w:r>
    </w:p>
    <w:p w14:paraId="54EECCD4">
      <w:pPr>
        <w:tabs>
          <w:tab w:val="left" w:pos="0"/>
        </w:tabs>
        <w:adjustRightInd w:val="0"/>
        <w:spacing w:line="50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1、比选小组</w:t>
      </w:r>
    </w:p>
    <w:p w14:paraId="57D65770">
      <w:pPr>
        <w:tabs>
          <w:tab w:val="left" w:pos="0"/>
        </w:tabs>
        <w:adjustRightInd w:val="0"/>
        <w:spacing w:line="500" w:lineRule="exact"/>
        <w:ind w:firstLine="560" w:firstLineChars="200"/>
        <w:rPr>
          <w:rFonts w:hint="eastAsia" w:ascii="方正仿宋_GBK" w:hAnsi="宋体" w:eastAsia="方正仿宋_GBK" w:cs="Times New Roman"/>
          <w:color w:val="auto"/>
          <w:sz w:val="28"/>
          <w:szCs w:val="28"/>
          <w:highlight w:val="none"/>
          <w:lang w:eastAsia="zh-CN"/>
        </w:rPr>
      </w:pPr>
      <w:r>
        <w:rPr>
          <w:rFonts w:hint="eastAsia" w:ascii="方正仿宋_GBK" w:hAnsi="宋体" w:eastAsia="方正仿宋_GBK" w:cs="Times New Roman"/>
          <w:color w:val="auto"/>
          <w:sz w:val="28"/>
          <w:szCs w:val="28"/>
          <w:highlight w:val="none"/>
        </w:rPr>
        <w:t>比选小组由</w:t>
      </w:r>
      <w:r>
        <w:rPr>
          <w:rFonts w:hint="eastAsia" w:ascii="方正仿宋_GBK" w:hAnsi="宋体" w:eastAsia="方正仿宋_GBK" w:cs="Times New Roman"/>
          <w:color w:val="auto"/>
          <w:sz w:val="28"/>
          <w:szCs w:val="28"/>
          <w:highlight w:val="none"/>
          <w:lang w:eastAsia="zh-CN"/>
        </w:rPr>
        <w:t>相关部室组成</w:t>
      </w:r>
      <w:r>
        <w:rPr>
          <w:rFonts w:hint="eastAsia" w:ascii="方正仿宋_GBK" w:hAnsi="宋体" w:eastAsia="方正仿宋_GBK" w:cs="Times New Roman"/>
          <w:color w:val="auto"/>
          <w:sz w:val="28"/>
          <w:szCs w:val="28"/>
          <w:highlight w:val="none"/>
        </w:rPr>
        <w:t>，共5人。比选小组组长由</w:t>
      </w:r>
      <w:r>
        <w:rPr>
          <w:rFonts w:hint="eastAsia" w:ascii="方正仿宋_GBK" w:hAnsi="宋体" w:eastAsia="方正仿宋_GBK" w:cs="Times New Roman"/>
          <w:color w:val="auto"/>
          <w:sz w:val="28"/>
          <w:szCs w:val="28"/>
          <w:highlight w:val="none"/>
          <w:lang w:eastAsia="zh-CN"/>
        </w:rPr>
        <w:t>公司领导</w:t>
      </w:r>
      <w:r>
        <w:rPr>
          <w:rFonts w:hint="eastAsia" w:ascii="方正仿宋_GBK" w:hAnsi="宋体" w:eastAsia="方正仿宋_GBK" w:cs="Times New Roman"/>
          <w:color w:val="auto"/>
          <w:sz w:val="28"/>
          <w:szCs w:val="28"/>
          <w:highlight w:val="none"/>
          <w:lang w:val="en-US" w:eastAsia="zh-CN"/>
        </w:rPr>
        <w:t>指定</w:t>
      </w:r>
      <w:r>
        <w:rPr>
          <w:rFonts w:hint="eastAsia" w:ascii="方正仿宋_GBK" w:hAnsi="宋体" w:eastAsia="方正仿宋_GBK" w:cs="Times New Roman"/>
          <w:color w:val="auto"/>
          <w:sz w:val="28"/>
          <w:szCs w:val="28"/>
          <w:highlight w:val="none"/>
        </w:rPr>
        <w:t>负责人担任</w:t>
      </w:r>
      <w:r>
        <w:rPr>
          <w:rFonts w:hint="eastAsia" w:ascii="方正仿宋_GBK" w:hAnsi="宋体" w:eastAsia="方正仿宋_GBK" w:cs="Times New Roman"/>
          <w:color w:val="auto"/>
          <w:sz w:val="28"/>
          <w:szCs w:val="28"/>
          <w:highlight w:val="none"/>
          <w:lang w:eastAsia="zh-CN"/>
        </w:rPr>
        <w:t>。</w:t>
      </w:r>
    </w:p>
    <w:p w14:paraId="4687306F">
      <w:pPr>
        <w:tabs>
          <w:tab w:val="left" w:pos="0"/>
        </w:tabs>
        <w:adjustRightInd w:val="0"/>
        <w:spacing w:line="50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2、比选会议的监督</w:t>
      </w:r>
    </w:p>
    <w:p w14:paraId="53E8F179">
      <w:pPr>
        <w:tabs>
          <w:tab w:val="left" w:pos="0"/>
        </w:tabs>
        <w:adjustRightInd w:val="0"/>
        <w:spacing w:line="50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本次比选会议邀请公司</w:t>
      </w:r>
      <w:r>
        <w:rPr>
          <w:rFonts w:hint="eastAsia" w:ascii="方正仿宋_GBK" w:hAnsi="宋体" w:eastAsia="方正仿宋_GBK"/>
          <w:color w:val="auto"/>
          <w:sz w:val="28"/>
          <w:szCs w:val="28"/>
          <w:highlight w:val="none"/>
          <w:lang w:val="en-US" w:eastAsia="zh-CN"/>
        </w:rPr>
        <w:t>领导</w:t>
      </w:r>
      <w:r>
        <w:rPr>
          <w:rFonts w:hint="eastAsia" w:ascii="方正仿宋_GBK" w:hAnsi="宋体" w:eastAsia="方正仿宋_GBK"/>
          <w:color w:val="auto"/>
          <w:sz w:val="28"/>
          <w:szCs w:val="28"/>
          <w:highlight w:val="none"/>
        </w:rPr>
        <w:t>参与比选会议，全程监督。</w:t>
      </w:r>
    </w:p>
    <w:p w14:paraId="5DE55D90">
      <w:pPr>
        <w:tabs>
          <w:tab w:val="left" w:pos="0"/>
        </w:tabs>
        <w:adjustRightInd w:val="0"/>
        <w:spacing w:line="50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3、比选会议按比选文件规定的时间和地点进行。竞选人须由</w:t>
      </w:r>
      <w:r>
        <w:rPr>
          <w:rFonts w:hint="eastAsia" w:ascii="方正仿宋_GBK" w:hAnsi="宋体" w:eastAsia="方正仿宋_GBK"/>
          <w:color w:val="auto"/>
          <w:sz w:val="28"/>
          <w:szCs w:val="28"/>
          <w:highlight w:val="none"/>
          <w:lang w:val="en-US" w:eastAsia="zh-CN"/>
        </w:rPr>
        <w:t>法定代表人</w:t>
      </w:r>
      <w:r>
        <w:rPr>
          <w:rFonts w:hint="eastAsia" w:ascii="方正仿宋_GBK" w:hAnsi="宋体" w:eastAsia="方正仿宋_GBK"/>
          <w:color w:val="auto"/>
          <w:sz w:val="28"/>
          <w:szCs w:val="28"/>
          <w:highlight w:val="none"/>
        </w:rPr>
        <w:t>或</w:t>
      </w:r>
      <w:r>
        <w:rPr>
          <w:rFonts w:hint="eastAsia" w:ascii="方正仿宋_GBK" w:hAnsi="宋体" w:eastAsia="方正仿宋_GBK"/>
          <w:color w:val="auto"/>
          <w:sz w:val="28"/>
          <w:szCs w:val="28"/>
          <w:highlight w:val="none"/>
          <w:lang w:val="en-US" w:eastAsia="zh-CN"/>
        </w:rPr>
        <w:t>法定代表人</w:t>
      </w:r>
      <w:r>
        <w:rPr>
          <w:rFonts w:hint="eastAsia" w:ascii="方正仿宋_GBK" w:hAnsi="宋体" w:eastAsia="方正仿宋_GBK"/>
          <w:color w:val="auto"/>
          <w:sz w:val="28"/>
          <w:szCs w:val="28"/>
          <w:highlight w:val="none"/>
        </w:rPr>
        <w:t>授权代表参加并签到。</w:t>
      </w:r>
    </w:p>
    <w:p w14:paraId="6CEAA19A">
      <w:pPr>
        <w:tabs>
          <w:tab w:val="left" w:pos="0"/>
        </w:tabs>
        <w:adjustRightInd w:val="0"/>
        <w:spacing w:line="50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4、竞选人应达到三家或超过三家召开比选会，竞选人不足3家</w:t>
      </w:r>
      <w:r>
        <w:rPr>
          <w:rFonts w:ascii="方正仿宋_GBK" w:hAnsi="宋体" w:eastAsia="方正仿宋_GBK"/>
          <w:color w:val="auto"/>
          <w:sz w:val="28"/>
          <w:szCs w:val="28"/>
          <w:highlight w:val="none"/>
        </w:rPr>
        <w:t>，按流标处理</w:t>
      </w:r>
      <w:r>
        <w:rPr>
          <w:rFonts w:hint="eastAsia" w:ascii="方正仿宋_GBK" w:hAnsi="宋体" w:eastAsia="方正仿宋_GBK"/>
          <w:color w:val="auto"/>
          <w:sz w:val="28"/>
          <w:szCs w:val="28"/>
          <w:highlight w:val="none"/>
        </w:rPr>
        <w:t>。</w:t>
      </w:r>
      <w:r>
        <w:rPr>
          <w:rFonts w:ascii="方正仿宋_GBK" w:hAnsi="宋体" w:eastAsia="方正仿宋_GBK"/>
          <w:color w:val="auto"/>
          <w:sz w:val="28"/>
          <w:szCs w:val="28"/>
          <w:highlight w:val="none"/>
        </w:rPr>
        <w:t>两次流标后，不再进行竞争性比选。由比选小组召集第二次报名的竞选人递交竞选文件，对竞选文件进行审查，并确定中选候选人。</w:t>
      </w:r>
      <w:r>
        <w:rPr>
          <w:rFonts w:hint="eastAsia" w:ascii="方正仿宋_GBK" w:hAnsi="宋体" w:eastAsia="方正仿宋_GBK"/>
          <w:color w:val="auto"/>
          <w:sz w:val="28"/>
          <w:szCs w:val="28"/>
          <w:highlight w:val="none"/>
        </w:rPr>
        <w:t>因特殊情况，如竞选人</w:t>
      </w:r>
      <w:r>
        <w:rPr>
          <w:rFonts w:hint="eastAsia" w:ascii="方正仿宋_GBK" w:hAnsi="宋体" w:eastAsia="方正仿宋_GBK"/>
          <w:color w:val="auto"/>
          <w:sz w:val="28"/>
          <w:szCs w:val="28"/>
          <w:highlight w:val="none"/>
          <w:lang w:eastAsia="zh-CN"/>
        </w:rPr>
        <w:t>只有两家</w:t>
      </w:r>
      <w:r>
        <w:rPr>
          <w:rFonts w:hint="eastAsia" w:ascii="方正仿宋_GBK" w:hAnsi="宋体" w:eastAsia="方正仿宋_GBK"/>
          <w:color w:val="auto"/>
          <w:sz w:val="28"/>
          <w:szCs w:val="28"/>
          <w:highlight w:val="none"/>
        </w:rPr>
        <w:t>，比选小组认为具有竞争性可以投票表决决定是否继续进行比选，票数超过三分之二的则继续进行比选。</w:t>
      </w:r>
    </w:p>
    <w:p w14:paraId="29FB2B6D">
      <w:pPr>
        <w:tabs>
          <w:tab w:val="left" w:pos="0"/>
        </w:tabs>
        <w:adjustRightInd w:val="0"/>
        <w:spacing w:line="50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5、至文件递交截止时间，比选人组织召开比选会议。现场查验各文件密封情况后，开启文件，现场公布报价。公布报价后，各报价人退出会场。比选小组成员对供应商提供的竞选文件进行综合评审。</w:t>
      </w:r>
    </w:p>
    <w:p w14:paraId="78BD7289">
      <w:pPr>
        <w:tabs>
          <w:tab w:val="left" w:pos="0"/>
        </w:tabs>
        <w:adjustRightInd w:val="0"/>
        <w:spacing w:line="500" w:lineRule="exact"/>
        <w:ind w:firstLine="562" w:firstLineChars="200"/>
        <w:rPr>
          <w:rFonts w:ascii="方正仿宋_GBK" w:hAnsi="宋体" w:eastAsia="方正仿宋_GBK"/>
          <w:b/>
          <w:color w:val="auto"/>
          <w:sz w:val="28"/>
          <w:szCs w:val="28"/>
          <w:highlight w:val="none"/>
        </w:rPr>
      </w:pPr>
      <w:r>
        <w:rPr>
          <w:rFonts w:hint="eastAsia" w:ascii="方正仿宋_GBK" w:hAnsi="宋体" w:eastAsia="方正仿宋_GBK"/>
          <w:b/>
          <w:color w:val="auto"/>
          <w:sz w:val="28"/>
          <w:szCs w:val="28"/>
          <w:highlight w:val="none"/>
        </w:rPr>
        <w:t xml:space="preserve">（十三）确定供应商办法  </w:t>
      </w:r>
    </w:p>
    <w:p w14:paraId="309B0870">
      <w:pPr>
        <w:snapToGrid w:val="0"/>
        <w:spacing w:line="500" w:lineRule="exact"/>
        <w:ind w:firstLine="560" w:firstLineChars="200"/>
        <w:rPr>
          <w:rFonts w:ascii="方正仿宋_GBK" w:eastAsia="方正仿宋_GBK"/>
          <w:color w:val="auto"/>
          <w:sz w:val="28"/>
          <w:szCs w:val="28"/>
          <w:highlight w:val="none"/>
        </w:rPr>
      </w:pPr>
      <w:r>
        <w:rPr>
          <w:rFonts w:hint="eastAsia" w:ascii="方正仿宋_GBK" w:hAnsi="宋体" w:eastAsia="方正仿宋_GBK"/>
          <w:bCs/>
          <w:color w:val="auto"/>
          <w:sz w:val="28"/>
          <w:szCs w:val="28"/>
          <w:highlight w:val="none"/>
        </w:rPr>
        <w:t>1、</w:t>
      </w:r>
      <w:r>
        <w:rPr>
          <w:rFonts w:hint="eastAsia" w:ascii="方正仿宋_GBK" w:eastAsia="方正仿宋_GBK"/>
          <w:color w:val="auto"/>
          <w:sz w:val="28"/>
          <w:szCs w:val="28"/>
          <w:highlight w:val="none"/>
        </w:rPr>
        <w:t>本次比选按经评审的不含税报价最低的竞选人为中标候选人〔计算公式：不含税报价=含税价÷（1+竞选人所报增值税专用发票税率）〕。比选小组对满足比选文件实质性要求的竞选文件，按照经评审的有效报价由低到高的顺序排名，向比选人推荐排名前三名的竞选人为中选候选人，比选人审核通过后，确定报价最低的候选人为中选人。通过形式审查和资格审查，并响应比选文件要求的报价为有效报价。</w:t>
      </w:r>
    </w:p>
    <w:p w14:paraId="0E2FB1DA">
      <w:pPr>
        <w:tabs>
          <w:tab w:val="left" w:pos="0"/>
        </w:tabs>
        <w:adjustRightInd w:val="0"/>
        <w:spacing w:line="500" w:lineRule="exact"/>
        <w:ind w:firstLine="560" w:firstLineChars="20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2、采取经评审的最低不含税报价法的，最低不含税报价相同的，报价相同的竞选人进行第二次报价，第二次报价不得高于第一次报价。并将该竞选人第二次报价与其他竞选人第一次报价一并进行排名。若第二次报价仍然相同，抽签决定第二次报价的竞选人排名顺序。</w:t>
      </w:r>
    </w:p>
    <w:p w14:paraId="7A4C4A7A">
      <w:pPr>
        <w:tabs>
          <w:tab w:val="left" w:pos="0"/>
        </w:tabs>
        <w:adjustRightInd w:val="0"/>
        <w:spacing w:line="500" w:lineRule="exact"/>
        <w:ind w:firstLine="560" w:firstLineChars="20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3、推荐中选候选人名单。评审结束后，比选小组对满足比选文件实质性要求的竞选文件，按照经评审的结果进行顺序排名。比选小组应推荐排名第一名的竞选人为中选候选人，并经比选小组成员签字后，报重庆市玉罗实业有限公司确认。当公司确认中选人后应向参加本次比选采购的竞选人公布中选供应商。如第一中选候选人因故自愿放弃第一中选候选人资格的，经比选小组成员表决过半数通过，比选人将原第一中选候选人的竞价及其他条件向第二中选候选人、第三中选候选人（以此类推）发盘，首先接盘者为第一中选候选人。</w:t>
      </w:r>
    </w:p>
    <w:p w14:paraId="5F745244">
      <w:pPr>
        <w:tabs>
          <w:tab w:val="left" w:pos="0"/>
        </w:tabs>
        <w:adjustRightInd w:val="0"/>
        <w:spacing w:line="500" w:lineRule="exact"/>
        <w:ind w:firstLine="560" w:firstLineChars="20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4、公司确定并公布中标</w:t>
      </w:r>
      <w:r>
        <w:rPr>
          <w:rFonts w:hint="eastAsia" w:ascii="方正仿宋_GBK" w:eastAsia="方正仿宋_GBK"/>
          <w:color w:val="auto"/>
          <w:sz w:val="28"/>
          <w:szCs w:val="28"/>
          <w:highlight w:val="none"/>
          <w:lang w:eastAsia="zh-CN"/>
        </w:rPr>
        <w:t>候选人</w:t>
      </w:r>
      <w:r>
        <w:rPr>
          <w:rFonts w:hint="eastAsia" w:ascii="方正仿宋_GBK" w:eastAsia="方正仿宋_GBK"/>
          <w:color w:val="auto"/>
          <w:sz w:val="28"/>
          <w:szCs w:val="28"/>
          <w:highlight w:val="none"/>
        </w:rPr>
        <w:t>后，第一中标</w:t>
      </w:r>
      <w:r>
        <w:rPr>
          <w:rFonts w:hint="eastAsia" w:ascii="方正仿宋_GBK" w:eastAsia="方正仿宋_GBK"/>
          <w:color w:val="auto"/>
          <w:sz w:val="28"/>
          <w:szCs w:val="28"/>
          <w:highlight w:val="none"/>
          <w:lang w:eastAsia="zh-CN"/>
        </w:rPr>
        <w:t>候选人</w:t>
      </w:r>
      <w:r>
        <w:rPr>
          <w:rFonts w:hint="eastAsia" w:ascii="方正仿宋_GBK" w:eastAsia="方正仿宋_GBK"/>
          <w:color w:val="auto"/>
          <w:sz w:val="28"/>
          <w:szCs w:val="28"/>
          <w:highlight w:val="none"/>
        </w:rPr>
        <w:t>应在5个工作日内签订合同，否则将视同自愿放弃中标资格。</w:t>
      </w:r>
    </w:p>
    <w:p w14:paraId="44854B10">
      <w:pPr>
        <w:snapToGrid w:val="0"/>
        <w:spacing w:line="500" w:lineRule="exact"/>
        <w:ind w:firstLine="562" w:firstLineChars="200"/>
        <w:rPr>
          <w:rFonts w:ascii="方正仿宋_GBK" w:hAnsi="宋体" w:eastAsia="方正仿宋_GBK"/>
          <w:b/>
          <w:color w:val="auto"/>
          <w:sz w:val="28"/>
          <w:szCs w:val="28"/>
          <w:highlight w:val="none"/>
        </w:rPr>
      </w:pPr>
      <w:r>
        <w:rPr>
          <w:rFonts w:hint="eastAsia" w:ascii="方正仿宋_GBK" w:hAnsi="宋体" w:eastAsia="方正仿宋_GBK"/>
          <w:b/>
          <w:color w:val="auto"/>
          <w:sz w:val="28"/>
          <w:szCs w:val="28"/>
          <w:highlight w:val="none"/>
        </w:rPr>
        <w:t>（十四）竞选文件评审</w:t>
      </w:r>
    </w:p>
    <w:p w14:paraId="61A0C4FD">
      <w:pPr>
        <w:tabs>
          <w:tab w:val="left" w:pos="0"/>
        </w:tabs>
        <w:adjustRightInd w:val="0"/>
        <w:spacing w:line="500" w:lineRule="exact"/>
        <w:ind w:firstLine="560" w:firstLineChars="20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1、竞选文件评审由比选小组负责。比选小组根据竞选人提交的竞选文件，对照比选文件的标准和要求，进行形式评审、资格评审、响应性评审等。</w:t>
      </w:r>
    </w:p>
    <w:p w14:paraId="31E0A126">
      <w:pPr>
        <w:tabs>
          <w:tab w:val="left" w:pos="0"/>
        </w:tabs>
        <w:adjustRightInd w:val="0"/>
        <w:spacing w:line="500" w:lineRule="exact"/>
        <w:ind w:firstLine="560" w:firstLineChars="20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2、竞选文件出现以下情形，作废标处理</w:t>
      </w:r>
    </w:p>
    <w:p w14:paraId="4994221C">
      <w:pPr>
        <w:tabs>
          <w:tab w:val="left" w:pos="0"/>
        </w:tabs>
        <w:adjustRightInd w:val="0"/>
        <w:spacing w:line="500" w:lineRule="exact"/>
        <w:ind w:firstLine="560" w:firstLineChars="20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（1）未按比选文件要求提供相关资料的，如未提供法人或授权委托人身份证复印件、授权委托书等；</w:t>
      </w:r>
    </w:p>
    <w:p w14:paraId="45D0CAC9">
      <w:pPr>
        <w:tabs>
          <w:tab w:val="left" w:pos="0"/>
        </w:tabs>
        <w:adjustRightInd w:val="0"/>
        <w:spacing w:line="500" w:lineRule="exact"/>
        <w:ind w:firstLine="560" w:firstLineChars="20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 xml:space="preserve">（2）竞选人竞选文件载明的竞选人名称与提供营业执照不一致的； </w:t>
      </w:r>
    </w:p>
    <w:p w14:paraId="01A1C333">
      <w:pPr>
        <w:tabs>
          <w:tab w:val="left" w:pos="0"/>
        </w:tabs>
        <w:adjustRightInd w:val="0"/>
        <w:spacing w:line="500" w:lineRule="exact"/>
        <w:ind w:firstLine="560" w:firstLineChars="20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（3）竞选函、竞选报价、承诺书、授权委托书、清单等签字、盖章不符合比选文件要求的，承诺书弄虚作假的；</w:t>
      </w:r>
    </w:p>
    <w:p w14:paraId="5893EE3C">
      <w:pPr>
        <w:tabs>
          <w:tab w:val="left" w:pos="0"/>
        </w:tabs>
        <w:adjustRightInd w:val="0"/>
        <w:spacing w:line="500" w:lineRule="exact"/>
        <w:ind w:firstLine="560" w:firstLineChars="20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（4）营业执照等证失效，或者营业执照的经营范围不符合比选文件要求的；</w:t>
      </w:r>
    </w:p>
    <w:p w14:paraId="10186040">
      <w:pPr>
        <w:tabs>
          <w:tab w:val="left" w:pos="0"/>
        </w:tabs>
        <w:adjustRightInd w:val="0"/>
        <w:spacing w:line="500" w:lineRule="exact"/>
        <w:ind w:firstLine="560" w:firstLineChars="20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（5）未响应比选文件中质量及供货周期要求的；</w:t>
      </w:r>
    </w:p>
    <w:p w14:paraId="306B3F77">
      <w:pPr>
        <w:tabs>
          <w:tab w:val="left" w:pos="0"/>
        </w:tabs>
        <w:adjustRightInd w:val="0"/>
        <w:spacing w:line="500" w:lineRule="exact"/>
        <w:ind w:firstLine="560" w:firstLineChars="20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（6）更改报价范围（含改变比选人给定的量），或者增、减报价项目的，改变报价函格式的；</w:t>
      </w:r>
    </w:p>
    <w:p w14:paraId="5E19F925">
      <w:pPr>
        <w:tabs>
          <w:tab w:val="left" w:pos="0"/>
        </w:tabs>
        <w:adjustRightInd w:val="0"/>
        <w:spacing w:line="500" w:lineRule="exact"/>
        <w:ind w:firstLine="560" w:firstLineChars="20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（7）承诺书中未按要求填写完整的；</w:t>
      </w:r>
    </w:p>
    <w:p w14:paraId="3383138F">
      <w:pPr>
        <w:tabs>
          <w:tab w:val="left" w:pos="0"/>
        </w:tabs>
        <w:adjustRightInd w:val="0"/>
        <w:spacing w:line="500" w:lineRule="exact"/>
        <w:ind w:firstLine="560" w:firstLineChars="20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（8）报价表中如有任意一项空白遗漏的，如无品牌、无报价等情况，单价报价、总价报价超过限价的；</w:t>
      </w:r>
    </w:p>
    <w:p w14:paraId="04157D87">
      <w:pPr>
        <w:tabs>
          <w:tab w:val="left" w:pos="0"/>
        </w:tabs>
        <w:adjustRightInd w:val="0"/>
        <w:spacing w:line="500" w:lineRule="exact"/>
        <w:ind w:firstLine="560" w:firstLineChars="20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（9）报价表“合计栏”计算有误，竞选人不同意调整的；</w:t>
      </w:r>
    </w:p>
    <w:p w14:paraId="638280F0">
      <w:pPr>
        <w:tabs>
          <w:tab w:val="left" w:pos="0"/>
        </w:tabs>
        <w:adjustRightInd w:val="0"/>
        <w:spacing w:line="500" w:lineRule="exact"/>
        <w:ind w:firstLine="560" w:firstLineChars="20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（10）竞选人递交两份或多份内容不同的竞选文件，或在一份竞选文件中对同一招标项目报有两个或多个报价；</w:t>
      </w:r>
    </w:p>
    <w:p w14:paraId="0758F0F5">
      <w:pPr>
        <w:tabs>
          <w:tab w:val="left" w:pos="0"/>
        </w:tabs>
        <w:adjustRightInd w:val="0"/>
        <w:spacing w:line="500" w:lineRule="exact"/>
        <w:ind w:firstLine="560" w:firstLineChars="20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（11）竞选人所报税率未按照国家规定、未在增值税率规定的条款中的作废标</w:t>
      </w:r>
    </w:p>
    <w:p w14:paraId="22A58E01">
      <w:pPr>
        <w:tabs>
          <w:tab w:val="left" w:pos="0"/>
        </w:tabs>
        <w:adjustRightInd w:val="0"/>
        <w:spacing w:line="500" w:lineRule="exact"/>
        <w:ind w:firstLine="560" w:firstLineChars="20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（12）比选小组认为竞选人的报价明显低于成本的，要求该竞选人</w:t>
      </w:r>
      <w:r>
        <w:rPr>
          <w:rFonts w:hint="eastAsia" w:ascii="方正仿宋_GBK" w:eastAsia="方正仿宋_GBK"/>
          <w:color w:val="auto"/>
          <w:sz w:val="28"/>
          <w:szCs w:val="28"/>
          <w:highlight w:val="none"/>
          <w:lang w:eastAsia="zh-CN"/>
        </w:rPr>
        <w:t>作出</w:t>
      </w:r>
      <w:r>
        <w:rPr>
          <w:rFonts w:hint="eastAsia" w:ascii="方正仿宋_GBK" w:eastAsia="方正仿宋_GBK"/>
          <w:color w:val="auto"/>
          <w:sz w:val="28"/>
          <w:szCs w:val="28"/>
          <w:highlight w:val="none"/>
        </w:rPr>
        <w:t>说明，竞选人不能合理说明或者不能提供相应证明材料的，比选小组认定其竞选文件作废标处理；</w:t>
      </w:r>
    </w:p>
    <w:p w14:paraId="66F40406">
      <w:pPr>
        <w:tabs>
          <w:tab w:val="left" w:pos="0"/>
        </w:tabs>
        <w:autoSpaceDE w:val="0"/>
        <w:autoSpaceDN w:val="0"/>
        <w:adjustRightInd w:val="0"/>
        <w:spacing w:line="500" w:lineRule="exact"/>
        <w:ind w:firstLine="562"/>
        <w:rPr>
          <w:rFonts w:eastAsia="方正仿宋_GBK"/>
          <w:b/>
          <w:bCs/>
          <w:color w:val="auto"/>
          <w:sz w:val="28"/>
          <w:szCs w:val="28"/>
          <w:highlight w:val="none"/>
        </w:rPr>
      </w:pPr>
      <w:r>
        <w:rPr>
          <w:rFonts w:hint="eastAsia" w:ascii="方正仿宋_GBK" w:eastAsia="方正仿宋_GBK"/>
          <w:b/>
          <w:color w:val="auto"/>
          <w:sz w:val="28"/>
          <w:szCs w:val="28"/>
          <w:highlight w:val="none"/>
        </w:rPr>
        <w:t>（13）</w:t>
      </w:r>
      <w:r>
        <w:rPr>
          <w:rFonts w:hint="eastAsia" w:ascii="方正仿宋_GBK" w:eastAsia="方正仿宋_GBK" w:cs="方正仿宋_GBK"/>
          <w:b/>
          <w:bCs/>
          <w:color w:val="auto"/>
          <w:sz w:val="28"/>
          <w:szCs w:val="28"/>
          <w:highlight w:val="none"/>
          <w:lang w:val="zh-CN"/>
        </w:rPr>
        <w:t>比选时，出现串通参与竞选、不均衡报价、未形成充分竞争、未充分保证比选人的商务利益及其他异常等情况，经比选小组认定，比选人有权宣布本次比选流标，并进行重新比选。</w:t>
      </w:r>
    </w:p>
    <w:p w14:paraId="3BA634E6">
      <w:pPr>
        <w:tabs>
          <w:tab w:val="left" w:pos="0"/>
        </w:tabs>
        <w:adjustRightInd w:val="0"/>
        <w:spacing w:line="500" w:lineRule="exact"/>
        <w:ind w:firstLine="560" w:firstLineChars="20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（14）其他情形经比选小组一致决定作废的。</w:t>
      </w:r>
    </w:p>
    <w:p w14:paraId="125D5CDB">
      <w:pPr>
        <w:tabs>
          <w:tab w:val="left" w:pos="0"/>
        </w:tabs>
        <w:adjustRightInd w:val="0"/>
        <w:spacing w:line="500" w:lineRule="exact"/>
        <w:ind w:firstLine="560" w:firstLineChars="20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3、</w:t>
      </w:r>
      <w:r>
        <w:rPr>
          <w:rFonts w:ascii="方正仿宋_GBK" w:eastAsia="方正仿宋_GBK"/>
          <w:color w:val="auto"/>
          <w:sz w:val="28"/>
          <w:szCs w:val="28"/>
          <w:highlight w:val="none"/>
        </w:rPr>
        <w:t>竞选文件报价</w:t>
      </w:r>
      <w:r>
        <w:rPr>
          <w:rFonts w:hint="eastAsia" w:ascii="方正仿宋_GBK" w:eastAsia="方正仿宋_GBK"/>
          <w:color w:val="auto"/>
          <w:sz w:val="28"/>
          <w:szCs w:val="28"/>
          <w:highlight w:val="none"/>
        </w:rPr>
        <w:t>函</w:t>
      </w:r>
      <w:r>
        <w:rPr>
          <w:rFonts w:ascii="方正仿宋_GBK" w:eastAsia="方正仿宋_GBK"/>
          <w:color w:val="auto"/>
          <w:sz w:val="28"/>
          <w:szCs w:val="28"/>
          <w:highlight w:val="none"/>
        </w:rPr>
        <w:t>出现计算错误、大小写不一致等情形，按以下办法处理：</w:t>
      </w:r>
    </w:p>
    <w:p w14:paraId="04F49897">
      <w:pPr>
        <w:tabs>
          <w:tab w:val="left" w:pos="0"/>
        </w:tabs>
        <w:adjustRightInd w:val="0"/>
        <w:spacing w:line="500" w:lineRule="exact"/>
        <w:ind w:firstLine="560" w:firstLineChars="200"/>
        <w:rPr>
          <w:rFonts w:ascii="方正仿宋_GBK" w:eastAsia="方正仿宋_GBK"/>
          <w:color w:val="auto"/>
          <w:sz w:val="28"/>
          <w:szCs w:val="28"/>
          <w:highlight w:val="none"/>
        </w:rPr>
      </w:pPr>
      <w:r>
        <w:rPr>
          <w:rFonts w:ascii="方正仿宋_GBK" w:eastAsia="方正仿宋_GBK"/>
          <w:color w:val="auto"/>
          <w:sz w:val="28"/>
          <w:szCs w:val="28"/>
          <w:highlight w:val="none"/>
        </w:rPr>
        <w:t>（1）报价</w:t>
      </w:r>
      <w:r>
        <w:rPr>
          <w:rFonts w:hint="eastAsia" w:ascii="方正仿宋_GBK" w:eastAsia="方正仿宋_GBK"/>
          <w:color w:val="auto"/>
          <w:sz w:val="28"/>
          <w:szCs w:val="28"/>
          <w:highlight w:val="none"/>
        </w:rPr>
        <w:t>表</w:t>
      </w:r>
      <w:r>
        <w:rPr>
          <w:rFonts w:ascii="方正仿宋_GBK" w:eastAsia="方正仿宋_GBK"/>
          <w:color w:val="auto"/>
          <w:sz w:val="28"/>
          <w:szCs w:val="28"/>
          <w:highlight w:val="none"/>
        </w:rPr>
        <w:t>中，分项报价计算分项合价时错误，以分项报价单价为准，调整合价；</w:t>
      </w:r>
    </w:p>
    <w:p w14:paraId="7929AFD1">
      <w:pPr>
        <w:tabs>
          <w:tab w:val="left" w:pos="0"/>
        </w:tabs>
        <w:adjustRightInd w:val="0"/>
        <w:spacing w:line="500" w:lineRule="exact"/>
        <w:ind w:firstLine="560" w:firstLineChars="200"/>
        <w:rPr>
          <w:rFonts w:ascii="方正仿宋_GBK" w:eastAsia="方正仿宋_GBK"/>
          <w:color w:val="auto"/>
          <w:sz w:val="28"/>
          <w:szCs w:val="28"/>
          <w:highlight w:val="none"/>
        </w:rPr>
      </w:pPr>
      <w:r>
        <w:rPr>
          <w:rFonts w:ascii="方正仿宋_GBK" w:eastAsia="方正仿宋_GBK"/>
          <w:color w:val="auto"/>
          <w:sz w:val="28"/>
          <w:szCs w:val="28"/>
          <w:highlight w:val="none"/>
        </w:rPr>
        <w:t>（2）报价清单中，分项合价计算正确，各分项合价合计计算总价时错误，以分项合价为准，调整总价；</w:t>
      </w:r>
    </w:p>
    <w:p w14:paraId="240E76EA">
      <w:pPr>
        <w:tabs>
          <w:tab w:val="left" w:pos="0"/>
        </w:tabs>
        <w:adjustRightInd w:val="0"/>
        <w:spacing w:line="500" w:lineRule="exact"/>
        <w:ind w:firstLine="560" w:firstLineChars="200"/>
        <w:rPr>
          <w:rFonts w:ascii="方正仿宋_GBK" w:eastAsia="方正仿宋_GBK"/>
          <w:color w:val="auto"/>
          <w:sz w:val="28"/>
          <w:szCs w:val="28"/>
          <w:highlight w:val="none"/>
        </w:rPr>
      </w:pPr>
      <w:r>
        <w:rPr>
          <w:rFonts w:ascii="方正仿宋_GBK" w:eastAsia="方正仿宋_GBK"/>
          <w:color w:val="auto"/>
          <w:sz w:val="28"/>
          <w:szCs w:val="28"/>
          <w:highlight w:val="none"/>
        </w:rPr>
        <w:t>（3）大小写不一致时，若为固定总价或者只有一项单价报价的，以大写为准；若为分项报价并有多个单项的，则以报价清单分项单价为准核实总价；</w:t>
      </w:r>
    </w:p>
    <w:p w14:paraId="3078EC6F">
      <w:pPr>
        <w:tabs>
          <w:tab w:val="left" w:pos="0"/>
        </w:tabs>
        <w:adjustRightInd w:val="0"/>
        <w:spacing w:line="500" w:lineRule="exact"/>
        <w:ind w:firstLine="560" w:firstLineChars="200"/>
        <w:rPr>
          <w:rFonts w:ascii="方正仿宋_GBK" w:eastAsia="方正仿宋_GBK"/>
          <w:color w:val="auto"/>
          <w:sz w:val="28"/>
          <w:szCs w:val="28"/>
          <w:highlight w:val="none"/>
        </w:rPr>
      </w:pPr>
      <w:r>
        <w:rPr>
          <w:rFonts w:ascii="方正仿宋_GBK" w:eastAsia="方正仿宋_GBK"/>
          <w:color w:val="auto"/>
          <w:sz w:val="28"/>
          <w:szCs w:val="28"/>
          <w:highlight w:val="none"/>
        </w:rPr>
        <w:t>（4）竞选人竞选函和报价清单总价不一致的，若为固定总价或者只有一项单价报价的，以竞选函为准；若为分项报价并有多个单项的，以报价清单为准调整竞选函的报价。</w:t>
      </w:r>
    </w:p>
    <w:p w14:paraId="6E19127A">
      <w:pPr>
        <w:tabs>
          <w:tab w:val="left" w:pos="0"/>
        </w:tabs>
        <w:adjustRightInd w:val="0"/>
        <w:spacing w:line="500" w:lineRule="exact"/>
        <w:ind w:firstLine="560" w:firstLineChars="200"/>
        <w:rPr>
          <w:rFonts w:ascii="方正仿宋_GBK" w:eastAsia="方正仿宋_GBK"/>
          <w:color w:val="auto"/>
          <w:sz w:val="28"/>
          <w:szCs w:val="28"/>
          <w:highlight w:val="none"/>
        </w:rPr>
      </w:pPr>
      <w:r>
        <w:rPr>
          <w:rFonts w:ascii="方正仿宋_GBK" w:eastAsia="方正仿宋_GBK"/>
          <w:color w:val="auto"/>
          <w:sz w:val="28"/>
          <w:szCs w:val="28"/>
          <w:highlight w:val="none"/>
        </w:rPr>
        <w:t>以上错误的调整，除非竞选人明确表示不接受，调整后的结果对竞选人有约束力；竞选人明确表示不接受的，该竞选人的竞选文件作废。</w:t>
      </w:r>
    </w:p>
    <w:p w14:paraId="74A84A79">
      <w:pPr>
        <w:tabs>
          <w:tab w:val="left" w:pos="0"/>
        </w:tabs>
        <w:adjustRightInd w:val="0"/>
        <w:spacing w:line="500" w:lineRule="exact"/>
        <w:ind w:firstLine="560" w:firstLineChars="20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4、</w:t>
      </w:r>
      <w:r>
        <w:rPr>
          <w:rFonts w:ascii="方正仿宋_GBK" w:eastAsia="方正仿宋_GBK"/>
          <w:color w:val="auto"/>
          <w:sz w:val="28"/>
          <w:szCs w:val="28"/>
          <w:highlight w:val="none"/>
        </w:rPr>
        <w:t>在比选会议结束后发现报价计算错误、大小写不一致</w:t>
      </w:r>
      <w:r>
        <w:rPr>
          <w:rFonts w:hint="eastAsia" w:ascii="方正仿宋_GBK" w:eastAsia="方正仿宋_GBK"/>
          <w:color w:val="auto"/>
          <w:sz w:val="28"/>
          <w:szCs w:val="28"/>
          <w:highlight w:val="none"/>
        </w:rPr>
        <w:t>等情况的</w:t>
      </w:r>
      <w:r>
        <w:rPr>
          <w:rFonts w:ascii="方正仿宋_GBK" w:eastAsia="方正仿宋_GBK"/>
          <w:color w:val="auto"/>
          <w:sz w:val="28"/>
          <w:szCs w:val="28"/>
          <w:highlight w:val="none"/>
        </w:rPr>
        <w:t>，按照“最不利于竞选人的原则”进行调整。</w:t>
      </w:r>
    </w:p>
    <w:p w14:paraId="446BB92C">
      <w:pPr>
        <w:spacing w:line="520" w:lineRule="exact"/>
        <w:ind w:firstLine="643" w:firstLineChars="200"/>
        <w:jc w:val="left"/>
        <w:rPr>
          <w:rFonts w:ascii="方正仿宋_GBK" w:hAnsi="宋体" w:eastAsia="方正仿宋_GBK"/>
          <w:b/>
          <w:color w:val="auto"/>
          <w:sz w:val="32"/>
          <w:szCs w:val="32"/>
          <w:highlight w:val="none"/>
        </w:rPr>
      </w:pPr>
      <w:r>
        <w:rPr>
          <w:rFonts w:hint="eastAsia" w:ascii="方正仿宋_GBK" w:hAnsi="宋体" w:eastAsia="方正仿宋_GBK"/>
          <w:b/>
          <w:color w:val="auto"/>
          <w:sz w:val="32"/>
          <w:szCs w:val="32"/>
          <w:highlight w:val="none"/>
        </w:rPr>
        <w:t>（十五）</w:t>
      </w:r>
      <w:r>
        <w:rPr>
          <w:rFonts w:ascii="方正仿宋_GBK" w:hAnsi="宋体" w:eastAsia="方正仿宋_GBK"/>
          <w:b/>
          <w:color w:val="auto"/>
          <w:sz w:val="32"/>
          <w:szCs w:val="32"/>
          <w:highlight w:val="none"/>
        </w:rPr>
        <w:t>竞选保证金及履约保证金</w:t>
      </w:r>
    </w:p>
    <w:p w14:paraId="7D8F75FF">
      <w:pPr>
        <w:tabs>
          <w:tab w:val="left" w:pos="0"/>
          <w:tab w:val="left" w:pos="540"/>
        </w:tabs>
        <w:spacing w:line="600" w:lineRule="exact"/>
        <w:ind w:left="4" w:leftChars="2" w:firstLine="562" w:firstLineChars="200"/>
        <w:rPr>
          <w:rFonts w:hint="default" w:ascii="Times New Roman" w:hAnsi="Times New Roman" w:eastAsia="仿宋_GB2312" w:cs="Times New Roman"/>
          <w:b/>
          <w:bCs/>
          <w:color w:val="auto"/>
          <w:sz w:val="28"/>
          <w:szCs w:val="28"/>
          <w:highlight w:val="none"/>
          <w:lang w:eastAsia="zh-CN"/>
        </w:rPr>
      </w:pPr>
      <w:r>
        <w:rPr>
          <w:rFonts w:hint="eastAsia" w:ascii="方正仿宋_GBK" w:eastAsia="方正仿宋_GBK"/>
          <w:b/>
          <w:bCs/>
          <w:color w:val="auto"/>
          <w:sz w:val="28"/>
          <w:szCs w:val="28"/>
          <w:highlight w:val="none"/>
        </w:rPr>
        <w:t>1、</w:t>
      </w:r>
      <w:r>
        <w:rPr>
          <w:rFonts w:hint="default" w:ascii="Times New Roman" w:hAnsi="Times New Roman" w:eastAsia="仿宋_GB2312" w:cs="Times New Roman"/>
          <w:b/>
          <w:bCs/>
          <w:color w:val="auto"/>
          <w:sz w:val="28"/>
          <w:szCs w:val="28"/>
          <w:highlight w:val="none"/>
          <w:lang w:eastAsia="zh-CN"/>
        </w:rPr>
        <w:t>银行转账交纳</w:t>
      </w:r>
    </w:p>
    <w:p w14:paraId="11A17A7F">
      <w:pPr>
        <w:tabs>
          <w:tab w:val="left" w:pos="0"/>
          <w:tab w:val="left" w:pos="540"/>
        </w:tabs>
        <w:spacing w:line="600" w:lineRule="exact"/>
        <w:ind w:left="4" w:leftChars="2" w:firstLine="560" w:firstLineChars="200"/>
        <w:rPr>
          <w:rFonts w:hint="default" w:ascii="Times New Roman" w:hAnsi="Times New Roman" w:eastAsia="仿宋_GB2312" w:cs="Times New Roman"/>
          <w:color w:val="FF0000"/>
          <w:sz w:val="28"/>
          <w:szCs w:val="28"/>
          <w:highlight w:val="none"/>
          <w:lang w:val="en-US"/>
        </w:rPr>
      </w:pPr>
      <w:r>
        <w:rPr>
          <w:rFonts w:hint="default" w:ascii="Times New Roman" w:hAnsi="Times New Roman" w:eastAsia="仿宋_GB2312" w:cs="Times New Roman"/>
          <w:color w:val="auto"/>
          <w:sz w:val="28"/>
          <w:szCs w:val="28"/>
          <w:highlight w:val="none"/>
        </w:rPr>
        <w:t>竞选人应向比选人</w:t>
      </w:r>
      <w:r>
        <w:rPr>
          <w:rFonts w:hint="default" w:ascii="Times New Roman" w:hAnsi="Times New Roman" w:eastAsia="仿宋_GB2312" w:cs="Times New Roman"/>
          <w:color w:val="auto"/>
          <w:sz w:val="28"/>
          <w:szCs w:val="28"/>
          <w:highlight w:val="none"/>
          <w:lang w:eastAsia="zh-CN"/>
        </w:rPr>
        <w:t>交纳</w:t>
      </w:r>
      <w:r>
        <w:rPr>
          <w:rFonts w:hint="default" w:ascii="Times New Roman" w:hAnsi="Times New Roman" w:eastAsia="仿宋_GB2312" w:cs="Times New Roman"/>
          <w:color w:val="auto"/>
          <w:sz w:val="28"/>
          <w:szCs w:val="28"/>
          <w:highlight w:val="none"/>
        </w:rPr>
        <w:t>竞选保证金</w:t>
      </w:r>
      <w:r>
        <w:rPr>
          <w:rFonts w:hint="eastAsia" w:eastAsia="仿宋_GB2312" w:cs="Times New Roman"/>
          <w:color w:val="auto"/>
          <w:sz w:val="28"/>
          <w:szCs w:val="28"/>
          <w:highlight w:val="none"/>
          <w:u w:val="single"/>
          <w:lang w:val="en-US" w:eastAsia="zh-CN"/>
        </w:rPr>
        <w:t xml:space="preserve"> 20000.00</w:t>
      </w:r>
      <w:r>
        <w:rPr>
          <w:rFonts w:hint="eastAsia"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rPr>
        <w:t>元</w:t>
      </w:r>
      <w:r>
        <w:rPr>
          <w:rFonts w:hint="default" w:ascii="Times New Roman" w:hAnsi="Times New Roman" w:eastAsia="仿宋_GB2312" w:cs="Times New Roman"/>
          <w:color w:val="auto"/>
          <w:sz w:val="28"/>
          <w:szCs w:val="28"/>
          <w:highlight w:val="none"/>
          <w:lang w:eastAsia="zh-CN"/>
        </w:rPr>
        <w:t>，报名费</w:t>
      </w:r>
      <w:r>
        <w:rPr>
          <w:rFonts w:hint="eastAsia" w:ascii="Times New Roman" w:hAnsi="Times New Roman" w:eastAsia="仿宋_GB2312" w:cs="Times New Roman"/>
          <w:color w:val="auto"/>
          <w:sz w:val="28"/>
          <w:szCs w:val="28"/>
          <w:highlight w:val="none"/>
          <w:u w:val="single"/>
          <w:lang w:val="en-US" w:eastAsia="zh-CN"/>
        </w:rPr>
        <w:t>2</w:t>
      </w:r>
      <w:r>
        <w:rPr>
          <w:rFonts w:hint="default" w:ascii="Times New Roman" w:hAnsi="Times New Roman" w:eastAsia="仿宋_GB2312" w:cs="Times New Roman"/>
          <w:color w:val="auto"/>
          <w:sz w:val="28"/>
          <w:szCs w:val="28"/>
          <w:highlight w:val="none"/>
          <w:u w:val="single"/>
          <w:lang w:val="en-US" w:eastAsia="zh-CN"/>
        </w:rPr>
        <w:t>00</w:t>
      </w:r>
      <w:r>
        <w:rPr>
          <w:rFonts w:hint="eastAsia" w:ascii="Times New Roman" w:hAnsi="Times New Roman" w:eastAsia="仿宋_GB2312" w:cs="Times New Roman"/>
          <w:color w:val="auto"/>
          <w:sz w:val="28"/>
          <w:szCs w:val="28"/>
          <w:highlight w:val="none"/>
          <w:u w:val="single"/>
          <w:lang w:val="en-US" w:eastAsia="zh-CN"/>
        </w:rPr>
        <w:t>.00</w:t>
      </w:r>
      <w:r>
        <w:rPr>
          <w:rFonts w:hint="default" w:ascii="Times New Roman" w:hAnsi="Times New Roman" w:eastAsia="仿宋_GB2312" w:cs="Times New Roman"/>
          <w:color w:val="auto"/>
          <w:sz w:val="28"/>
          <w:szCs w:val="28"/>
          <w:highlight w:val="none"/>
          <w:lang w:val="en-US" w:eastAsia="zh-CN"/>
        </w:rPr>
        <w:t>元</w:t>
      </w:r>
      <w:r>
        <w:rPr>
          <w:rFonts w:hint="eastAsia" w:ascii="Times New Roman" w:hAnsi="Times New Roman" w:eastAsia="仿宋_GB2312" w:cs="Times New Roman"/>
          <w:color w:val="auto"/>
          <w:sz w:val="28"/>
          <w:szCs w:val="28"/>
          <w:highlight w:val="none"/>
          <w:lang w:val="en-US" w:eastAsia="zh-CN"/>
        </w:rPr>
        <w:t>（报名费不退），合计交纳</w:t>
      </w:r>
      <w:r>
        <w:rPr>
          <w:rFonts w:hint="eastAsia" w:ascii="Times New Roman" w:hAnsi="Times New Roman" w:eastAsia="仿宋_GB2312" w:cs="Times New Roman"/>
          <w:color w:val="auto"/>
          <w:sz w:val="28"/>
          <w:szCs w:val="28"/>
          <w:highlight w:val="none"/>
          <w:u w:val="single"/>
          <w:lang w:val="en-US" w:eastAsia="zh-CN"/>
        </w:rPr>
        <w:t xml:space="preserve"> </w:t>
      </w:r>
      <w:r>
        <w:rPr>
          <w:rFonts w:hint="eastAsia" w:eastAsia="仿宋_GB2312" w:cs="Times New Roman"/>
          <w:color w:val="auto"/>
          <w:sz w:val="28"/>
          <w:szCs w:val="28"/>
          <w:highlight w:val="none"/>
          <w:u w:val="single"/>
          <w:lang w:val="en-US" w:eastAsia="zh-CN"/>
        </w:rPr>
        <w:t>20200.00</w:t>
      </w:r>
      <w:r>
        <w:rPr>
          <w:rFonts w:hint="eastAsia" w:ascii="Times New Roman" w:hAnsi="Times New Roman" w:eastAsia="仿宋_GB2312" w:cs="Times New Roman"/>
          <w:color w:val="auto"/>
          <w:sz w:val="28"/>
          <w:szCs w:val="28"/>
          <w:highlight w:val="none"/>
          <w:u w:val="single"/>
          <w:lang w:val="en-US" w:eastAsia="zh-CN"/>
        </w:rPr>
        <w:t xml:space="preserve"> </w:t>
      </w:r>
      <w:r>
        <w:rPr>
          <w:rFonts w:hint="eastAsia" w:ascii="Times New Roman" w:hAnsi="Times New Roman" w:eastAsia="仿宋_GB2312" w:cs="Times New Roman"/>
          <w:color w:val="auto"/>
          <w:sz w:val="28"/>
          <w:szCs w:val="28"/>
          <w:highlight w:val="none"/>
          <w:lang w:val="en-US" w:eastAsia="zh-CN"/>
        </w:rPr>
        <w:t>元</w:t>
      </w:r>
      <w:r>
        <w:rPr>
          <w:rFonts w:hint="default" w:ascii="Times New Roman" w:hAnsi="Times New Roman" w:eastAsia="仿宋_GB2312" w:cs="Times New Roman"/>
          <w:color w:val="auto"/>
          <w:sz w:val="28"/>
          <w:szCs w:val="28"/>
          <w:highlight w:val="none"/>
        </w:rPr>
        <w:t>。竞选保证金</w:t>
      </w:r>
      <w:r>
        <w:rPr>
          <w:rFonts w:hint="default" w:ascii="Times New Roman" w:hAnsi="Times New Roman" w:eastAsia="仿宋_GB2312" w:cs="Times New Roman"/>
          <w:color w:val="auto"/>
          <w:sz w:val="28"/>
          <w:szCs w:val="28"/>
          <w:highlight w:val="none"/>
          <w:lang w:eastAsia="zh-CN"/>
        </w:rPr>
        <w:t>和报名费</w:t>
      </w:r>
      <w:r>
        <w:rPr>
          <w:rFonts w:hint="default" w:ascii="Times New Roman" w:hAnsi="Times New Roman" w:eastAsia="仿宋_GB2312" w:cs="Times New Roman"/>
          <w:color w:val="auto"/>
          <w:sz w:val="28"/>
          <w:szCs w:val="28"/>
          <w:highlight w:val="none"/>
        </w:rPr>
        <w:t>在</w:t>
      </w:r>
      <w:r>
        <w:rPr>
          <w:rFonts w:hint="default" w:ascii="Times New Roman" w:hAnsi="Times New Roman" w:eastAsia="仿宋_GB2312" w:cs="Times New Roman"/>
          <w:color w:val="auto"/>
          <w:sz w:val="28"/>
          <w:szCs w:val="28"/>
          <w:highlight w:val="none"/>
          <w:lang w:eastAsia="zh-CN"/>
        </w:rPr>
        <w:t>比选文件发布后、竞选文件递交截止时间</w:t>
      </w:r>
      <w:r>
        <w:rPr>
          <w:rFonts w:hint="default" w:ascii="Times New Roman" w:hAnsi="Times New Roman" w:eastAsia="仿宋_GB2312" w:cs="Times New Roman"/>
          <w:color w:val="auto"/>
          <w:sz w:val="28"/>
          <w:szCs w:val="28"/>
          <w:highlight w:val="none"/>
        </w:rPr>
        <w:t>前，竞选人</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u w:val="single"/>
          <w:lang w:eastAsia="zh-CN"/>
        </w:rPr>
        <w:t>通过银行转账交纳</w:t>
      </w:r>
      <w:r>
        <w:rPr>
          <w:rFonts w:hint="default" w:ascii="Times New Roman" w:hAnsi="Times New Roman" w:eastAsia="仿宋_GB2312" w:cs="Times New Roman"/>
          <w:bCs/>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b/>
          <w:bCs/>
          <w:color w:val="FF0000"/>
          <w:sz w:val="28"/>
          <w:szCs w:val="28"/>
          <w:highlight w:val="none"/>
          <w:lang w:eastAsia="zh-CN"/>
        </w:rPr>
        <w:t>报名费连同竞选保证金一并转账交纳。</w:t>
      </w:r>
      <w:r>
        <w:rPr>
          <w:rFonts w:hint="eastAsia" w:ascii="Times New Roman" w:hAnsi="Times New Roman" w:eastAsia="仿宋_GB2312" w:cs="Times New Roman"/>
          <w:b/>
          <w:bCs/>
          <w:color w:val="FF0000"/>
          <w:sz w:val="28"/>
          <w:szCs w:val="28"/>
          <w:highlight w:val="none"/>
          <w:lang w:eastAsia="zh-CN"/>
        </w:rPr>
        <w:t>参加比选</w:t>
      </w:r>
      <w:r>
        <w:rPr>
          <w:rFonts w:hint="eastAsia" w:ascii="Times New Roman" w:hAnsi="Times New Roman" w:eastAsia="仿宋_GB2312" w:cs="Times New Roman"/>
          <w:b/>
          <w:bCs/>
          <w:color w:val="FF0000"/>
          <w:sz w:val="28"/>
          <w:szCs w:val="28"/>
          <w:highlight w:val="none"/>
          <w:lang w:val="en-US" w:eastAsia="zh-CN"/>
        </w:rPr>
        <w:t>会时手持《退还</w:t>
      </w:r>
      <w:r>
        <w:rPr>
          <w:rFonts w:hint="default" w:ascii="Times New Roman" w:hAnsi="Times New Roman" w:eastAsia="仿宋_GB2312" w:cs="Times New Roman"/>
          <w:b/>
          <w:bCs/>
          <w:color w:val="FF0000"/>
          <w:sz w:val="28"/>
          <w:szCs w:val="28"/>
          <w:highlight w:val="none"/>
          <w:lang w:eastAsia="zh-CN"/>
        </w:rPr>
        <w:t>竞选保证金</w:t>
      </w:r>
      <w:r>
        <w:rPr>
          <w:rFonts w:hint="eastAsia" w:ascii="Times New Roman" w:hAnsi="Times New Roman" w:eastAsia="仿宋_GB2312" w:cs="Times New Roman"/>
          <w:b/>
          <w:bCs/>
          <w:color w:val="FF0000"/>
          <w:sz w:val="28"/>
          <w:szCs w:val="28"/>
          <w:highlight w:val="none"/>
          <w:lang w:eastAsia="zh-CN"/>
        </w:rPr>
        <w:t>函》原件一份。</w:t>
      </w:r>
    </w:p>
    <w:p w14:paraId="5853B3C0">
      <w:pPr>
        <w:keepNext w:val="0"/>
        <w:keepLines w:val="0"/>
        <w:pageBreakBefore w:val="0"/>
        <w:widowControl w:val="0"/>
        <w:tabs>
          <w:tab w:val="left" w:pos="0"/>
          <w:tab w:val="left" w:pos="540"/>
        </w:tabs>
        <w:kinsoku/>
        <w:wordWrap/>
        <w:overflowPunct/>
        <w:topLinePunct w:val="0"/>
        <w:autoSpaceDE/>
        <w:autoSpaceDN/>
        <w:bidi w:val="0"/>
        <w:adjustRightInd/>
        <w:snapToGrid/>
        <w:spacing w:line="560" w:lineRule="exact"/>
        <w:ind w:left="4" w:leftChars="2" w:firstLine="562" w:firstLineChars="200"/>
        <w:textAlignment w:val="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交纳账户名：</w:t>
      </w:r>
      <w:r>
        <w:rPr>
          <w:rFonts w:hint="default" w:ascii="Times New Roman" w:hAnsi="Times New Roman" w:eastAsia="仿宋_GB2312" w:cs="Times New Roman"/>
          <w:b/>
          <w:bCs/>
          <w:color w:val="auto"/>
          <w:sz w:val="28"/>
          <w:szCs w:val="28"/>
          <w:highlight w:val="none"/>
          <w:u w:val="single"/>
          <w:lang w:eastAsia="zh-CN"/>
        </w:rPr>
        <w:t>重庆市玉罗实业有限公司</w:t>
      </w:r>
    </w:p>
    <w:p w14:paraId="1F3A5B8B">
      <w:pPr>
        <w:keepNext w:val="0"/>
        <w:keepLines w:val="0"/>
        <w:pageBreakBefore w:val="0"/>
        <w:widowControl w:val="0"/>
        <w:tabs>
          <w:tab w:val="left" w:pos="0"/>
          <w:tab w:val="left" w:pos="540"/>
        </w:tabs>
        <w:kinsoku/>
        <w:wordWrap/>
        <w:overflowPunct/>
        <w:topLinePunct w:val="0"/>
        <w:autoSpaceDE/>
        <w:autoSpaceDN/>
        <w:bidi w:val="0"/>
        <w:adjustRightInd/>
        <w:snapToGrid/>
        <w:spacing w:line="560" w:lineRule="exact"/>
        <w:ind w:left="4" w:leftChars="2" w:firstLine="562" w:firstLineChars="200"/>
        <w:textAlignment w:val="auto"/>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eastAsia="zh-CN"/>
        </w:rPr>
        <w:t>银行卡号：</w:t>
      </w:r>
      <w:r>
        <w:rPr>
          <w:rFonts w:hint="default" w:ascii="Times New Roman" w:hAnsi="Times New Roman" w:eastAsia="仿宋_GB2312" w:cs="Times New Roman"/>
          <w:b/>
          <w:bCs/>
          <w:color w:val="auto"/>
          <w:sz w:val="28"/>
          <w:szCs w:val="28"/>
          <w:highlight w:val="none"/>
          <w:u w:val="single"/>
          <w:lang w:eastAsia="zh-CN"/>
        </w:rPr>
        <w:t>5000130360005021164</w:t>
      </w:r>
      <w:r>
        <w:rPr>
          <w:rFonts w:hint="default" w:ascii="Times New Roman" w:hAnsi="Times New Roman" w:eastAsia="仿宋_GB2312" w:cs="Times New Roman"/>
          <w:b/>
          <w:bCs/>
          <w:color w:val="auto"/>
          <w:sz w:val="28"/>
          <w:szCs w:val="28"/>
          <w:highlight w:val="none"/>
          <w:u w:val="single"/>
          <w:lang w:val="en-US" w:eastAsia="zh-CN"/>
        </w:rPr>
        <w:t>0</w:t>
      </w:r>
    </w:p>
    <w:p w14:paraId="3D4A0C04">
      <w:pPr>
        <w:keepNext w:val="0"/>
        <w:keepLines w:val="0"/>
        <w:pageBreakBefore w:val="0"/>
        <w:widowControl w:val="0"/>
        <w:tabs>
          <w:tab w:val="left" w:pos="0"/>
          <w:tab w:val="left" w:pos="540"/>
        </w:tabs>
        <w:kinsoku/>
        <w:wordWrap/>
        <w:overflowPunct/>
        <w:topLinePunct w:val="0"/>
        <w:autoSpaceDE/>
        <w:autoSpaceDN/>
        <w:bidi w:val="0"/>
        <w:adjustRightInd/>
        <w:snapToGrid/>
        <w:spacing w:line="560" w:lineRule="exact"/>
        <w:ind w:left="4" w:leftChars="2" w:firstLine="562" w:firstLineChars="200"/>
        <w:textAlignment w:val="auto"/>
        <w:rPr>
          <w:rFonts w:hint="default" w:ascii="Times New Roman" w:hAnsi="Times New Roman" w:cs="Times New Roman"/>
          <w:b/>
          <w:bCs/>
          <w:color w:val="auto"/>
          <w:highlight w:val="none"/>
          <w:lang w:eastAsia="zh-CN"/>
        </w:rPr>
      </w:pPr>
      <w:r>
        <w:rPr>
          <w:rFonts w:hint="default" w:ascii="Times New Roman" w:hAnsi="Times New Roman" w:eastAsia="仿宋_GB2312" w:cs="Times New Roman"/>
          <w:b/>
          <w:bCs/>
          <w:color w:val="auto"/>
          <w:sz w:val="28"/>
          <w:szCs w:val="28"/>
          <w:highlight w:val="none"/>
          <w:lang w:eastAsia="zh-CN"/>
        </w:rPr>
        <w:t>开户行：</w:t>
      </w:r>
      <w:r>
        <w:rPr>
          <w:rFonts w:hint="default" w:ascii="Times New Roman" w:hAnsi="Times New Roman" w:eastAsia="仿宋_GB2312" w:cs="Times New Roman"/>
          <w:b/>
          <w:bCs/>
          <w:color w:val="auto"/>
          <w:sz w:val="28"/>
          <w:szCs w:val="28"/>
          <w:highlight w:val="none"/>
          <w:u w:val="single"/>
          <w:lang w:eastAsia="zh-CN"/>
        </w:rPr>
        <w:t>建行万州分行</w:t>
      </w:r>
    </w:p>
    <w:p w14:paraId="28FFC9A1">
      <w:pPr>
        <w:keepNext w:val="0"/>
        <w:keepLines w:val="0"/>
        <w:pageBreakBefore w:val="0"/>
        <w:widowControl w:val="0"/>
        <w:tabs>
          <w:tab w:val="left" w:pos="0"/>
          <w:tab w:val="left" w:pos="540"/>
        </w:tabs>
        <w:kinsoku/>
        <w:wordWrap/>
        <w:overflowPunct/>
        <w:topLinePunct w:val="0"/>
        <w:autoSpaceDE/>
        <w:autoSpaceDN/>
        <w:bidi w:val="0"/>
        <w:adjustRightInd/>
        <w:snapToGrid/>
        <w:spacing w:line="560" w:lineRule="exact"/>
        <w:ind w:left="4" w:leftChars="2" w:firstLine="562"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lang w:eastAsia="zh-CN"/>
        </w:rPr>
        <w:t>竞选保证金交纳可以由自然人或者公司名义交纳，竞选保证金退回仅退还竞选人公司。</w:t>
      </w:r>
    </w:p>
    <w:p w14:paraId="5CBD0610">
      <w:pPr>
        <w:tabs>
          <w:tab w:val="left" w:pos="0"/>
          <w:tab w:val="left" w:pos="540"/>
        </w:tabs>
        <w:ind w:left="4" w:leftChars="2" w:firstLine="562" w:firstLineChars="200"/>
        <w:rPr>
          <w:rFonts w:hint="default" w:ascii="Times New Roman" w:hAnsi="Times New Roman" w:eastAsia="仿宋_GB2312" w:cs="Times New Roman"/>
          <w:color w:val="FF0000"/>
          <w:sz w:val="28"/>
          <w:szCs w:val="28"/>
          <w:highlight w:val="none"/>
        </w:rPr>
      </w:pPr>
      <w:r>
        <w:rPr>
          <w:rFonts w:hint="default" w:ascii="Times New Roman" w:hAnsi="Times New Roman" w:eastAsia="仿宋_GB2312" w:cs="Times New Roman"/>
          <w:b/>
          <w:bCs/>
          <w:color w:val="FF0000"/>
          <w:sz w:val="28"/>
          <w:szCs w:val="28"/>
          <w:highlight w:val="none"/>
          <w:lang w:eastAsia="zh-CN"/>
        </w:rPr>
        <w:t>银行卡转账时须备注：“</w:t>
      </w:r>
      <w:r>
        <w:rPr>
          <w:rFonts w:hint="eastAsia" w:ascii="Times New Roman" w:hAnsi="Times New Roman" w:eastAsia="仿宋_GB2312" w:cs="Times New Roman"/>
          <w:b/>
          <w:bCs/>
          <w:color w:val="FF0000"/>
          <w:sz w:val="28"/>
          <w:szCs w:val="28"/>
          <w:highlight w:val="none"/>
          <w:u w:val="single"/>
          <w:lang w:val="en-US" w:eastAsia="zh-CN"/>
        </w:rPr>
        <w:t>重庆市万州第二高级中学高峰校区学生宿舍建设项目</w:t>
      </w:r>
      <w:r>
        <w:rPr>
          <w:rFonts w:hint="eastAsia" w:ascii="Times New Roman" w:hAnsi="Times New Roman" w:eastAsia="仿宋_GB2312" w:cs="Times New Roman"/>
          <w:b/>
          <w:bCs/>
          <w:color w:val="FF0000"/>
          <w:sz w:val="28"/>
          <w:szCs w:val="28"/>
          <w:highlight w:val="none"/>
          <w:u w:val="single"/>
          <w:lang w:eastAsia="zh-CN"/>
        </w:rPr>
        <w:t>采购</w:t>
      </w:r>
      <w:r>
        <w:rPr>
          <w:rFonts w:hint="eastAsia" w:ascii="Times New Roman" w:hAnsi="Times New Roman" w:eastAsia="仿宋_GB2312" w:cs="Times New Roman"/>
          <w:b/>
          <w:bCs/>
          <w:color w:val="FF0000"/>
          <w:sz w:val="28"/>
          <w:szCs w:val="28"/>
          <w:highlight w:val="none"/>
          <w:u w:val="single"/>
          <w:lang w:val="en-US" w:eastAsia="zh-CN"/>
        </w:rPr>
        <w:t>防火门、木门</w:t>
      </w:r>
      <w:r>
        <w:rPr>
          <w:rFonts w:hint="eastAsia" w:ascii="Times New Roman" w:hAnsi="Times New Roman" w:eastAsia="仿宋_GB2312" w:cs="Times New Roman"/>
          <w:b/>
          <w:bCs/>
          <w:color w:val="FF0000"/>
          <w:sz w:val="28"/>
          <w:szCs w:val="28"/>
          <w:highlight w:val="none"/>
          <w:lang w:val="en-US" w:eastAsia="zh-CN"/>
        </w:rPr>
        <w:t xml:space="preserve"> </w:t>
      </w:r>
      <w:r>
        <w:rPr>
          <w:rFonts w:hint="default" w:ascii="Times New Roman" w:hAnsi="Times New Roman" w:eastAsia="仿宋_GB2312" w:cs="Times New Roman"/>
          <w:b/>
          <w:bCs/>
          <w:color w:val="FF0000"/>
          <w:sz w:val="28"/>
          <w:szCs w:val="28"/>
          <w:highlight w:val="none"/>
          <w:lang w:eastAsia="zh-CN"/>
        </w:rPr>
        <w:t>”</w:t>
      </w:r>
      <w:r>
        <w:rPr>
          <w:rFonts w:hint="eastAsia" w:ascii="Times New Roman" w:hAnsi="Times New Roman" w:eastAsia="仿宋_GB2312" w:cs="Times New Roman"/>
          <w:b/>
          <w:bCs/>
          <w:color w:val="FF0000"/>
          <w:sz w:val="28"/>
          <w:szCs w:val="28"/>
          <w:highlight w:val="none"/>
          <w:lang w:eastAsia="zh-CN"/>
        </w:rPr>
        <w:t>（</w:t>
      </w:r>
      <w:r>
        <w:rPr>
          <w:rFonts w:hint="eastAsia" w:ascii="Times New Roman" w:hAnsi="Times New Roman" w:eastAsia="仿宋_GB2312" w:cs="Times New Roman"/>
          <w:b/>
          <w:bCs/>
          <w:color w:val="FF0000"/>
          <w:sz w:val="28"/>
          <w:szCs w:val="28"/>
          <w:highlight w:val="none"/>
          <w:lang w:val="en-US" w:eastAsia="zh-CN"/>
        </w:rPr>
        <w:t>如自然人转账，须同时备注竞选人公司名称：“</w:t>
      </w:r>
      <w:r>
        <w:rPr>
          <w:rFonts w:hint="eastAsia" w:ascii="Times New Roman" w:hAnsi="Times New Roman" w:eastAsia="仿宋_GB2312" w:cs="Times New Roman"/>
          <w:b/>
          <w:bCs/>
          <w:color w:val="FF0000"/>
          <w:sz w:val="28"/>
          <w:szCs w:val="28"/>
          <w:highlight w:val="none"/>
          <w:u w:val="single"/>
          <w:lang w:val="en-US" w:eastAsia="zh-CN"/>
        </w:rPr>
        <w:t>xx公司重庆市万州第二高级中学高峰校区学生宿舍建设项目</w:t>
      </w:r>
      <w:r>
        <w:rPr>
          <w:rFonts w:hint="eastAsia" w:ascii="Times New Roman" w:hAnsi="Times New Roman" w:eastAsia="仿宋_GB2312" w:cs="Times New Roman"/>
          <w:b/>
          <w:bCs/>
          <w:color w:val="FF0000"/>
          <w:sz w:val="28"/>
          <w:szCs w:val="28"/>
          <w:highlight w:val="none"/>
          <w:u w:val="single"/>
          <w:lang w:eastAsia="zh-CN"/>
        </w:rPr>
        <w:t>采购</w:t>
      </w:r>
      <w:r>
        <w:rPr>
          <w:rFonts w:hint="eastAsia" w:ascii="Times New Roman" w:hAnsi="Times New Roman" w:eastAsia="仿宋_GB2312" w:cs="Times New Roman"/>
          <w:b/>
          <w:bCs/>
          <w:color w:val="FF0000"/>
          <w:sz w:val="28"/>
          <w:szCs w:val="28"/>
          <w:highlight w:val="none"/>
          <w:u w:val="single"/>
          <w:lang w:val="en-US" w:eastAsia="zh-CN"/>
        </w:rPr>
        <w:t>防火门、木门</w:t>
      </w:r>
      <w:r>
        <w:rPr>
          <w:rFonts w:hint="eastAsia" w:ascii="方正仿宋_GBK" w:eastAsia="方正仿宋_GBK"/>
          <w:b/>
          <w:bCs/>
          <w:color w:val="FF0000"/>
          <w:sz w:val="36"/>
          <w:szCs w:val="36"/>
          <w:highlight w:val="none"/>
          <w:u w:val="single"/>
          <w:lang w:val="en-US" w:eastAsia="zh-CN"/>
        </w:rPr>
        <w:t xml:space="preserve"> </w:t>
      </w:r>
      <w:r>
        <w:rPr>
          <w:rFonts w:hint="eastAsia" w:ascii="Times New Roman" w:hAnsi="Times New Roman" w:eastAsia="仿宋_GB2312" w:cs="Times New Roman"/>
          <w:b/>
          <w:bCs/>
          <w:color w:val="FF0000"/>
          <w:sz w:val="28"/>
          <w:szCs w:val="28"/>
          <w:highlight w:val="none"/>
          <w:lang w:val="en-US" w:eastAsia="zh-CN"/>
        </w:rPr>
        <w:t>”</w:t>
      </w:r>
      <w:r>
        <w:rPr>
          <w:rFonts w:hint="eastAsia" w:ascii="Times New Roman" w:hAnsi="Times New Roman" w:eastAsia="仿宋_GB2312" w:cs="Times New Roman"/>
          <w:b/>
          <w:bCs/>
          <w:color w:val="FF0000"/>
          <w:sz w:val="28"/>
          <w:szCs w:val="28"/>
          <w:highlight w:val="none"/>
          <w:lang w:eastAsia="zh-CN"/>
        </w:rPr>
        <w:t>）</w:t>
      </w:r>
      <w:r>
        <w:rPr>
          <w:rFonts w:hint="default" w:ascii="Times New Roman" w:hAnsi="Times New Roman" w:eastAsia="仿宋_GB2312" w:cs="Times New Roman"/>
          <w:b/>
          <w:bCs/>
          <w:color w:val="FF0000"/>
          <w:sz w:val="28"/>
          <w:szCs w:val="28"/>
          <w:highlight w:val="none"/>
          <w:lang w:eastAsia="zh-CN"/>
        </w:rPr>
        <w:t>。竞选人应充分考虑转账到账时间风险，转账截止时间以竞选文件递交截止时间我司查询到账结果为准。转账金额不符、备注不明确或者无备注等不满足竞选文件要求的，均视为无效交纳，比选人有权不予受理竞选文件。</w:t>
      </w:r>
    </w:p>
    <w:p w14:paraId="55C16A63">
      <w:pPr>
        <w:tabs>
          <w:tab w:val="left" w:pos="0"/>
          <w:tab w:val="left" w:pos="540"/>
        </w:tabs>
        <w:spacing w:line="500" w:lineRule="exact"/>
        <w:ind w:left="4" w:leftChars="2" w:firstLine="560" w:firstLineChars="20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2、 竞选人中选，并与比选人签订合同，竞选保证金转为履约保证金。</w:t>
      </w:r>
    </w:p>
    <w:p w14:paraId="583BA498">
      <w:pPr>
        <w:tabs>
          <w:tab w:val="left" w:pos="0"/>
          <w:tab w:val="left" w:pos="540"/>
        </w:tabs>
        <w:spacing w:line="500" w:lineRule="exact"/>
        <w:ind w:firstLine="560" w:firstLineChars="20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3、以下情况，比选人将向竞选人无息退还竞选保证金：</w:t>
      </w:r>
    </w:p>
    <w:p w14:paraId="57E03DFC">
      <w:pPr>
        <w:tabs>
          <w:tab w:val="left" w:pos="0"/>
          <w:tab w:val="left" w:pos="540"/>
        </w:tabs>
        <w:spacing w:line="500" w:lineRule="exact"/>
        <w:ind w:left="4" w:leftChars="2" w:firstLine="560" w:firstLineChars="20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（1）竞选人竞选文件作废或未通过资格审查的；</w:t>
      </w:r>
    </w:p>
    <w:p w14:paraId="6BA05CE9">
      <w:pPr>
        <w:tabs>
          <w:tab w:val="left" w:pos="0"/>
          <w:tab w:val="left" w:pos="540"/>
        </w:tabs>
        <w:spacing w:line="500" w:lineRule="exact"/>
        <w:ind w:left="4" w:leftChars="2" w:firstLine="560" w:firstLineChars="20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（2）竞选人通过资格审查而未中选的；</w:t>
      </w:r>
    </w:p>
    <w:p w14:paraId="1E989BE5">
      <w:pPr>
        <w:tabs>
          <w:tab w:val="left" w:pos="0"/>
          <w:tab w:val="left" w:pos="540"/>
        </w:tabs>
        <w:spacing w:line="500" w:lineRule="exact"/>
        <w:ind w:firstLine="560" w:firstLineChars="20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（3）比选结果公示期内，因排名在前的中选候选人自愿放弃中选资格，比选人以该中选候选人报价向排名在后的其他候选人发盘，其他候选人未接盘的。</w:t>
      </w:r>
    </w:p>
    <w:p w14:paraId="4B0563F3">
      <w:pPr>
        <w:tabs>
          <w:tab w:val="left" w:pos="0"/>
          <w:tab w:val="left" w:pos="540"/>
        </w:tabs>
        <w:spacing w:line="500" w:lineRule="exact"/>
        <w:ind w:firstLine="560" w:firstLineChars="20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在比选结果公示期满后</w:t>
      </w:r>
      <w:r>
        <w:rPr>
          <w:rFonts w:hint="eastAsia" w:ascii="方正仿宋_GBK" w:eastAsia="方正仿宋_GBK"/>
          <w:color w:val="auto"/>
          <w:sz w:val="28"/>
          <w:szCs w:val="28"/>
          <w:highlight w:val="none"/>
          <w:u w:val="single"/>
        </w:rPr>
        <w:t xml:space="preserve"> 2 </w:t>
      </w:r>
      <w:r>
        <w:rPr>
          <w:rFonts w:hint="eastAsia" w:ascii="方正仿宋_GBK" w:eastAsia="方正仿宋_GBK"/>
          <w:color w:val="auto"/>
          <w:sz w:val="28"/>
          <w:szCs w:val="28"/>
          <w:highlight w:val="none"/>
        </w:rPr>
        <w:t>个工作日内，比选人自动向满足以上条件的竞选人无息退还竞选保证金至竞选人竞选文件指定账户。</w:t>
      </w:r>
    </w:p>
    <w:p w14:paraId="59551A4A">
      <w:pPr>
        <w:tabs>
          <w:tab w:val="left" w:pos="0"/>
          <w:tab w:val="left" w:pos="540"/>
        </w:tabs>
        <w:spacing w:line="500" w:lineRule="exact"/>
        <w:ind w:firstLine="560" w:firstLineChars="20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4、 出现以下情况，比选人将不予退还竞选人</w:t>
      </w:r>
      <w:r>
        <w:rPr>
          <w:rFonts w:hint="eastAsia" w:ascii="方正仿宋_GBK" w:eastAsia="方正仿宋_GBK"/>
          <w:color w:val="auto"/>
          <w:sz w:val="28"/>
          <w:szCs w:val="28"/>
          <w:highlight w:val="none"/>
          <w:lang w:eastAsia="zh-CN"/>
        </w:rPr>
        <w:t>交纳</w:t>
      </w:r>
      <w:r>
        <w:rPr>
          <w:rFonts w:hint="eastAsia" w:ascii="方正仿宋_GBK" w:eastAsia="方正仿宋_GBK"/>
          <w:color w:val="auto"/>
          <w:sz w:val="28"/>
          <w:szCs w:val="28"/>
          <w:highlight w:val="none"/>
        </w:rPr>
        <w:t>的竞选保证金：</w:t>
      </w:r>
    </w:p>
    <w:p w14:paraId="2208B372">
      <w:pPr>
        <w:tabs>
          <w:tab w:val="left" w:pos="0"/>
          <w:tab w:val="left" w:pos="540"/>
        </w:tabs>
        <w:spacing w:line="500" w:lineRule="exact"/>
        <w:ind w:firstLine="560" w:firstLineChars="20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（1）中选人自中选之日起，在</w:t>
      </w:r>
      <w:r>
        <w:rPr>
          <w:rFonts w:hint="eastAsia" w:ascii="方正仿宋_GBK" w:eastAsia="方正仿宋_GBK"/>
          <w:color w:val="auto"/>
          <w:sz w:val="28"/>
          <w:szCs w:val="28"/>
          <w:highlight w:val="none"/>
          <w:u w:val="single"/>
        </w:rPr>
        <w:t>5</w:t>
      </w:r>
      <w:r>
        <w:rPr>
          <w:rFonts w:hint="eastAsia" w:ascii="方正仿宋_GBK" w:eastAsia="方正仿宋_GBK"/>
          <w:color w:val="auto"/>
          <w:sz w:val="28"/>
          <w:szCs w:val="28"/>
          <w:highlight w:val="none"/>
        </w:rPr>
        <w:t>个工作日之内不与比选人签订合同，视为中选人放弃中选资格的；</w:t>
      </w:r>
    </w:p>
    <w:p w14:paraId="7D1EFD05">
      <w:pPr>
        <w:tabs>
          <w:tab w:val="left" w:pos="0"/>
          <w:tab w:val="left" w:pos="540"/>
        </w:tabs>
        <w:spacing w:line="500" w:lineRule="exact"/>
        <w:ind w:firstLine="560" w:firstLineChars="20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（2）竞选报价文件开启后，竞选人不是因为竞选文件作废而主动放弃竞选的，或者被评为中选候选人在公示期内无正当理由主动放弃中选或候选资格的。</w:t>
      </w:r>
    </w:p>
    <w:p w14:paraId="4DE325D5">
      <w:pPr>
        <w:tabs>
          <w:tab w:val="left" w:pos="540"/>
        </w:tabs>
        <w:spacing w:line="500" w:lineRule="exact"/>
        <w:ind w:firstLine="560" w:firstLineChars="20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5、履约保证金：</w:t>
      </w:r>
      <w:r>
        <w:rPr>
          <w:rFonts w:hint="eastAsia" w:ascii="方正仿宋_GBK" w:eastAsia="方正仿宋_GBK"/>
          <w:color w:val="auto"/>
          <w:sz w:val="28"/>
          <w:szCs w:val="28"/>
          <w:highlight w:val="none"/>
          <w:u w:val="single"/>
        </w:rPr>
        <w:t xml:space="preserve"> </w:t>
      </w:r>
      <w:r>
        <w:rPr>
          <w:rFonts w:hint="eastAsia" w:ascii="方正仿宋_GBK" w:eastAsia="方正仿宋_GBK"/>
          <w:color w:val="auto"/>
          <w:sz w:val="28"/>
          <w:szCs w:val="28"/>
          <w:highlight w:val="none"/>
          <w:u w:val="single"/>
          <w:lang w:val="en-US" w:eastAsia="zh-CN"/>
        </w:rPr>
        <w:t xml:space="preserve">20000.00 </w:t>
      </w:r>
      <w:r>
        <w:rPr>
          <w:rFonts w:hint="eastAsia" w:ascii="方正仿宋_GBK" w:eastAsia="方正仿宋_GBK"/>
          <w:color w:val="auto"/>
          <w:sz w:val="28"/>
          <w:szCs w:val="28"/>
          <w:highlight w:val="none"/>
          <w:u w:val="single"/>
        </w:rPr>
        <w:t xml:space="preserve"> </w:t>
      </w:r>
      <w:r>
        <w:rPr>
          <w:rFonts w:hint="eastAsia" w:ascii="方正仿宋_GBK" w:eastAsia="方正仿宋_GBK"/>
          <w:color w:val="auto"/>
          <w:sz w:val="28"/>
          <w:szCs w:val="28"/>
          <w:highlight w:val="none"/>
        </w:rPr>
        <w:t>万元，中选人支付的竞选保证金直接转为履约保证金</w:t>
      </w:r>
      <w:r>
        <w:rPr>
          <w:rFonts w:ascii="方正仿宋_GBK" w:eastAsia="方正仿宋_GBK"/>
          <w:color w:val="auto"/>
          <w:sz w:val="28"/>
          <w:szCs w:val="28"/>
          <w:highlight w:val="none"/>
        </w:rPr>
        <w:t>。</w:t>
      </w:r>
      <w:r>
        <w:rPr>
          <w:rFonts w:hint="eastAsia" w:ascii="方正仿宋_GBK" w:eastAsia="方正仿宋_GBK"/>
          <w:color w:val="auto"/>
          <w:sz w:val="28"/>
          <w:szCs w:val="28"/>
          <w:highlight w:val="none"/>
        </w:rPr>
        <w:t>履约保证金在保证工程顺利推进，无质量、安全等问题的情况下，比选人按合同约定无息退付履约保证金给中选人。</w:t>
      </w:r>
    </w:p>
    <w:p w14:paraId="46016007">
      <w:pPr>
        <w:tabs>
          <w:tab w:val="left" w:pos="0"/>
        </w:tabs>
        <w:adjustRightInd w:val="0"/>
        <w:spacing w:line="500" w:lineRule="exact"/>
        <w:ind w:firstLine="562" w:firstLineChars="200"/>
        <w:rPr>
          <w:rFonts w:ascii="方正仿宋_GBK" w:hAnsi="宋体" w:eastAsia="方正仿宋_GBK"/>
          <w:b/>
          <w:color w:val="auto"/>
          <w:sz w:val="28"/>
          <w:szCs w:val="28"/>
          <w:highlight w:val="none"/>
        </w:rPr>
      </w:pPr>
      <w:r>
        <w:rPr>
          <w:rFonts w:hint="eastAsia" w:ascii="方正仿宋_GBK" w:hAnsi="宋体" w:eastAsia="方正仿宋_GBK"/>
          <w:b/>
          <w:color w:val="auto"/>
          <w:sz w:val="28"/>
          <w:szCs w:val="28"/>
          <w:highlight w:val="none"/>
        </w:rPr>
        <w:t>（十六）踏勘及答疑</w:t>
      </w:r>
    </w:p>
    <w:p w14:paraId="01322799">
      <w:pPr>
        <w:tabs>
          <w:tab w:val="left" w:pos="0"/>
          <w:tab w:val="left" w:pos="540"/>
        </w:tabs>
        <w:spacing w:line="500" w:lineRule="exact"/>
        <w:ind w:firstLine="560" w:firstLineChars="200"/>
        <w:rPr>
          <w:rFonts w:hint="eastAsia" w:ascii="方正仿宋_GBK" w:hAnsi="Times New Roman" w:eastAsia="方正仿宋_GBK" w:cs="Times New Roman"/>
          <w:color w:val="auto"/>
          <w:sz w:val="28"/>
          <w:szCs w:val="28"/>
          <w:highlight w:val="none"/>
          <w:lang w:eastAsia="zh-CN"/>
        </w:rPr>
      </w:pPr>
      <w:r>
        <w:rPr>
          <w:rFonts w:hint="eastAsia" w:ascii="方正仿宋_GBK" w:eastAsia="方正仿宋_GBK"/>
          <w:color w:val="auto"/>
          <w:sz w:val="28"/>
          <w:szCs w:val="28"/>
          <w:highlight w:val="none"/>
        </w:rPr>
        <w:t>1、</w:t>
      </w:r>
      <w:r>
        <w:rPr>
          <w:rFonts w:hint="eastAsia" w:ascii="方正仿宋_GBK" w:hAnsi="方正仿宋_GBK" w:eastAsia="方正仿宋_GBK" w:cs="方正仿宋_GBK"/>
          <w:color w:val="auto"/>
          <w:sz w:val="30"/>
          <w:szCs w:val="30"/>
          <w:highlight w:val="none"/>
        </w:rPr>
        <w:t>样品</w:t>
      </w:r>
      <w:r>
        <w:rPr>
          <w:rFonts w:hint="eastAsia" w:ascii="方正仿宋_GBK" w:hAnsi="方正仿宋_GBK" w:eastAsia="方正仿宋_GBK" w:cs="方正仿宋_GBK"/>
          <w:color w:val="auto"/>
          <w:sz w:val="30"/>
          <w:szCs w:val="30"/>
          <w:highlight w:val="none"/>
          <w:lang w:val="en-US" w:eastAsia="zh-CN"/>
        </w:rPr>
        <w:t>门</w:t>
      </w:r>
      <w:r>
        <w:rPr>
          <w:rFonts w:hint="eastAsia" w:ascii="方正仿宋_GBK" w:hAnsi="方正仿宋_GBK" w:eastAsia="方正仿宋_GBK" w:cs="方正仿宋_GBK"/>
          <w:color w:val="auto"/>
          <w:sz w:val="30"/>
          <w:szCs w:val="30"/>
          <w:highlight w:val="none"/>
        </w:rPr>
        <w:t>踏勘：本次比选人不组织样品踏勘，由竞选人自行到</w:t>
      </w:r>
      <w:r>
        <w:rPr>
          <w:rFonts w:hint="eastAsia" w:ascii="方正仿宋_GBK" w:hAnsi="方正仿宋_GBK" w:eastAsia="方正仿宋_GBK" w:cs="方正仿宋_GBK"/>
          <w:color w:val="auto"/>
          <w:sz w:val="30"/>
          <w:szCs w:val="30"/>
          <w:highlight w:val="none"/>
          <w:lang w:val="en-US" w:eastAsia="zh-CN"/>
        </w:rPr>
        <w:t>重庆市万州第二高级中学高峰校区学生宿舍建设项目工地样板间</w:t>
      </w:r>
      <w:r>
        <w:rPr>
          <w:rFonts w:hint="eastAsia" w:ascii="方正仿宋_GBK" w:hAnsi="方正仿宋_GBK" w:eastAsia="方正仿宋_GBK" w:cs="方正仿宋_GBK"/>
          <w:color w:val="auto"/>
          <w:sz w:val="30"/>
          <w:szCs w:val="30"/>
          <w:highlight w:val="none"/>
        </w:rPr>
        <w:t>处踏勘由业主确认的样品</w:t>
      </w:r>
      <w:r>
        <w:rPr>
          <w:rFonts w:hint="eastAsia" w:ascii="方正仿宋_GBK" w:hAnsi="方正仿宋_GBK" w:eastAsia="方正仿宋_GBK" w:cs="方正仿宋_GBK"/>
          <w:color w:val="auto"/>
          <w:sz w:val="30"/>
          <w:szCs w:val="30"/>
          <w:highlight w:val="none"/>
          <w:lang w:eastAsia="zh-CN"/>
        </w:rPr>
        <w:t>颜色、</w:t>
      </w:r>
      <w:r>
        <w:rPr>
          <w:rFonts w:hint="eastAsia" w:ascii="方正仿宋_GBK" w:hAnsi="方正仿宋_GBK" w:eastAsia="方正仿宋_GBK" w:cs="方正仿宋_GBK"/>
          <w:color w:val="auto"/>
          <w:sz w:val="30"/>
          <w:szCs w:val="30"/>
          <w:highlight w:val="none"/>
          <w:lang w:val="en-US" w:eastAsia="zh-CN"/>
        </w:rPr>
        <w:t>款式等</w:t>
      </w:r>
      <w:r>
        <w:rPr>
          <w:rFonts w:hint="eastAsia" w:ascii="方正仿宋_GBK" w:hAnsi="方正仿宋_GBK" w:eastAsia="方正仿宋_GBK" w:cs="方正仿宋_GBK"/>
          <w:color w:val="auto"/>
          <w:sz w:val="30"/>
          <w:szCs w:val="30"/>
          <w:highlight w:val="none"/>
          <w:lang w:eastAsia="zh-CN"/>
        </w:rPr>
        <w:t>。</w:t>
      </w:r>
      <w:r>
        <w:rPr>
          <w:rFonts w:hint="eastAsia" w:ascii="方正仿宋_GBK" w:eastAsia="方正仿宋_GBK"/>
          <w:color w:val="auto"/>
          <w:sz w:val="28"/>
          <w:szCs w:val="28"/>
          <w:highlight w:val="none"/>
        </w:rPr>
        <w:t>现场联系人：</w:t>
      </w:r>
      <w:r>
        <w:rPr>
          <w:rFonts w:hint="eastAsia" w:ascii="方正仿宋_GBK" w:eastAsia="方正仿宋_GBK"/>
          <w:color w:val="auto"/>
          <w:sz w:val="28"/>
          <w:szCs w:val="28"/>
          <w:highlight w:val="none"/>
          <w:lang w:val="en-US" w:eastAsia="zh-CN"/>
        </w:rPr>
        <w:t>牟军15084469111</w:t>
      </w:r>
      <w:r>
        <w:rPr>
          <w:rFonts w:hint="eastAsia" w:ascii="方正仿宋_GBK" w:hAnsi="Times New Roman" w:eastAsia="方正仿宋_GBK" w:cs="Times New Roman"/>
          <w:color w:val="auto"/>
          <w:sz w:val="30"/>
          <w:szCs w:val="30"/>
          <w:highlight w:val="none"/>
          <w:lang w:eastAsia="zh-CN"/>
        </w:rPr>
        <w:t>。</w:t>
      </w:r>
    </w:p>
    <w:p w14:paraId="6AB2DE33">
      <w:pPr>
        <w:tabs>
          <w:tab w:val="left" w:pos="0"/>
          <w:tab w:val="left" w:pos="540"/>
        </w:tabs>
        <w:spacing w:line="500" w:lineRule="exact"/>
        <w:ind w:firstLine="560" w:firstLineChars="200"/>
        <w:rPr>
          <w:rFonts w:hint="eastAsia" w:ascii="方正仿宋_GBK" w:eastAsia="方正仿宋_GBK"/>
          <w:color w:val="auto"/>
          <w:sz w:val="28"/>
          <w:szCs w:val="28"/>
          <w:highlight w:val="none"/>
        </w:rPr>
      </w:pPr>
      <w:r>
        <w:rPr>
          <w:rFonts w:hint="eastAsia" w:ascii="方正仿宋_GBK" w:eastAsia="方正仿宋_GBK"/>
          <w:color w:val="auto"/>
          <w:sz w:val="28"/>
          <w:szCs w:val="28"/>
          <w:highlight w:val="none"/>
        </w:rPr>
        <w:t>2、施工现场踏勘：本次比选人不组织施工现场踏勘，由竞选人自行到工程所在地〔万州区高峰，施工现场联系人：</w:t>
      </w:r>
      <w:r>
        <w:rPr>
          <w:rFonts w:hint="eastAsia" w:ascii="方正仿宋_GBK" w:eastAsia="方正仿宋_GBK"/>
          <w:color w:val="auto"/>
          <w:sz w:val="28"/>
          <w:szCs w:val="28"/>
          <w:highlight w:val="none"/>
          <w:lang w:val="en-US" w:eastAsia="zh-CN"/>
        </w:rPr>
        <w:t>牟军15084469111</w:t>
      </w:r>
      <w:r>
        <w:rPr>
          <w:rFonts w:hint="eastAsia" w:ascii="方正仿宋_GBK" w:eastAsia="方正仿宋_GBK"/>
          <w:color w:val="auto"/>
          <w:sz w:val="28"/>
          <w:szCs w:val="28"/>
          <w:highlight w:val="none"/>
        </w:rPr>
        <w:t>〕踏勘运距、施工现场运输情况等。</w:t>
      </w:r>
    </w:p>
    <w:p w14:paraId="07EF8C24">
      <w:pPr>
        <w:tabs>
          <w:tab w:val="left" w:pos="0"/>
          <w:tab w:val="left" w:pos="540"/>
        </w:tabs>
        <w:spacing w:line="500" w:lineRule="exact"/>
        <w:ind w:firstLine="560" w:firstLineChars="200"/>
        <w:rPr>
          <w:rFonts w:hint="eastAsia" w:ascii="方正仿宋_GBK" w:eastAsia="方正仿宋_GBK"/>
          <w:color w:val="auto"/>
          <w:sz w:val="28"/>
          <w:szCs w:val="28"/>
          <w:highlight w:val="none"/>
        </w:rPr>
      </w:pPr>
      <w:r>
        <w:rPr>
          <w:rFonts w:hint="eastAsia" w:ascii="方正仿宋_GBK" w:eastAsia="方正仿宋_GBK"/>
          <w:color w:val="auto"/>
          <w:sz w:val="28"/>
          <w:szCs w:val="28"/>
          <w:highlight w:val="none"/>
        </w:rPr>
        <w:t>3、无论竞选人是否进行踏勘施工现场、样品，均视为竞选人对工程现场条件已有充分、全面</w:t>
      </w:r>
      <w:r>
        <w:rPr>
          <w:rFonts w:hint="eastAsia" w:ascii="方正仿宋_GBK" w:eastAsia="方正仿宋_GBK"/>
          <w:color w:val="auto"/>
          <w:sz w:val="28"/>
          <w:szCs w:val="28"/>
          <w:highlight w:val="none"/>
          <w:lang w:eastAsia="zh-CN"/>
        </w:rPr>
        <w:t>地</w:t>
      </w:r>
      <w:r>
        <w:rPr>
          <w:rFonts w:hint="eastAsia" w:ascii="方正仿宋_GBK" w:eastAsia="方正仿宋_GBK"/>
          <w:color w:val="auto"/>
          <w:sz w:val="28"/>
          <w:szCs w:val="28"/>
          <w:highlight w:val="none"/>
        </w:rPr>
        <w:t>理解。竞选人应将不利因素的保护措施和协调解决措施纳入施工方案，所有消除不利因素的相关费用应含于报价中。</w:t>
      </w:r>
    </w:p>
    <w:p w14:paraId="7828408F">
      <w:pPr>
        <w:tabs>
          <w:tab w:val="left" w:pos="0"/>
          <w:tab w:val="left" w:pos="540"/>
        </w:tabs>
        <w:spacing w:line="500" w:lineRule="exact"/>
        <w:ind w:firstLine="560" w:firstLineChars="200"/>
        <w:rPr>
          <w:rFonts w:hint="eastAsia" w:ascii="方正仿宋_GBK" w:eastAsia="方正仿宋_GBK"/>
          <w:color w:val="auto"/>
          <w:sz w:val="28"/>
          <w:szCs w:val="28"/>
          <w:highlight w:val="none"/>
        </w:rPr>
      </w:pPr>
      <w:r>
        <w:rPr>
          <w:rFonts w:hint="eastAsia" w:ascii="方正仿宋_GBK" w:eastAsia="方正仿宋_GBK"/>
          <w:color w:val="auto"/>
          <w:sz w:val="28"/>
          <w:szCs w:val="28"/>
          <w:highlight w:val="none"/>
        </w:rPr>
        <w:t>4、竞选人对比选文件有疑问，应在</w:t>
      </w:r>
      <w:r>
        <w:rPr>
          <w:rFonts w:hint="eastAsia" w:ascii="方正仿宋_GBK" w:eastAsia="方正仿宋_GBK"/>
          <w:color w:val="auto"/>
          <w:sz w:val="28"/>
          <w:szCs w:val="28"/>
          <w:highlight w:val="none"/>
          <w:u w:val="single"/>
          <w:lang w:eastAsia="zh-CN"/>
        </w:rPr>
        <w:t>202</w:t>
      </w:r>
      <w:r>
        <w:rPr>
          <w:rFonts w:hint="eastAsia" w:ascii="方正仿宋_GBK" w:eastAsia="方正仿宋_GBK"/>
          <w:color w:val="auto"/>
          <w:sz w:val="28"/>
          <w:szCs w:val="28"/>
          <w:highlight w:val="none"/>
          <w:u w:val="single"/>
          <w:lang w:val="en-US" w:eastAsia="zh-CN"/>
        </w:rPr>
        <w:t>5</w:t>
      </w:r>
      <w:r>
        <w:rPr>
          <w:rFonts w:hint="eastAsia" w:ascii="方正仿宋_GBK" w:eastAsia="方正仿宋_GBK"/>
          <w:color w:val="auto"/>
          <w:sz w:val="28"/>
          <w:szCs w:val="28"/>
          <w:highlight w:val="none"/>
          <w:u w:val="single"/>
        </w:rPr>
        <w:t>年</w:t>
      </w:r>
      <w:r>
        <w:rPr>
          <w:rFonts w:hint="eastAsia" w:ascii="方正仿宋_GBK" w:eastAsia="方正仿宋_GBK"/>
          <w:color w:val="auto"/>
          <w:sz w:val="28"/>
          <w:szCs w:val="28"/>
          <w:highlight w:val="none"/>
          <w:u w:val="single"/>
          <w:lang w:val="en-US" w:eastAsia="zh-CN"/>
        </w:rPr>
        <w:t xml:space="preserve"> 9月18</w:t>
      </w:r>
      <w:r>
        <w:rPr>
          <w:rFonts w:hint="eastAsia" w:ascii="方正仿宋_GBK" w:eastAsia="方正仿宋_GBK"/>
          <w:color w:val="auto"/>
          <w:sz w:val="28"/>
          <w:szCs w:val="28"/>
          <w:highlight w:val="none"/>
          <w:u w:val="single"/>
        </w:rPr>
        <w:t>日</w:t>
      </w:r>
      <w:r>
        <w:rPr>
          <w:rFonts w:hint="eastAsia" w:ascii="方正仿宋_GBK" w:eastAsia="方正仿宋_GBK"/>
          <w:color w:val="auto"/>
          <w:sz w:val="28"/>
          <w:szCs w:val="28"/>
          <w:highlight w:val="none"/>
          <w:u w:val="single"/>
          <w:lang w:val="en-US" w:eastAsia="zh-CN"/>
        </w:rPr>
        <w:t>12:00</w:t>
      </w:r>
      <w:r>
        <w:rPr>
          <w:rFonts w:hint="eastAsia" w:ascii="方正仿宋_GBK" w:eastAsia="方正仿宋_GBK"/>
          <w:color w:val="auto"/>
          <w:sz w:val="28"/>
          <w:szCs w:val="28"/>
          <w:highlight w:val="none"/>
        </w:rPr>
        <w:t>前以书面形式（信函、传真、电子邮件）要求比选人答疑，信函邮寄地址、传真、电子邮件见本章“联系方式”条款。比选人于</w:t>
      </w:r>
      <w:r>
        <w:rPr>
          <w:rFonts w:hint="eastAsia" w:ascii="方正仿宋_GBK" w:eastAsia="方正仿宋_GBK"/>
          <w:color w:val="auto"/>
          <w:sz w:val="28"/>
          <w:szCs w:val="28"/>
          <w:highlight w:val="none"/>
          <w:u w:val="single"/>
          <w:lang w:eastAsia="zh-CN"/>
        </w:rPr>
        <w:t>202</w:t>
      </w:r>
      <w:r>
        <w:rPr>
          <w:rFonts w:hint="eastAsia" w:ascii="方正仿宋_GBK" w:eastAsia="方正仿宋_GBK"/>
          <w:color w:val="auto"/>
          <w:sz w:val="28"/>
          <w:szCs w:val="28"/>
          <w:highlight w:val="none"/>
          <w:u w:val="single"/>
          <w:lang w:val="en-US" w:eastAsia="zh-CN"/>
        </w:rPr>
        <w:t>5</w:t>
      </w:r>
      <w:r>
        <w:rPr>
          <w:rFonts w:hint="eastAsia" w:ascii="方正仿宋_GBK" w:eastAsia="方正仿宋_GBK"/>
          <w:color w:val="auto"/>
          <w:sz w:val="28"/>
          <w:szCs w:val="28"/>
          <w:highlight w:val="none"/>
          <w:u w:val="single"/>
        </w:rPr>
        <w:t>年</w:t>
      </w:r>
      <w:r>
        <w:rPr>
          <w:rFonts w:hint="eastAsia" w:ascii="方正仿宋_GBK" w:eastAsia="方正仿宋_GBK"/>
          <w:color w:val="auto"/>
          <w:sz w:val="28"/>
          <w:szCs w:val="28"/>
          <w:highlight w:val="none"/>
          <w:u w:val="single"/>
          <w:lang w:val="en-US" w:eastAsia="zh-CN"/>
        </w:rPr>
        <w:t>9月18</w:t>
      </w:r>
      <w:r>
        <w:rPr>
          <w:rFonts w:hint="eastAsia" w:ascii="方正仿宋_GBK" w:eastAsia="方正仿宋_GBK"/>
          <w:color w:val="auto"/>
          <w:sz w:val="28"/>
          <w:szCs w:val="28"/>
          <w:highlight w:val="none"/>
          <w:u w:val="single"/>
        </w:rPr>
        <w:t>日</w:t>
      </w:r>
      <w:r>
        <w:rPr>
          <w:rFonts w:hint="eastAsia" w:ascii="方正仿宋_GBK" w:eastAsia="方正仿宋_GBK"/>
          <w:color w:val="auto"/>
          <w:sz w:val="28"/>
          <w:szCs w:val="28"/>
          <w:highlight w:val="none"/>
          <w:u w:val="single"/>
          <w:lang w:val="en-US" w:eastAsia="zh-CN"/>
        </w:rPr>
        <w:t>18:00</w:t>
      </w:r>
      <w:r>
        <w:rPr>
          <w:rFonts w:hint="eastAsia" w:ascii="方正仿宋_GBK" w:eastAsia="方正仿宋_GBK"/>
          <w:color w:val="auto"/>
          <w:sz w:val="28"/>
          <w:szCs w:val="28"/>
          <w:highlight w:val="none"/>
        </w:rPr>
        <w:t>前将答疑发布到</w:t>
      </w:r>
      <w:r>
        <w:rPr>
          <w:rFonts w:hint="eastAsia" w:ascii="方正仿宋_GBK" w:eastAsia="方正仿宋_GBK"/>
          <w:color w:val="auto"/>
          <w:sz w:val="28"/>
          <w:szCs w:val="28"/>
          <w:highlight w:val="none"/>
          <w:lang w:val="zh-CN"/>
        </w:rPr>
        <w:t>万州区人民政府官网</w:t>
      </w:r>
      <w:r>
        <w:rPr>
          <w:rFonts w:hint="eastAsia" w:ascii="方正仿宋_GBK" w:eastAsia="方正仿宋_GBK"/>
          <w:color w:val="auto"/>
          <w:sz w:val="28"/>
          <w:szCs w:val="28"/>
          <w:highlight w:val="none"/>
        </w:rPr>
        <w:t>及重庆市玉罗实业有限公司网站，由竞选人自行下载。无论竞选人是否下载，均视为竞选人已知晓答疑内容，并全面了解和接受比选文件内容。</w:t>
      </w:r>
    </w:p>
    <w:p w14:paraId="7A4DBE9A">
      <w:pPr>
        <w:snapToGrid w:val="0"/>
        <w:spacing w:line="500" w:lineRule="exact"/>
        <w:ind w:firstLine="562" w:firstLineChars="200"/>
        <w:rPr>
          <w:rFonts w:ascii="方正仿宋_GBK" w:hAnsi="宋体" w:eastAsia="方正仿宋_GBK"/>
          <w:b/>
          <w:color w:val="auto"/>
          <w:sz w:val="28"/>
          <w:szCs w:val="28"/>
          <w:highlight w:val="none"/>
        </w:rPr>
      </w:pPr>
      <w:r>
        <w:rPr>
          <w:rFonts w:hint="eastAsia" w:ascii="方正仿宋_GBK" w:hAnsi="宋体" w:eastAsia="方正仿宋_GBK"/>
          <w:b/>
          <w:color w:val="auto"/>
          <w:sz w:val="28"/>
          <w:szCs w:val="28"/>
          <w:highlight w:val="none"/>
        </w:rPr>
        <w:t>（十七）比选时间、地点、文件递交时间、文件封装</w:t>
      </w:r>
    </w:p>
    <w:p w14:paraId="2C80C182">
      <w:pPr>
        <w:spacing w:line="500" w:lineRule="exact"/>
        <w:ind w:firstLine="560" w:firstLineChars="200"/>
        <w:jc w:val="left"/>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1、比选公告发布时间：</w:t>
      </w:r>
      <w:r>
        <w:rPr>
          <w:rFonts w:hint="eastAsia" w:ascii="方正仿宋_GBK" w:hAnsi="宋体" w:eastAsia="方正仿宋_GBK"/>
          <w:color w:val="auto"/>
          <w:sz w:val="28"/>
          <w:szCs w:val="28"/>
          <w:highlight w:val="none"/>
          <w:u w:val="single"/>
          <w:lang w:eastAsia="zh-CN"/>
        </w:rPr>
        <w:t>202</w:t>
      </w:r>
      <w:r>
        <w:rPr>
          <w:rFonts w:hint="eastAsia" w:ascii="方正仿宋_GBK" w:hAnsi="宋体" w:eastAsia="方正仿宋_GBK"/>
          <w:color w:val="auto"/>
          <w:sz w:val="28"/>
          <w:szCs w:val="28"/>
          <w:highlight w:val="none"/>
          <w:u w:val="single"/>
          <w:lang w:val="en-US" w:eastAsia="zh-CN"/>
        </w:rPr>
        <w:t>5</w:t>
      </w:r>
      <w:r>
        <w:rPr>
          <w:rFonts w:hint="eastAsia" w:ascii="方正仿宋_GBK" w:hAnsi="宋体" w:eastAsia="方正仿宋_GBK"/>
          <w:color w:val="auto"/>
          <w:sz w:val="28"/>
          <w:szCs w:val="28"/>
          <w:highlight w:val="none"/>
          <w:u w:val="single"/>
        </w:rPr>
        <w:t>年</w:t>
      </w:r>
      <w:r>
        <w:rPr>
          <w:rFonts w:hint="eastAsia" w:ascii="方正仿宋_GBK" w:eastAsia="方正仿宋_GBK"/>
          <w:color w:val="auto"/>
          <w:sz w:val="28"/>
          <w:szCs w:val="28"/>
          <w:highlight w:val="none"/>
          <w:u w:val="single"/>
          <w:lang w:val="en-US" w:eastAsia="zh-CN"/>
        </w:rPr>
        <w:t xml:space="preserve"> 9月16</w:t>
      </w:r>
      <w:r>
        <w:rPr>
          <w:rFonts w:hint="eastAsia" w:ascii="方正仿宋_GBK" w:eastAsia="方正仿宋_GBK"/>
          <w:color w:val="auto"/>
          <w:sz w:val="28"/>
          <w:szCs w:val="28"/>
          <w:highlight w:val="none"/>
          <w:u w:val="single"/>
        </w:rPr>
        <w:t>日</w:t>
      </w:r>
      <w:r>
        <w:rPr>
          <w:rFonts w:hint="eastAsia" w:ascii="方正仿宋_GBK" w:hAnsi="宋体" w:eastAsia="方正仿宋_GBK"/>
          <w:color w:val="auto"/>
          <w:sz w:val="28"/>
          <w:szCs w:val="28"/>
          <w:highlight w:val="none"/>
          <w:u w:val="single"/>
        </w:rPr>
        <w:t xml:space="preserve">—— </w:t>
      </w:r>
      <w:r>
        <w:rPr>
          <w:rFonts w:hint="eastAsia" w:ascii="方正仿宋_GBK" w:hAnsi="宋体" w:eastAsia="方正仿宋_GBK"/>
          <w:color w:val="auto"/>
          <w:sz w:val="28"/>
          <w:szCs w:val="28"/>
          <w:highlight w:val="none"/>
          <w:u w:val="single"/>
          <w:lang w:val="en-US" w:eastAsia="zh-CN"/>
        </w:rPr>
        <w:t>9月</w:t>
      </w:r>
      <w:r>
        <w:rPr>
          <w:rFonts w:hint="eastAsia" w:ascii="方正仿宋_GBK" w:eastAsia="方正仿宋_GBK"/>
          <w:color w:val="auto"/>
          <w:sz w:val="28"/>
          <w:szCs w:val="28"/>
          <w:highlight w:val="none"/>
          <w:u w:val="single"/>
          <w:lang w:val="en-US" w:eastAsia="zh-CN"/>
        </w:rPr>
        <w:t>19</w:t>
      </w:r>
      <w:r>
        <w:rPr>
          <w:rFonts w:hint="eastAsia" w:ascii="方正仿宋_GBK" w:eastAsia="方正仿宋_GBK"/>
          <w:color w:val="auto"/>
          <w:sz w:val="28"/>
          <w:szCs w:val="28"/>
          <w:highlight w:val="none"/>
          <w:u w:val="single"/>
        </w:rPr>
        <w:t>日</w:t>
      </w:r>
      <w:r>
        <w:rPr>
          <w:rFonts w:hint="eastAsia" w:ascii="方正仿宋_GBK" w:eastAsia="方正仿宋_GBK"/>
          <w:color w:val="auto"/>
          <w:sz w:val="28"/>
          <w:szCs w:val="28"/>
          <w:highlight w:val="none"/>
          <w:u w:val="single"/>
          <w:lang w:val="en-US" w:eastAsia="zh-CN"/>
        </w:rPr>
        <w:t>15:00</w:t>
      </w:r>
      <w:r>
        <w:rPr>
          <w:rFonts w:hint="eastAsia" w:ascii="方正仿宋_GBK" w:hAnsi="宋体" w:eastAsia="方正仿宋_GBK"/>
          <w:color w:val="auto"/>
          <w:sz w:val="28"/>
          <w:szCs w:val="28"/>
          <w:highlight w:val="none"/>
          <w:u w:val="single"/>
        </w:rPr>
        <w:t>止</w:t>
      </w:r>
      <w:r>
        <w:rPr>
          <w:rFonts w:hint="eastAsia" w:ascii="方正仿宋_GBK" w:hAnsi="宋体" w:eastAsia="方正仿宋_GBK"/>
          <w:color w:val="auto"/>
          <w:sz w:val="28"/>
          <w:szCs w:val="28"/>
          <w:highlight w:val="none"/>
        </w:rPr>
        <w:t>。</w:t>
      </w:r>
    </w:p>
    <w:p w14:paraId="6FA6CE54">
      <w:pPr>
        <w:spacing w:line="500" w:lineRule="exact"/>
        <w:ind w:firstLine="560" w:firstLineChars="200"/>
        <w:jc w:val="left"/>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2、比选会时间：</w:t>
      </w:r>
      <w:r>
        <w:rPr>
          <w:rFonts w:hint="eastAsia" w:ascii="方正仿宋_GBK" w:hAnsi="宋体" w:eastAsia="方正仿宋_GBK"/>
          <w:color w:val="auto"/>
          <w:sz w:val="28"/>
          <w:szCs w:val="28"/>
          <w:highlight w:val="none"/>
          <w:u w:val="single"/>
          <w:lang w:eastAsia="zh-CN"/>
        </w:rPr>
        <w:t>202</w:t>
      </w:r>
      <w:r>
        <w:rPr>
          <w:rFonts w:hint="eastAsia" w:ascii="方正仿宋_GBK" w:hAnsi="宋体" w:eastAsia="方正仿宋_GBK"/>
          <w:color w:val="auto"/>
          <w:sz w:val="28"/>
          <w:szCs w:val="28"/>
          <w:highlight w:val="none"/>
          <w:u w:val="single"/>
          <w:lang w:val="en-US" w:eastAsia="zh-CN"/>
        </w:rPr>
        <w:t>5</w:t>
      </w:r>
      <w:r>
        <w:rPr>
          <w:rFonts w:hint="eastAsia" w:ascii="方正仿宋_GBK" w:hAnsi="宋体" w:eastAsia="方正仿宋_GBK"/>
          <w:color w:val="auto"/>
          <w:sz w:val="28"/>
          <w:szCs w:val="28"/>
          <w:highlight w:val="none"/>
          <w:u w:val="single"/>
        </w:rPr>
        <w:t>年</w:t>
      </w:r>
      <w:r>
        <w:rPr>
          <w:rFonts w:hint="eastAsia" w:ascii="方正仿宋_GBK" w:hAnsi="宋体" w:eastAsia="方正仿宋_GBK"/>
          <w:color w:val="auto"/>
          <w:sz w:val="28"/>
          <w:szCs w:val="28"/>
          <w:highlight w:val="none"/>
          <w:u w:val="single"/>
          <w:lang w:val="en-US" w:eastAsia="zh-CN"/>
        </w:rPr>
        <w:t>9月</w:t>
      </w:r>
      <w:r>
        <w:rPr>
          <w:rFonts w:hint="eastAsia" w:ascii="方正仿宋_GBK" w:eastAsia="方正仿宋_GBK"/>
          <w:color w:val="auto"/>
          <w:sz w:val="28"/>
          <w:szCs w:val="28"/>
          <w:highlight w:val="none"/>
          <w:u w:val="single"/>
          <w:lang w:val="en-US" w:eastAsia="zh-CN"/>
        </w:rPr>
        <w:t>19</w:t>
      </w:r>
      <w:r>
        <w:rPr>
          <w:rFonts w:hint="eastAsia" w:ascii="方正仿宋_GBK" w:eastAsia="方正仿宋_GBK"/>
          <w:color w:val="auto"/>
          <w:sz w:val="28"/>
          <w:szCs w:val="28"/>
          <w:highlight w:val="none"/>
          <w:u w:val="single"/>
        </w:rPr>
        <w:t>日</w:t>
      </w:r>
      <w:r>
        <w:rPr>
          <w:rFonts w:hint="eastAsia" w:ascii="方正仿宋_GBK" w:eastAsia="方正仿宋_GBK"/>
          <w:color w:val="auto"/>
          <w:sz w:val="28"/>
          <w:szCs w:val="28"/>
          <w:highlight w:val="none"/>
          <w:u w:val="single"/>
          <w:lang w:val="en-US" w:eastAsia="zh-CN"/>
        </w:rPr>
        <w:t>15:00</w:t>
      </w:r>
      <w:r>
        <w:rPr>
          <w:rFonts w:hint="eastAsia" w:ascii="方正仿宋_GBK" w:hAnsi="宋体" w:eastAsia="方正仿宋_GBK"/>
          <w:color w:val="auto"/>
          <w:sz w:val="28"/>
          <w:szCs w:val="28"/>
          <w:highlight w:val="none"/>
          <w:u w:val="single"/>
        </w:rPr>
        <w:t>时</w:t>
      </w:r>
      <w:r>
        <w:rPr>
          <w:rFonts w:hint="eastAsia" w:ascii="方正仿宋_GBK" w:hAnsi="宋体" w:eastAsia="方正仿宋_GBK"/>
          <w:color w:val="auto"/>
          <w:sz w:val="28"/>
          <w:szCs w:val="28"/>
          <w:highlight w:val="none"/>
        </w:rPr>
        <w:t>。</w:t>
      </w:r>
    </w:p>
    <w:p w14:paraId="13478B81">
      <w:pPr>
        <w:spacing w:line="500" w:lineRule="exact"/>
        <w:ind w:firstLine="560" w:firstLineChars="200"/>
        <w:jc w:val="left"/>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3、比选会地点：重庆市万州区经开大道5号（万州经开区）4楼玉罗公司开标室。</w:t>
      </w:r>
    </w:p>
    <w:p w14:paraId="4C42429C">
      <w:pPr>
        <w:spacing w:line="500" w:lineRule="exact"/>
        <w:ind w:firstLine="560" w:firstLineChars="200"/>
        <w:jc w:val="left"/>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4、比选文件递交时间：</w:t>
      </w:r>
      <w:r>
        <w:rPr>
          <w:rFonts w:hint="eastAsia" w:ascii="方正仿宋_GBK" w:hAnsi="宋体" w:eastAsia="方正仿宋_GBK"/>
          <w:color w:val="auto"/>
          <w:sz w:val="28"/>
          <w:szCs w:val="28"/>
          <w:highlight w:val="none"/>
          <w:u w:val="single"/>
          <w:lang w:eastAsia="zh-CN"/>
        </w:rPr>
        <w:t>202</w:t>
      </w:r>
      <w:r>
        <w:rPr>
          <w:rFonts w:hint="eastAsia" w:ascii="方正仿宋_GBK" w:hAnsi="宋体" w:eastAsia="方正仿宋_GBK"/>
          <w:color w:val="auto"/>
          <w:sz w:val="28"/>
          <w:szCs w:val="28"/>
          <w:highlight w:val="none"/>
          <w:u w:val="single"/>
          <w:lang w:val="en-US" w:eastAsia="zh-CN"/>
        </w:rPr>
        <w:t>5</w:t>
      </w:r>
      <w:r>
        <w:rPr>
          <w:rFonts w:hint="eastAsia" w:ascii="方正仿宋_GBK" w:hAnsi="宋体" w:eastAsia="方正仿宋_GBK"/>
          <w:color w:val="auto"/>
          <w:sz w:val="28"/>
          <w:szCs w:val="28"/>
          <w:highlight w:val="none"/>
          <w:u w:val="single"/>
        </w:rPr>
        <w:t>年</w:t>
      </w:r>
      <w:r>
        <w:rPr>
          <w:rFonts w:hint="eastAsia" w:ascii="方正仿宋_GBK" w:hAnsi="宋体" w:eastAsia="方正仿宋_GBK"/>
          <w:color w:val="auto"/>
          <w:sz w:val="28"/>
          <w:szCs w:val="28"/>
          <w:highlight w:val="none"/>
          <w:u w:val="single"/>
          <w:lang w:val="en-US" w:eastAsia="zh-CN"/>
        </w:rPr>
        <w:t>9月</w:t>
      </w:r>
      <w:r>
        <w:rPr>
          <w:rFonts w:hint="eastAsia" w:ascii="方正仿宋_GBK" w:eastAsia="方正仿宋_GBK"/>
          <w:color w:val="auto"/>
          <w:sz w:val="28"/>
          <w:szCs w:val="28"/>
          <w:highlight w:val="none"/>
          <w:u w:val="single"/>
          <w:lang w:val="en-US" w:eastAsia="zh-CN"/>
        </w:rPr>
        <w:t>19</w:t>
      </w:r>
      <w:r>
        <w:rPr>
          <w:rFonts w:hint="eastAsia" w:ascii="方正仿宋_GBK" w:eastAsia="方正仿宋_GBK"/>
          <w:color w:val="auto"/>
          <w:sz w:val="28"/>
          <w:szCs w:val="28"/>
          <w:highlight w:val="none"/>
          <w:u w:val="single"/>
        </w:rPr>
        <w:t>日</w:t>
      </w:r>
      <w:r>
        <w:rPr>
          <w:rFonts w:hint="eastAsia" w:ascii="方正仿宋_GBK" w:eastAsia="方正仿宋_GBK"/>
          <w:color w:val="auto"/>
          <w:sz w:val="28"/>
          <w:szCs w:val="28"/>
          <w:highlight w:val="none"/>
          <w:u w:val="single"/>
          <w:lang w:val="en-US" w:eastAsia="zh-CN"/>
        </w:rPr>
        <w:t xml:space="preserve"> 15:00 </w:t>
      </w:r>
      <w:r>
        <w:rPr>
          <w:rFonts w:hint="eastAsia" w:ascii="方正仿宋_GBK" w:hAnsi="宋体" w:eastAsia="方正仿宋_GBK"/>
          <w:color w:val="auto"/>
          <w:sz w:val="28"/>
          <w:szCs w:val="28"/>
          <w:highlight w:val="none"/>
        </w:rPr>
        <w:t>在比选会现场递交（逾期未交视为放弃），同时进行比选。</w:t>
      </w:r>
    </w:p>
    <w:p w14:paraId="3CDE0311">
      <w:pPr>
        <w:spacing w:line="500" w:lineRule="exact"/>
        <w:ind w:firstLine="560" w:firstLineChars="200"/>
        <w:jc w:val="left"/>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5、文件封装：竞选文件应装入文件袋中。</w:t>
      </w:r>
    </w:p>
    <w:p w14:paraId="21C4F949">
      <w:pPr>
        <w:spacing w:line="500" w:lineRule="exact"/>
        <w:ind w:firstLine="560" w:firstLineChars="200"/>
        <w:jc w:val="left"/>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6、文件的补充和修改：比选人可以用书面补充通知的方式对比选采购文件进行补充和修改。该补充通知作为比选采购文件的组成部分。考虑到补充文件通知的影响，比选人可以决定推迟报价截止时间，并予公告。</w:t>
      </w:r>
    </w:p>
    <w:p w14:paraId="5F84FAF0">
      <w:pPr>
        <w:snapToGrid w:val="0"/>
        <w:spacing w:line="480" w:lineRule="exact"/>
        <w:ind w:firstLine="560" w:firstLineChars="200"/>
        <w:rPr>
          <w:rFonts w:hint="eastAsia"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7、未尽事宜，根据公司</w:t>
      </w:r>
      <w:r>
        <w:rPr>
          <w:rFonts w:hint="eastAsia" w:ascii="方正仿宋_GBK" w:hAnsi="宋体" w:eastAsia="方正仿宋_GBK"/>
          <w:color w:val="auto"/>
          <w:sz w:val="28"/>
          <w:szCs w:val="28"/>
          <w:highlight w:val="none"/>
          <w:lang w:eastAsia="zh-CN"/>
        </w:rPr>
        <w:t>〔2016〕25号</w:t>
      </w:r>
      <w:r>
        <w:rPr>
          <w:rFonts w:hint="eastAsia" w:ascii="方正仿宋_GBK" w:hAnsi="宋体" w:eastAsia="方正仿宋_GBK"/>
          <w:color w:val="auto"/>
          <w:sz w:val="28"/>
          <w:szCs w:val="28"/>
          <w:highlight w:val="none"/>
        </w:rPr>
        <w:t>文件办理。</w:t>
      </w:r>
    </w:p>
    <w:p w14:paraId="53F71E86">
      <w:pPr>
        <w:snapToGrid w:val="0"/>
        <w:spacing w:line="480" w:lineRule="exact"/>
        <w:ind w:firstLine="562" w:firstLineChars="200"/>
        <w:rPr>
          <w:rFonts w:ascii="方正仿宋_GBK" w:hAnsi="宋体" w:eastAsia="方正仿宋_GBK"/>
          <w:b/>
          <w:color w:val="auto"/>
          <w:sz w:val="28"/>
          <w:szCs w:val="28"/>
          <w:highlight w:val="none"/>
        </w:rPr>
      </w:pPr>
      <w:r>
        <w:rPr>
          <w:rFonts w:hint="eastAsia" w:ascii="方正仿宋_GBK" w:hAnsi="宋体" w:eastAsia="方正仿宋_GBK"/>
          <w:b/>
          <w:color w:val="auto"/>
          <w:sz w:val="28"/>
          <w:szCs w:val="28"/>
          <w:highlight w:val="none"/>
        </w:rPr>
        <w:t>（十八）联系方式</w:t>
      </w:r>
    </w:p>
    <w:p w14:paraId="12376468">
      <w:pPr>
        <w:snapToGrid w:val="0"/>
        <w:spacing w:line="48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联系人：周小渝</w:t>
      </w:r>
    </w:p>
    <w:p w14:paraId="608B79E1">
      <w:pPr>
        <w:snapToGrid w:val="0"/>
        <w:spacing w:line="48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联系电话：023-58155217</w:t>
      </w:r>
      <w:r>
        <w:rPr>
          <w:rFonts w:ascii="方正仿宋_GBK" w:hAnsi="宋体" w:eastAsia="方正仿宋_GBK" w:cs="宋体"/>
          <w:b/>
          <w:color w:val="auto"/>
          <w:kern w:val="0"/>
          <w:sz w:val="36"/>
          <w:szCs w:val="44"/>
          <w:highlight w:val="none"/>
        </w:rPr>
        <w:br w:type="page"/>
      </w:r>
      <w:r>
        <w:rPr>
          <w:rFonts w:hint="eastAsia" w:ascii="方正仿宋_GBK" w:hAnsi="宋体" w:eastAsia="方正仿宋_GBK" w:cs="宋体"/>
          <w:b/>
          <w:color w:val="auto"/>
          <w:kern w:val="0"/>
          <w:sz w:val="36"/>
          <w:szCs w:val="44"/>
          <w:highlight w:val="none"/>
        </w:rPr>
        <w:t>二、主要合同条款</w:t>
      </w:r>
    </w:p>
    <w:p w14:paraId="1B935E33">
      <w:pPr>
        <w:spacing w:line="500" w:lineRule="exact"/>
        <w:ind w:firstLine="640" w:firstLineChars="200"/>
        <w:rPr>
          <w:rFonts w:ascii="方正仿宋_GBK" w:hAnsi="宋体" w:eastAsia="方正仿宋_GBK" w:cs="宋体"/>
          <w:b/>
          <w:color w:val="auto"/>
          <w:kern w:val="0"/>
          <w:sz w:val="40"/>
          <w:szCs w:val="44"/>
          <w:highlight w:val="none"/>
        </w:rPr>
      </w:pPr>
      <w:r>
        <w:rPr>
          <w:rFonts w:hint="eastAsia" w:ascii="方正仿宋_GBK" w:eastAsia="方正仿宋_GBK"/>
          <w:bCs/>
          <w:color w:val="auto"/>
          <w:sz w:val="32"/>
          <w:highlight w:val="none"/>
        </w:rPr>
        <w:t>详见下文合同格式文本</w:t>
      </w:r>
    </w:p>
    <w:p w14:paraId="6CB95832">
      <w:pPr>
        <w:spacing w:line="500" w:lineRule="exact"/>
        <w:rPr>
          <w:rFonts w:ascii="方正仿宋_GBK" w:eastAsia="方正仿宋_GBK"/>
          <w:b/>
          <w:color w:val="auto"/>
          <w:sz w:val="28"/>
          <w:szCs w:val="24"/>
          <w:highlight w:val="none"/>
        </w:rPr>
      </w:pPr>
      <w:r>
        <w:rPr>
          <w:rFonts w:hint="eastAsia" w:ascii="方正仿宋_GBK" w:eastAsia="方正仿宋_GBK"/>
          <w:b/>
          <w:color w:val="auto"/>
          <w:sz w:val="28"/>
          <w:szCs w:val="24"/>
          <w:highlight w:val="none"/>
        </w:rPr>
        <w:t>定作方</w:t>
      </w:r>
      <w:r>
        <w:rPr>
          <w:rFonts w:hint="eastAsia" w:ascii="方正仿宋_GBK" w:eastAsia="方正仿宋_GBK"/>
          <w:color w:val="auto"/>
          <w:sz w:val="28"/>
          <w:szCs w:val="24"/>
          <w:highlight w:val="none"/>
        </w:rPr>
        <w:t xml:space="preserve">：重庆市玉罗实业有限公司                </w:t>
      </w:r>
      <w:r>
        <w:rPr>
          <w:rFonts w:hint="eastAsia" w:ascii="方正仿宋_GBK" w:eastAsia="方正仿宋_GBK"/>
          <w:b/>
          <w:color w:val="auto"/>
          <w:sz w:val="28"/>
          <w:szCs w:val="24"/>
          <w:highlight w:val="none"/>
        </w:rPr>
        <w:t>（以下简称甲方）</w:t>
      </w:r>
    </w:p>
    <w:p w14:paraId="77755E8A">
      <w:pPr>
        <w:spacing w:line="500" w:lineRule="exact"/>
        <w:rPr>
          <w:rFonts w:ascii="方正仿宋_GBK" w:eastAsia="方正仿宋_GBK"/>
          <w:color w:val="auto"/>
          <w:sz w:val="28"/>
          <w:szCs w:val="24"/>
          <w:highlight w:val="none"/>
        </w:rPr>
      </w:pPr>
      <w:r>
        <w:rPr>
          <w:rFonts w:hint="eastAsia" w:ascii="方正仿宋_GBK" w:eastAsia="方正仿宋_GBK"/>
          <w:b/>
          <w:color w:val="auto"/>
          <w:sz w:val="28"/>
          <w:szCs w:val="24"/>
          <w:highlight w:val="none"/>
        </w:rPr>
        <w:t>承揽方</w:t>
      </w:r>
      <w:r>
        <w:rPr>
          <w:rFonts w:hint="eastAsia" w:ascii="方正仿宋_GBK" w:eastAsia="方正仿宋_GBK"/>
          <w:color w:val="auto"/>
          <w:sz w:val="28"/>
          <w:szCs w:val="24"/>
          <w:highlight w:val="none"/>
        </w:rPr>
        <w:t xml:space="preserve">：                                       </w:t>
      </w:r>
      <w:r>
        <w:rPr>
          <w:rFonts w:hint="eastAsia" w:ascii="方正仿宋_GBK" w:eastAsia="方正仿宋_GBK"/>
          <w:b/>
          <w:color w:val="auto"/>
          <w:sz w:val="28"/>
          <w:szCs w:val="24"/>
          <w:highlight w:val="none"/>
        </w:rPr>
        <w:t>（以下简称乙方）</w:t>
      </w:r>
    </w:p>
    <w:p w14:paraId="091C1BE8">
      <w:pPr>
        <w:spacing w:line="500" w:lineRule="exact"/>
        <w:ind w:firstLine="560" w:firstLineChars="200"/>
        <w:rPr>
          <w:rFonts w:ascii="方正仿宋_GBK" w:eastAsia="方正仿宋_GBK"/>
          <w:color w:val="auto"/>
          <w:sz w:val="28"/>
          <w:szCs w:val="24"/>
          <w:highlight w:val="none"/>
        </w:rPr>
      </w:pPr>
      <w:r>
        <w:rPr>
          <w:rFonts w:hint="eastAsia" w:ascii="方正仿宋_GBK" w:eastAsia="方正仿宋_GBK"/>
          <w:color w:val="auto"/>
          <w:sz w:val="28"/>
          <w:szCs w:val="24"/>
          <w:highlight w:val="none"/>
        </w:rPr>
        <w:t>甲方通过比选方式，乙方中选为甲方所需防火门、</w:t>
      </w:r>
      <w:r>
        <w:rPr>
          <w:rFonts w:hint="eastAsia" w:ascii="方正仿宋_GBK" w:eastAsia="方正仿宋_GBK"/>
          <w:color w:val="auto"/>
          <w:sz w:val="28"/>
          <w:szCs w:val="24"/>
          <w:highlight w:val="none"/>
          <w:lang w:val="en-US" w:eastAsia="zh-CN"/>
        </w:rPr>
        <w:t>成品木门</w:t>
      </w:r>
      <w:r>
        <w:rPr>
          <w:rFonts w:hint="eastAsia" w:ascii="方正仿宋_GBK" w:eastAsia="方正仿宋_GBK"/>
          <w:color w:val="auto"/>
          <w:sz w:val="28"/>
          <w:szCs w:val="24"/>
          <w:highlight w:val="none"/>
        </w:rPr>
        <w:t>等门加工定作供货商。经甲、乙双方协商同意达成以下协议：</w:t>
      </w:r>
    </w:p>
    <w:p w14:paraId="58127155">
      <w:pPr>
        <w:spacing w:line="500" w:lineRule="exact"/>
        <w:ind w:firstLine="562" w:firstLineChars="200"/>
        <w:rPr>
          <w:rFonts w:ascii="方正仿宋_GBK" w:eastAsia="方正仿宋_GBK"/>
          <w:b/>
          <w:color w:val="auto"/>
          <w:sz w:val="28"/>
          <w:szCs w:val="24"/>
          <w:highlight w:val="none"/>
        </w:rPr>
      </w:pPr>
      <w:r>
        <w:rPr>
          <w:rFonts w:hint="eastAsia" w:ascii="方正仿宋_GBK" w:eastAsia="方正仿宋_GBK"/>
          <w:b/>
          <w:color w:val="auto"/>
          <w:sz w:val="28"/>
          <w:szCs w:val="24"/>
          <w:highlight w:val="none"/>
        </w:rPr>
        <w:t>一、工程概况</w:t>
      </w:r>
    </w:p>
    <w:p w14:paraId="317B97BB">
      <w:pPr>
        <w:spacing w:line="500" w:lineRule="exact"/>
        <w:ind w:firstLine="560" w:firstLineChars="200"/>
        <w:rPr>
          <w:rFonts w:ascii="方正仿宋_GBK" w:hAnsi="宋体" w:eastAsia="方正仿宋_GBK"/>
          <w:color w:val="auto"/>
          <w:sz w:val="28"/>
          <w:szCs w:val="28"/>
          <w:highlight w:val="none"/>
        </w:rPr>
      </w:pPr>
      <w:r>
        <w:rPr>
          <w:rFonts w:hint="eastAsia" w:ascii="方正仿宋_GBK" w:eastAsia="方正仿宋_GBK"/>
          <w:color w:val="auto"/>
          <w:sz w:val="28"/>
          <w:szCs w:val="24"/>
          <w:highlight w:val="none"/>
        </w:rPr>
        <w:t>1、工程名称：</w:t>
      </w:r>
      <w:r>
        <w:rPr>
          <w:rFonts w:hint="eastAsia" w:eastAsia="方正仿宋_GBK"/>
          <w:color w:val="auto"/>
          <w:sz w:val="28"/>
          <w:highlight w:val="none"/>
          <w:u w:val="none"/>
          <w:lang w:val="en-US" w:eastAsia="zh-CN"/>
        </w:rPr>
        <w:t>重庆市万州第二高级中学高峰校区学生宿舍建设项目</w:t>
      </w:r>
      <w:r>
        <w:rPr>
          <w:rFonts w:hint="eastAsia" w:ascii="方正仿宋_GBK" w:hAnsi="宋体" w:eastAsia="方正仿宋_GBK"/>
          <w:color w:val="auto"/>
          <w:sz w:val="28"/>
          <w:szCs w:val="28"/>
          <w:highlight w:val="none"/>
          <w:u w:val="none"/>
        </w:rPr>
        <w:t>；</w:t>
      </w:r>
    </w:p>
    <w:p w14:paraId="1789A33D">
      <w:pPr>
        <w:spacing w:line="50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2、工程地址：万州经开区高峰园；</w:t>
      </w:r>
    </w:p>
    <w:p w14:paraId="3F573713">
      <w:pPr>
        <w:spacing w:line="500" w:lineRule="exact"/>
        <w:ind w:firstLine="560" w:firstLineChars="200"/>
        <w:rPr>
          <w:rFonts w:ascii="方正仿宋_GBK" w:eastAsia="方正仿宋_GBK"/>
          <w:color w:val="auto"/>
          <w:sz w:val="28"/>
          <w:szCs w:val="24"/>
          <w:highlight w:val="none"/>
        </w:rPr>
      </w:pPr>
      <w:r>
        <w:rPr>
          <w:rFonts w:hint="eastAsia" w:ascii="方正仿宋_GBK" w:hAnsi="宋体" w:eastAsia="方正仿宋_GBK"/>
          <w:color w:val="auto"/>
          <w:sz w:val="28"/>
          <w:szCs w:val="28"/>
          <w:highlight w:val="none"/>
        </w:rPr>
        <w:t>3、施工现场联系人：</w:t>
      </w:r>
      <w:r>
        <w:rPr>
          <w:rFonts w:hint="eastAsia" w:ascii="方正仿宋_GBK" w:hAnsi="方正仿宋_GBK" w:eastAsia="方正仿宋_GBK" w:cs="方正仿宋_GBK"/>
          <w:color w:val="auto"/>
          <w:sz w:val="32"/>
          <w:szCs w:val="32"/>
          <w:highlight w:val="none"/>
          <w:lang w:val="en-US" w:eastAsia="zh-CN"/>
        </w:rPr>
        <w:t>吴成勇15823615848</w:t>
      </w:r>
      <w:r>
        <w:rPr>
          <w:rFonts w:hint="eastAsia" w:ascii="方正仿宋_GBK" w:hAnsi="宋体" w:eastAsia="方正仿宋_GBK"/>
          <w:color w:val="auto"/>
          <w:sz w:val="28"/>
          <w:szCs w:val="28"/>
          <w:highlight w:val="none"/>
        </w:rPr>
        <w:t>；施工现场收货人：牟军15084469111；物资部联系人：</w:t>
      </w:r>
      <w:r>
        <w:rPr>
          <w:rFonts w:hint="eastAsia" w:ascii="方正仿宋_GBK" w:hAnsi="宋体" w:eastAsia="方正仿宋_GBK"/>
          <w:color w:val="auto"/>
          <w:sz w:val="28"/>
          <w:szCs w:val="28"/>
          <w:highlight w:val="none"/>
          <w:lang w:val="en-US" w:eastAsia="zh-CN"/>
        </w:rPr>
        <w:t>周小渝13251235777</w:t>
      </w:r>
      <w:r>
        <w:rPr>
          <w:rFonts w:hint="eastAsia" w:ascii="方正仿宋_GBK" w:hAnsi="宋体" w:eastAsia="方正仿宋_GBK"/>
          <w:color w:val="auto"/>
          <w:sz w:val="28"/>
          <w:szCs w:val="28"/>
          <w:highlight w:val="none"/>
        </w:rPr>
        <w:t>。</w:t>
      </w:r>
    </w:p>
    <w:p w14:paraId="1274FAC4">
      <w:pPr>
        <w:spacing w:line="500" w:lineRule="exact"/>
        <w:ind w:firstLine="562" w:firstLineChars="200"/>
        <w:rPr>
          <w:rFonts w:ascii="方正仿宋_GBK" w:eastAsia="方正仿宋_GBK"/>
          <w:b/>
          <w:color w:val="auto"/>
          <w:sz w:val="28"/>
          <w:szCs w:val="24"/>
          <w:highlight w:val="none"/>
        </w:rPr>
      </w:pPr>
      <w:r>
        <w:rPr>
          <w:rFonts w:hint="eastAsia" w:ascii="方正仿宋_GBK" w:eastAsia="方正仿宋_GBK"/>
          <w:b/>
          <w:color w:val="auto"/>
          <w:sz w:val="28"/>
          <w:szCs w:val="24"/>
          <w:highlight w:val="none"/>
        </w:rPr>
        <w:t>二、品名、规格型号、数量、单价、金额：</w:t>
      </w:r>
    </w:p>
    <w:tbl>
      <w:tblPr>
        <w:tblStyle w:val="12"/>
        <w:tblW w:w="9515" w:type="dxa"/>
        <w:tblInd w:w="91" w:type="dxa"/>
        <w:tblLayout w:type="fixed"/>
        <w:tblCellMar>
          <w:top w:w="0" w:type="dxa"/>
          <w:left w:w="108" w:type="dxa"/>
          <w:bottom w:w="0" w:type="dxa"/>
          <w:right w:w="108" w:type="dxa"/>
        </w:tblCellMar>
      </w:tblPr>
      <w:tblGrid>
        <w:gridCol w:w="1435"/>
        <w:gridCol w:w="1134"/>
        <w:gridCol w:w="1133"/>
        <w:gridCol w:w="1135"/>
        <w:gridCol w:w="1276"/>
        <w:gridCol w:w="1559"/>
        <w:gridCol w:w="1843"/>
      </w:tblGrid>
      <w:tr w14:paraId="53222C3D">
        <w:tblPrEx>
          <w:tblCellMar>
            <w:top w:w="0" w:type="dxa"/>
            <w:left w:w="108" w:type="dxa"/>
            <w:bottom w:w="0" w:type="dxa"/>
            <w:right w:w="108" w:type="dxa"/>
          </w:tblCellMar>
        </w:tblPrEx>
        <w:trPr>
          <w:trHeight w:val="828" w:hRule="atLeast"/>
        </w:trPr>
        <w:tc>
          <w:tcPr>
            <w:tcW w:w="1435" w:type="dxa"/>
            <w:tcBorders>
              <w:top w:val="single" w:color="auto" w:sz="4" w:space="0"/>
              <w:left w:val="single" w:color="auto" w:sz="4" w:space="0"/>
              <w:bottom w:val="single" w:color="auto" w:sz="4" w:space="0"/>
              <w:right w:val="single" w:color="auto" w:sz="4" w:space="0"/>
            </w:tcBorders>
            <w:vAlign w:val="center"/>
          </w:tcPr>
          <w:p w14:paraId="26E8548D">
            <w:pPr>
              <w:tabs>
                <w:tab w:val="left" w:pos="0"/>
                <w:tab w:val="left" w:pos="2324"/>
              </w:tabs>
              <w:adjustRightInd w:val="0"/>
              <w:spacing w:line="360" w:lineRule="exact"/>
              <w:jc w:val="center"/>
              <w:rPr>
                <w:rFonts w:ascii="方正仿宋_GBK" w:hAnsi="宋体" w:eastAsia="方正仿宋_GBK"/>
                <w:color w:val="auto"/>
                <w:sz w:val="22"/>
                <w:highlight w:val="none"/>
              </w:rPr>
            </w:pPr>
            <w:r>
              <w:rPr>
                <w:rFonts w:hint="eastAsia" w:ascii="方正仿宋_GBK" w:hAnsi="宋体" w:eastAsia="方正仿宋_GBK"/>
                <w:color w:val="auto"/>
                <w:sz w:val="22"/>
                <w:highlight w:val="none"/>
              </w:rPr>
              <w:t>货物名称</w:t>
            </w:r>
          </w:p>
        </w:tc>
        <w:tc>
          <w:tcPr>
            <w:tcW w:w="1134" w:type="dxa"/>
            <w:tcBorders>
              <w:top w:val="single" w:color="auto" w:sz="4" w:space="0"/>
              <w:left w:val="nil"/>
              <w:bottom w:val="single" w:color="auto" w:sz="4" w:space="0"/>
              <w:right w:val="single" w:color="auto" w:sz="4" w:space="0"/>
            </w:tcBorders>
            <w:vAlign w:val="center"/>
          </w:tcPr>
          <w:p w14:paraId="0842E08A">
            <w:pPr>
              <w:tabs>
                <w:tab w:val="left" w:pos="0"/>
                <w:tab w:val="left" w:pos="2324"/>
              </w:tabs>
              <w:adjustRightInd w:val="0"/>
              <w:spacing w:line="360" w:lineRule="exact"/>
              <w:jc w:val="center"/>
              <w:rPr>
                <w:rFonts w:ascii="方正仿宋_GBK" w:hAnsi="宋体" w:eastAsia="方正仿宋_GBK"/>
                <w:color w:val="auto"/>
                <w:sz w:val="22"/>
                <w:highlight w:val="none"/>
              </w:rPr>
            </w:pPr>
            <w:r>
              <w:rPr>
                <w:rFonts w:hint="eastAsia" w:ascii="方正仿宋_GBK" w:hAnsi="宋体" w:eastAsia="方正仿宋_GBK"/>
                <w:color w:val="auto"/>
                <w:sz w:val="22"/>
                <w:highlight w:val="none"/>
              </w:rPr>
              <w:t>单位</w:t>
            </w:r>
          </w:p>
        </w:tc>
        <w:tc>
          <w:tcPr>
            <w:tcW w:w="1133" w:type="dxa"/>
            <w:tcBorders>
              <w:top w:val="single" w:color="auto" w:sz="4" w:space="0"/>
              <w:left w:val="nil"/>
              <w:bottom w:val="single" w:color="auto" w:sz="4" w:space="0"/>
              <w:right w:val="single" w:color="auto" w:sz="4" w:space="0"/>
            </w:tcBorders>
            <w:vAlign w:val="center"/>
          </w:tcPr>
          <w:p w14:paraId="3E50F358">
            <w:pPr>
              <w:tabs>
                <w:tab w:val="left" w:pos="0"/>
                <w:tab w:val="left" w:pos="2324"/>
              </w:tabs>
              <w:adjustRightInd w:val="0"/>
              <w:spacing w:line="360" w:lineRule="exact"/>
              <w:jc w:val="center"/>
              <w:rPr>
                <w:rFonts w:ascii="方正仿宋_GBK" w:hAnsi="宋体" w:eastAsia="方正仿宋_GBK"/>
                <w:color w:val="auto"/>
                <w:sz w:val="22"/>
                <w:highlight w:val="none"/>
              </w:rPr>
            </w:pPr>
            <w:r>
              <w:rPr>
                <w:rFonts w:hint="eastAsia" w:ascii="方正仿宋_GBK" w:hAnsi="宋体" w:eastAsia="方正仿宋_GBK"/>
                <w:color w:val="auto"/>
                <w:sz w:val="22"/>
                <w:highlight w:val="none"/>
              </w:rPr>
              <w:t>暂定采购数量</w:t>
            </w:r>
          </w:p>
        </w:tc>
        <w:tc>
          <w:tcPr>
            <w:tcW w:w="1135" w:type="dxa"/>
            <w:tcBorders>
              <w:top w:val="single" w:color="auto" w:sz="4" w:space="0"/>
              <w:left w:val="nil"/>
              <w:bottom w:val="single" w:color="auto" w:sz="4" w:space="0"/>
              <w:right w:val="single" w:color="auto" w:sz="4" w:space="0"/>
            </w:tcBorders>
            <w:vAlign w:val="center"/>
          </w:tcPr>
          <w:p w14:paraId="39FA91BB">
            <w:pPr>
              <w:tabs>
                <w:tab w:val="left" w:pos="0"/>
                <w:tab w:val="left" w:pos="2324"/>
              </w:tabs>
              <w:adjustRightInd w:val="0"/>
              <w:spacing w:line="360" w:lineRule="exact"/>
              <w:jc w:val="center"/>
              <w:rPr>
                <w:rFonts w:ascii="方正仿宋_GBK" w:hAnsi="宋体" w:eastAsia="方正仿宋_GBK"/>
                <w:color w:val="auto"/>
                <w:sz w:val="22"/>
                <w:highlight w:val="none"/>
              </w:rPr>
            </w:pPr>
            <w:r>
              <w:rPr>
                <w:rFonts w:hint="eastAsia" w:ascii="方正仿宋_GBK" w:hAnsi="宋体" w:eastAsia="方正仿宋_GBK"/>
                <w:color w:val="auto"/>
                <w:sz w:val="22"/>
                <w:highlight w:val="none"/>
              </w:rPr>
              <w:t>品牌或生产厂家</w:t>
            </w:r>
          </w:p>
        </w:tc>
        <w:tc>
          <w:tcPr>
            <w:tcW w:w="1276" w:type="dxa"/>
            <w:tcBorders>
              <w:top w:val="single" w:color="auto" w:sz="4" w:space="0"/>
              <w:left w:val="nil"/>
              <w:bottom w:val="single" w:color="auto" w:sz="4" w:space="0"/>
              <w:right w:val="single" w:color="auto" w:sz="4" w:space="0"/>
            </w:tcBorders>
            <w:vAlign w:val="center"/>
          </w:tcPr>
          <w:p w14:paraId="55F0EDFD">
            <w:pPr>
              <w:tabs>
                <w:tab w:val="left" w:pos="0"/>
                <w:tab w:val="left" w:pos="2324"/>
              </w:tabs>
              <w:adjustRightInd w:val="0"/>
              <w:spacing w:line="360" w:lineRule="exact"/>
              <w:jc w:val="center"/>
              <w:rPr>
                <w:rFonts w:ascii="方正仿宋_GBK" w:hAnsi="宋体" w:eastAsia="方正仿宋_GBK"/>
                <w:color w:val="auto"/>
                <w:sz w:val="22"/>
                <w:highlight w:val="none"/>
              </w:rPr>
            </w:pPr>
            <w:r>
              <w:rPr>
                <w:rFonts w:hint="eastAsia" w:ascii="方正仿宋_GBK" w:hAnsi="宋体" w:eastAsia="方正仿宋_GBK"/>
                <w:color w:val="auto"/>
                <w:sz w:val="22"/>
                <w:highlight w:val="none"/>
              </w:rPr>
              <w:t>单价（元）</w:t>
            </w:r>
          </w:p>
        </w:tc>
        <w:tc>
          <w:tcPr>
            <w:tcW w:w="1559" w:type="dxa"/>
            <w:tcBorders>
              <w:top w:val="single" w:color="auto" w:sz="4" w:space="0"/>
              <w:left w:val="nil"/>
              <w:bottom w:val="single" w:color="auto" w:sz="4" w:space="0"/>
              <w:right w:val="single" w:color="auto" w:sz="4" w:space="0"/>
            </w:tcBorders>
            <w:vAlign w:val="center"/>
          </w:tcPr>
          <w:p w14:paraId="1A051AA2">
            <w:pPr>
              <w:tabs>
                <w:tab w:val="left" w:pos="0"/>
                <w:tab w:val="left" w:pos="2324"/>
              </w:tabs>
              <w:adjustRightInd w:val="0"/>
              <w:spacing w:line="360" w:lineRule="exact"/>
              <w:jc w:val="center"/>
              <w:rPr>
                <w:rFonts w:ascii="方正仿宋_GBK" w:hAnsi="宋体" w:eastAsia="方正仿宋_GBK"/>
                <w:color w:val="auto"/>
                <w:sz w:val="22"/>
                <w:highlight w:val="none"/>
              </w:rPr>
            </w:pPr>
            <w:r>
              <w:rPr>
                <w:rFonts w:hint="eastAsia" w:ascii="方正仿宋_GBK" w:hAnsi="宋体" w:eastAsia="方正仿宋_GBK"/>
                <w:color w:val="auto"/>
                <w:sz w:val="22"/>
                <w:highlight w:val="none"/>
              </w:rPr>
              <w:t>合计（元）</w:t>
            </w:r>
          </w:p>
        </w:tc>
        <w:tc>
          <w:tcPr>
            <w:tcW w:w="1843" w:type="dxa"/>
            <w:tcBorders>
              <w:top w:val="single" w:color="auto" w:sz="4" w:space="0"/>
              <w:left w:val="nil"/>
              <w:bottom w:val="single" w:color="auto" w:sz="4" w:space="0"/>
              <w:right w:val="single" w:color="auto" w:sz="4" w:space="0"/>
            </w:tcBorders>
            <w:vAlign w:val="center"/>
          </w:tcPr>
          <w:p w14:paraId="1FE95833">
            <w:pPr>
              <w:tabs>
                <w:tab w:val="left" w:pos="0"/>
                <w:tab w:val="left" w:pos="2324"/>
              </w:tabs>
              <w:adjustRightInd w:val="0"/>
              <w:spacing w:line="360" w:lineRule="exact"/>
              <w:jc w:val="center"/>
              <w:rPr>
                <w:rFonts w:ascii="方正仿宋_GBK" w:hAnsi="宋体" w:eastAsia="方正仿宋_GBK"/>
                <w:color w:val="auto"/>
                <w:sz w:val="22"/>
                <w:highlight w:val="none"/>
              </w:rPr>
            </w:pPr>
            <w:r>
              <w:rPr>
                <w:rFonts w:hint="eastAsia" w:ascii="宋体" w:hAnsi="宋体"/>
                <w:color w:val="auto"/>
                <w:sz w:val="24"/>
                <w:highlight w:val="none"/>
              </w:rPr>
              <w:t>备注</w:t>
            </w:r>
          </w:p>
        </w:tc>
      </w:tr>
      <w:tr w14:paraId="557E99BD">
        <w:tblPrEx>
          <w:tblCellMar>
            <w:top w:w="0" w:type="dxa"/>
            <w:left w:w="108" w:type="dxa"/>
            <w:bottom w:w="0" w:type="dxa"/>
            <w:right w:w="108" w:type="dxa"/>
          </w:tblCellMar>
        </w:tblPrEx>
        <w:trPr>
          <w:trHeight w:val="578" w:hRule="atLeast"/>
        </w:trPr>
        <w:tc>
          <w:tcPr>
            <w:tcW w:w="1435" w:type="dxa"/>
            <w:tcBorders>
              <w:top w:val="single" w:color="auto" w:sz="4" w:space="0"/>
              <w:left w:val="single" w:color="auto" w:sz="4" w:space="0"/>
              <w:bottom w:val="single" w:color="auto" w:sz="4" w:space="0"/>
              <w:right w:val="single" w:color="auto" w:sz="4" w:space="0"/>
            </w:tcBorders>
            <w:vAlign w:val="center"/>
          </w:tcPr>
          <w:p w14:paraId="6C34C992">
            <w:pPr>
              <w:tabs>
                <w:tab w:val="left" w:pos="0"/>
                <w:tab w:val="left" w:pos="2324"/>
              </w:tabs>
              <w:adjustRightInd w:val="0"/>
              <w:spacing w:line="360" w:lineRule="exact"/>
              <w:jc w:val="center"/>
              <w:rPr>
                <w:rFonts w:ascii="宋体" w:hAnsi="宋体"/>
                <w:color w:val="auto"/>
                <w:sz w:val="24"/>
                <w:highlight w:val="none"/>
              </w:rPr>
            </w:pPr>
            <w:r>
              <w:rPr>
                <w:rFonts w:hint="eastAsia" w:ascii="宋体" w:hAnsi="宋体"/>
                <w:color w:val="auto"/>
                <w:sz w:val="24"/>
                <w:highlight w:val="none"/>
                <w:lang w:val="en-US" w:eastAsia="zh-CN"/>
              </w:rPr>
              <w:t>甲级木质防火门</w:t>
            </w:r>
          </w:p>
        </w:tc>
        <w:tc>
          <w:tcPr>
            <w:tcW w:w="1134" w:type="dxa"/>
            <w:tcBorders>
              <w:top w:val="single" w:color="auto" w:sz="4" w:space="0"/>
              <w:left w:val="nil"/>
              <w:bottom w:val="single" w:color="auto" w:sz="4" w:space="0"/>
              <w:right w:val="single" w:color="auto" w:sz="4" w:space="0"/>
            </w:tcBorders>
            <w:vAlign w:val="center"/>
          </w:tcPr>
          <w:p w14:paraId="006B308B">
            <w:pPr>
              <w:tabs>
                <w:tab w:val="left" w:pos="0"/>
                <w:tab w:val="left" w:pos="2324"/>
              </w:tabs>
              <w:adjustRightInd w:val="0"/>
              <w:spacing w:line="360" w:lineRule="exact"/>
              <w:jc w:val="center"/>
              <w:rPr>
                <w:rFonts w:ascii="宋体" w:hAnsi="宋体"/>
                <w:color w:val="auto"/>
                <w:sz w:val="24"/>
                <w:highlight w:val="none"/>
              </w:rPr>
            </w:pPr>
            <w:r>
              <w:rPr>
                <w:rFonts w:hint="eastAsia" w:ascii="宋体" w:hAnsi="宋体" w:eastAsia="宋体" w:cs="宋体"/>
                <w:color w:val="auto"/>
                <w:sz w:val="24"/>
                <w:highlight w:val="none"/>
              </w:rPr>
              <w:t>㎡</w:t>
            </w:r>
          </w:p>
        </w:tc>
        <w:tc>
          <w:tcPr>
            <w:tcW w:w="1133" w:type="dxa"/>
            <w:tcBorders>
              <w:top w:val="single" w:color="auto" w:sz="4" w:space="0"/>
              <w:left w:val="nil"/>
              <w:bottom w:val="single" w:color="auto" w:sz="4" w:space="0"/>
              <w:right w:val="single" w:color="auto" w:sz="4" w:space="0"/>
            </w:tcBorders>
            <w:vAlign w:val="center"/>
          </w:tcPr>
          <w:p w14:paraId="2D748D33">
            <w:pPr>
              <w:tabs>
                <w:tab w:val="left" w:pos="0"/>
                <w:tab w:val="left" w:pos="2324"/>
              </w:tabs>
              <w:adjustRightInd w:val="0"/>
              <w:spacing w:line="360" w:lineRule="exact"/>
              <w:jc w:val="center"/>
              <w:rPr>
                <w:rFonts w:ascii="宋体" w:hAnsi="宋体"/>
                <w:color w:val="auto"/>
                <w:sz w:val="24"/>
                <w:highlight w:val="none"/>
              </w:rPr>
            </w:pPr>
            <w:r>
              <w:rPr>
                <w:rFonts w:hint="eastAsia" w:ascii="宋体" w:hAnsi="宋体"/>
                <w:color w:val="auto"/>
                <w:sz w:val="24"/>
                <w:highlight w:val="none"/>
                <w:lang w:val="en-US" w:eastAsia="zh-CN"/>
              </w:rPr>
              <w:t>33</w:t>
            </w:r>
          </w:p>
        </w:tc>
        <w:tc>
          <w:tcPr>
            <w:tcW w:w="1135" w:type="dxa"/>
            <w:tcBorders>
              <w:top w:val="single" w:color="auto" w:sz="4" w:space="0"/>
              <w:left w:val="nil"/>
              <w:bottom w:val="single" w:color="auto" w:sz="4" w:space="0"/>
              <w:right w:val="single" w:color="auto" w:sz="4" w:space="0"/>
            </w:tcBorders>
            <w:vAlign w:val="center"/>
          </w:tcPr>
          <w:p w14:paraId="44855ECF">
            <w:pPr>
              <w:tabs>
                <w:tab w:val="left" w:pos="0"/>
                <w:tab w:val="left" w:pos="2324"/>
              </w:tabs>
              <w:adjustRightInd w:val="0"/>
              <w:spacing w:line="360" w:lineRule="exact"/>
              <w:jc w:val="center"/>
              <w:rPr>
                <w:rFonts w:ascii="宋体" w:hAnsi="宋体"/>
                <w:color w:val="auto"/>
                <w:sz w:val="24"/>
                <w:highlight w:val="none"/>
              </w:rPr>
            </w:pPr>
          </w:p>
        </w:tc>
        <w:tc>
          <w:tcPr>
            <w:tcW w:w="1276" w:type="dxa"/>
            <w:tcBorders>
              <w:top w:val="single" w:color="auto" w:sz="4" w:space="0"/>
              <w:left w:val="nil"/>
              <w:bottom w:val="single" w:color="auto" w:sz="4" w:space="0"/>
              <w:right w:val="single" w:color="auto" w:sz="4" w:space="0"/>
            </w:tcBorders>
            <w:vAlign w:val="center"/>
          </w:tcPr>
          <w:p w14:paraId="4F9F6A0B">
            <w:pPr>
              <w:tabs>
                <w:tab w:val="left" w:pos="0"/>
                <w:tab w:val="left" w:pos="2324"/>
              </w:tabs>
              <w:adjustRightInd w:val="0"/>
              <w:spacing w:line="360" w:lineRule="exact"/>
              <w:jc w:val="center"/>
              <w:rPr>
                <w:rFonts w:ascii="方正仿宋_GBK" w:hAnsi="宋体" w:eastAsia="方正仿宋_GBK"/>
                <w:color w:val="auto"/>
                <w:sz w:val="22"/>
                <w:highlight w:val="none"/>
              </w:rPr>
            </w:pPr>
          </w:p>
        </w:tc>
        <w:tc>
          <w:tcPr>
            <w:tcW w:w="1559" w:type="dxa"/>
            <w:tcBorders>
              <w:top w:val="single" w:color="auto" w:sz="4" w:space="0"/>
              <w:left w:val="nil"/>
              <w:bottom w:val="single" w:color="auto" w:sz="4" w:space="0"/>
              <w:right w:val="single" w:color="auto" w:sz="4" w:space="0"/>
            </w:tcBorders>
            <w:vAlign w:val="center"/>
          </w:tcPr>
          <w:p w14:paraId="12D56893">
            <w:pPr>
              <w:tabs>
                <w:tab w:val="left" w:pos="0"/>
                <w:tab w:val="left" w:pos="2324"/>
              </w:tabs>
              <w:adjustRightInd w:val="0"/>
              <w:spacing w:line="360" w:lineRule="exact"/>
              <w:jc w:val="center"/>
              <w:rPr>
                <w:rFonts w:ascii="方正仿宋_GBK" w:hAnsi="宋体" w:eastAsia="方正仿宋_GBK"/>
                <w:color w:val="auto"/>
                <w:sz w:val="22"/>
                <w:highlight w:val="none"/>
              </w:rPr>
            </w:pPr>
          </w:p>
        </w:tc>
        <w:tc>
          <w:tcPr>
            <w:tcW w:w="1843" w:type="dxa"/>
            <w:tcBorders>
              <w:top w:val="single" w:color="auto" w:sz="4" w:space="0"/>
              <w:left w:val="nil"/>
              <w:bottom w:val="single" w:color="auto" w:sz="4" w:space="0"/>
              <w:right w:val="single" w:color="auto" w:sz="4" w:space="0"/>
            </w:tcBorders>
            <w:vAlign w:val="center"/>
          </w:tcPr>
          <w:p w14:paraId="469973F2">
            <w:pPr>
              <w:tabs>
                <w:tab w:val="left" w:pos="0"/>
                <w:tab w:val="left" w:pos="2324"/>
              </w:tabs>
              <w:adjustRightInd w:val="0"/>
              <w:spacing w:line="360" w:lineRule="exact"/>
              <w:jc w:val="center"/>
              <w:rPr>
                <w:rFonts w:ascii="宋体" w:hAnsi="宋体"/>
                <w:color w:val="auto"/>
                <w:sz w:val="24"/>
                <w:highlight w:val="none"/>
              </w:rPr>
            </w:pPr>
            <w:r>
              <w:rPr>
                <w:rFonts w:hint="eastAsia" w:ascii="宋体" w:hAnsi="宋体"/>
                <w:color w:val="auto"/>
                <w:sz w:val="24"/>
                <w:highlight w:val="none"/>
                <w:lang w:val="en-US" w:eastAsia="zh-CN"/>
              </w:rPr>
              <w:t>含门框套、五金配件、门锁</w:t>
            </w:r>
          </w:p>
        </w:tc>
      </w:tr>
      <w:tr w14:paraId="1045A9F1">
        <w:tblPrEx>
          <w:tblCellMar>
            <w:top w:w="0" w:type="dxa"/>
            <w:left w:w="108" w:type="dxa"/>
            <w:bottom w:w="0" w:type="dxa"/>
            <w:right w:w="108" w:type="dxa"/>
          </w:tblCellMar>
        </w:tblPrEx>
        <w:trPr>
          <w:trHeight w:val="578" w:hRule="atLeast"/>
        </w:trPr>
        <w:tc>
          <w:tcPr>
            <w:tcW w:w="1435" w:type="dxa"/>
            <w:tcBorders>
              <w:top w:val="single" w:color="auto" w:sz="4" w:space="0"/>
              <w:left w:val="single" w:color="auto" w:sz="4" w:space="0"/>
              <w:bottom w:val="single" w:color="auto" w:sz="4" w:space="0"/>
              <w:right w:val="single" w:color="auto" w:sz="4" w:space="0"/>
            </w:tcBorders>
            <w:vAlign w:val="center"/>
          </w:tcPr>
          <w:p w14:paraId="1B30C748">
            <w:pPr>
              <w:tabs>
                <w:tab w:val="left" w:pos="0"/>
                <w:tab w:val="left" w:pos="2324"/>
              </w:tabs>
              <w:adjustRightInd w:val="0"/>
              <w:spacing w:line="360" w:lineRule="exact"/>
              <w:jc w:val="center"/>
              <w:rPr>
                <w:rFonts w:ascii="宋体" w:hAnsi="宋体"/>
                <w:color w:val="auto"/>
                <w:sz w:val="24"/>
                <w:highlight w:val="none"/>
              </w:rPr>
            </w:pPr>
            <w:r>
              <w:rPr>
                <w:rFonts w:hint="eastAsia" w:ascii="宋体" w:hAnsi="宋体"/>
                <w:color w:val="auto"/>
                <w:sz w:val="24"/>
                <w:highlight w:val="none"/>
                <w:lang w:val="en-US" w:eastAsia="zh-CN"/>
              </w:rPr>
              <w:t>乙级木质防火门</w:t>
            </w:r>
          </w:p>
        </w:tc>
        <w:tc>
          <w:tcPr>
            <w:tcW w:w="1134" w:type="dxa"/>
            <w:tcBorders>
              <w:top w:val="single" w:color="auto" w:sz="4" w:space="0"/>
              <w:left w:val="nil"/>
              <w:bottom w:val="single" w:color="auto" w:sz="4" w:space="0"/>
              <w:right w:val="single" w:color="auto" w:sz="4" w:space="0"/>
            </w:tcBorders>
            <w:vAlign w:val="center"/>
          </w:tcPr>
          <w:p w14:paraId="4E72E4D1">
            <w:pPr>
              <w:tabs>
                <w:tab w:val="left" w:pos="0"/>
                <w:tab w:val="left" w:pos="2324"/>
              </w:tabs>
              <w:adjustRightInd w:val="0"/>
              <w:spacing w:line="360" w:lineRule="exact"/>
              <w:jc w:val="center"/>
              <w:rPr>
                <w:rFonts w:ascii="宋体" w:hAnsi="宋体"/>
                <w:color w:val="auto"/>
                <w:sz w:val="24"/>
                <w:highlight w:val="none"/>
              </w:rPr>
            </w:pPr>
            <w:r>
              <w:rPr>
                <w:rFonts w:hint="eastAsia" w:ascii="宋体" w:hAnsi="宋体" w:eastAsia="宋体" w:cs="宋体"/>
                <w:color w:val="auto"/>
                <w:sz w:val="24"/>
                <w:highlight w:val="none"/>
              </w:rPr>
              <w:t>㎡</w:t>
            </w:r>
          </w:p>
        </w:tc>
        <w:tc>
          <w:tcPr>
            <w:tcW w:w="1133" w:type="dxa"/>
            <w:tcBorders>
              <w:top w:val="single" w:color="auto" w:sz="4" w:space="0"/>
              <w:left w:val="nil"/>
              <w:bottom w:val="single" w:color="auto" w:sz="4" w:space="0"/>
              <w:right w:val="single" w:color="auto" w:sz="4" w:space="0"/>
            </w:tcBorders>
            <w:vAlign w:val="center"/>
          </w:tcPr>
          <w:p w14:paraId="28EB7E02">
            <w:pPr>
              <w:tabs>
                <w:tab w:val="left" w:pos="0"/>
                <w:tab w:val="left" w:pos="2324"/>
              </w:tabs>
              <w:adjustRightInd w:val="0"/>
              <w:spacing w:line="360" w:lineRule="exact"/>
              <w:jc w:val="center"/>
              <w:rPr>
                <w:rFonts w:ascii="宋体" w:hAnsi="宋体"/>
                <w:color w:val="auto"/>
                <w:sz w:val="24"/>
                <w:highlight w:val="none"/>
              </w:rPr>
            </w:pPr>
            <w:r>
              <w:rPr>
                <w:rFonts w:hint="eastAsia" w:ascii="宋体" w:hAnsi="宋体"/>
                <w:color w:val="auto"/>
                <w:sz w:val="24"/>
                <w:highlight w:val="none"/>
                <w:lang w:val="en-US" w:eastAsia="zh-CN"/>
              </w:rPr>
              <w:t>236.5</w:t>
            </w:r>
          </w:p>
        </w:tc>
        <w:tc>
          <w:tcPr>
            <w:tcW w:w="1135" w:type="dxa"/>
            <w:tcBorders>
              <w:top w:val="single" w:color="auto" w:sz="4" w:space="0"/>
              <w:left w:val="nil"/>
              <w:bottom w:val="single" w:color="auto" w:sz="4" w:space="0"/>
              <w:right w:val="single" w:color="auto" w:sz="4" w:space="0"/>
            </w:tcBorders>
            <w:vAlign w:val="center"/>
          </w:tcPr>
          <w:p w14:paraId="352D4FDA">
            <w:pPr>
              <w:tabs>
                <w:tab w:val="left" w:pos="0"/>
                <w:tab w:val="left" w:pos="2324"/>
              </w:tabs>
              <w:adjustRightInd w:val="0"/>
              <w:spacing w:line="360" w:lineRule="exact"/>
              <w:jc w:val="center"/>
              <w:rPr>
                <w:rFonts w:ascii="宋体" w:hAnsi="宋体"/>
                <w:color w:val="auto"/>
                <w:sz w:val="24"/>
                <w:highlight w:val="none"/>
              </w:rPr>
            </w:pPr>
          </w:p>
        </w:tc>
        <w:tc>
          <w:tcPr>
            <w:tcW w:w="1276" w:type="dxa"/>
            <w:tcBorders>
              <w:top w:val="single" w:color="auto" w:sz="4" w:space="0"/>
              <w:left w:val="nil"/>
              <w:bottom w:val="single" w:color="auto" w:sz="4" w:space="0"/>
              <w:right w:val="single" w:color="auto" w:sz="4" w:space="0"/>
            </w:tcBorders>
            <w:vAlign w:val="center"/>
          </w:tcPr>
          <w:p w14:paraId="7C872162">
            <w:pPr>
              <w:tabs>
                <w:tab w:val="left" w:pos="0"/>
                <w:tab w:val="left" w:pos="2324"/>
              </w:tabs>
              <w:adjustRightInd w:val="0"/>
              <w:spacing w:line="360" w:lineRule="exact"/>
              <w:jc w:val="center"/>
              <w:rPr>
                <w:rFonts w:ascii="方正仿宋_GBK" w:hAnsi="宋体" w:eastAsia="方正仿宋_GBK"/>
                <w:color w:val="auto"/>
                <w:sz w:val="22"/>
                <w:highlight w:val="none"/>
              </w:rPr>
            </w:pPr>
          </w:p>
        </w:tc>
        <w:tc>
          <w:tcPr>
            <w:tcW w:w="1559" w:type="dxa"/>
            <w:tcBorders>
              <w:top w:val="single" w:color="auto" w:sz="4" w:space="0"/>
              <w:left w:val="nil"/>
              <w:bottom w:val="single" w:color="auto" w:sz="4" w:space="0"/>
              <w:right w:val="single" w:color="auto" w:sz="4" w:space="0"/>
            </w:tcBorders>
            <w:vAlign w:val="center"/>
          </w:tcPr>
          <w:p w14:paraId="4C05F5CE">
            <w:pPr>
              <w:tabs>
                <w:tab w:val="left" w:pos="0"/>
                <w:tab w:val="left" w:pos="2324"/>
              </w:tabs>
              <w:adjustRightInd w:val="0"/>
              <w:spacing w:line="360" w:lineRule="exact"/>
              <w:jc w:val="center"/>
              <w:rPr>
                <w:rFonts w:ascii="方正仿宋_GBK" w:hAnsi="宋体" w:eastAsia="方正仿宋_GBK"/>
                <w:color w:val="auto"/>
                <w:sz w:val="22"/>
                <w:highlight w:val="none"/>
              </w:rPr>
            </w:pPr>
          </w:p>
        </w:tc>
        <w:tc>
          <w:tcPr>
            <w:tcW w:w="1843" w:type="dxa"/>
            <w:tcBorders>
              <w:top w:val="single" w:color="auto" w:sz="4" w:space="0"/>
              <w:left w:val="nil"/>
              <w:bottom w:val="single" w:color="auto" w:sz="4" w:space="0"/>
              <w:right w:val="single" w:color="auto" w:sz="4" w:space="0"/>
            </w:tcBorders>
            <w:vAlign w:val="center"/>
          </w:tcPr>
          <w:p w14:paraId="24F78567">
            <w:pPr>
              <w:tabs>
                <w:tab w:val="left" w:pos="0"/>
                <w:tab w:val="left" w:pos="2324"/>
              </w:tabs>
              <w:adjustRightInd w:val="0"/>
              <w:spacing w:line="360" w:lineRule="exact"/>
              <w:jc w:val="center"/>
              <w:rPr>
                <w:rFonts w:ascii="宋体" w:hAnsi="宋体"/>
                <w:color w:val="auto"/>
                <w:sz w:val="24"/>
                <w:highlight w:val="none"/>
              </w:rPr>
            </w:pPr>
            <w:r>
              <w:rPr>
                <w:rFonts w:hint="eastAsia" w:ascii="宋体" w:hAnsi="宋体"/>
                <w:color w:val="auto"/>
                <w:sz w:val="24"/>
                <w:highlight w:val="none"/>
                <w:lang w:val="en-US" w:eastAsia="zh-CN"/>
              </w:rPr>
              <w:t>含门框套、五金配件、门锁</w:t>
            </w:r>
          </w:p>
        </w:tc>
      </w:tr>
      <w:tr w14:paraId="38086599">
        <w:tblPrEx>
          <w:tblCellMar>
            <w:top w:w="0" w:type="dxa"/>
            <w:left w:w="108" w:type="dxa"/>
            <w:bottom w:w="0" w:type="dxa"/>
            <w:right w:w="108" w:type="dxa"/>
          </w:tblCellMar>
        </w:tblPrEx>
        <w:trPr>
          <w:trHeight w:val="578" w:hRule="atLeast"/>
        </w:trPr>
        <w:tc>
          <w:tcPr>
            <w:tcW w:w="1435" w:type="dxa"/>
            <w:tcBorders>
              <w:top w:val="single" w:color="auto" w:sz="4" w:space="0"/>
              <w:left w:val="single" w:color="auto" w:sz="4" w:space="0"/>
              <w:bottom w:val="single" w:color="auto" w:sz="4" w:space="0"/>
              <w:right w:val="single" w:color="auto" w:sz="4" w:space="0"/>
            </w:tcBorders>
            <w:vAlign w:val="center"/>
          </w:tcPr>
          <w:p w14:paraId="51445C47">
            <w:pPr>
              <w:tabs>
                <w:tab w:val="left" w:pos="0"/>
                <w:tab w:val="left" w:pos="2324"/>
              </w:tabs>
              <w:adjustRightInd w:val="0"/>
              <w:spacing w:line="360" w:lineRule="exact"/>
              <w:jc w:val="center"/>
              <w:rPr>
                <w:rFonts w:ascii="宋体" w:hAnsi="宋体"/>
                <w:color w:val="auto"/>
                <w:sz w:val="24"/>
                <w:highlight w:val="none"/>
              </w:rPr>
            </w:pPr>
            <w:r>
              <w:rPr>
                <w:rFonts w:hint="eastAsia" w:ascii="宋体" w:hAnsi="宋体"/>
                <w:color w:val="auto"/>
                <w:sz w:val="24"/>
                <w:highlight w:val="none"/>
                <w:lang w:val="en-US" w:eastAsia="zh-CN"/>
              </w:rPr>
              <w:t>成品木门扇</w:t>
            </w:r>
          </w:p>
        </w:tc>
        <w:tc>
          <w:tcPr>
            <w:tcW w:w="1134" w:type="dxa"/>
            <w:tcBorders>
              <w:top w:val="single" w:color="auto" w:sz="4" w:space="0"/>
              <w:left w:val="nil"/>
              <w:bottom w:val="single" w:color="auto" w:sz="4" w:space="0"/>
              <w:right w:val="single" w:color="auto" w:sz="4" w:space="0"/>
            </w:tcBorders>
            <w:vAlign w:val="center"/>
          </w:tcPr>
          <w:p w14:paraId="1099E2D9">
            <w:pPr>
              <w:tabs>
                <w:tab w:val="left" w:pos="0"/>
                <w:tab w:val="left" w:pos="2324"/>
              </w:tabs>
              <w:adjustRightInd w:val="0"/>
              <w:spacing w:line="360" w:lineRule="exact"/>
              <w:jc w:val="center"/>
              <w:rPr>
                <w:rFonts w:ascii="宋体" w:hAnsi="宋体"/>
                <w:color w:val="auto"/>
                <w:sz w:val="24"/>
                <w:highlight w:val="none"/>
              </w:rPr>
            </w:pPr>
            <w:r>
              <w:rPr>
                <w:rFonts w:hint="eastAsia" w:ascii="宋体" w:hAnsi="宋体" w:eastAsia="宋体" w:cs="宋体"/>
                <w:color w:val="auto"/>
                <w:sz w:val="24"/>
                <w:highlight w:val="none"/>
              </w:rPr>
              <w:t>㎡</w:t>
            </w:r>
          </w:p>
        </w:tc>
        <w:tc>
          <w:tcPr>
            <w:tcW w:w="1133" w:type="dxa"/>
            <w:tcBorders>
              <w:top w:val="single" w:color="auto" w:sz="4" w:space="0"/>
              <w:left w:val="nil"/>
              <w:bottom w:val="single" w:color="auto" w:sz="4" w:space="0"/>
              <w:right w:val="single" w:color="auto" w:sz="4" w:space="0"/>
            </w:tcBorders>
            <w:vAlign w:val="center"/>
          </w:tcPr>
          <w:p w14:paraId="3EF0EF37">
            <w:pPr>
              <w:tabs>
                <w:tab w:val="left" w:pos="0"/>
                <w:tab w:val="left" w:pos="2324"/>
              </w:tabs>
              <w:adjustRightInd w:val="0"/>
              <w:spacing w:line="360" w:lineRule="exact"/>
              <w:jc w:val="center"/>
              <w:rPr>
                <w:rFonts w:ascii="宋体" w:hAnsi="宋体"/>
                <w:color w:val="auto"/>
                <w:sz w:val="24"/>
                <w:highlight w:val="none"/>
              </w:rPr>
            </w:pPr>
            <w:r>
              <w:rPr>
                <w:rFonts w:hint="eastAsia" w:ascii="宋体" w:hAnsi="宋体"/>
                <w:color w:val="auto"/>
                <w:sz w:val="24"/>
                <w:highlight w:val="none"/>
                <w:lang w:val="en-US" w:eastAsia="zh-CN"/>
              </w:rPr>
              <w:t>1549</w:t>
            </w:r>
          </w:p>
        </w:tc>
        <w:tc>
          <w:tcPr>
            <w:tcW w:w="1135" w:type="dxa"/>
            <w:tcBorders>
              <w:top w:val="single" w:color="auto" w:sz="4" w:space="0"/>
              <w:left w:val="nil"/>
              <w:bottom w:val="single" w:color="auto" w:sz="4" w:space="0"/>
              <w:right w:val="single" w:color="auto" w:sz="4" w:space="0"/>
            </w:tcBorders>
            <w:vAlign w:val="center"/>
          </w:tcPr>
          <w:p w14:paraId="7332DFDA">
            <w:pPr>
              <w:tabs>
                <w:tab w:val="left" w:pos="0"/>
                <w:tab w:val="left" w:pos="2324"/>
              </w:tabs>
              <w:adjustRightInd w:val="0"/>
              <w:spacing w:line="360" w:lineRule="exact"/>
              <w:jc w:val="center"/>
              <w:rPr>
                <w:rFonts w:ascii="宋体" w:hAnsi="宋体"/>
                <w:color w:val="auto"/>
                <w:sz w:val="24"/>
                <w:highlight w:val="none"/>
              </w:rPr>
            </w:pPr>
          </w:p>
        </w:tc>
        <w:tc>
          <w:tcPr>
            <w:tcW w:w="1276" w:type="dxa"/>
            <w:tcBorders>
              <w:top w:val="single" w:color="auto" w:sz="4" w:space="0"/>
              <w:left w:val="nil"/>
              <w:bottom w:val="single" w:color="auto" w:sz="4" w:space="0"/>
              <w:right w:val="single" w:color="auto" w:sz="4" w:space="0"/>
            </w:tcBorders>
            <w:vAlign w:val="center"/>
          </w:tcPr>
          <w:p w14:paraId="7D71067A">
            <w:pPr>
              <w:tabs>
                <w:tab w:val="left" w:pos="0"/>
                <w:tab w:val="left" w:pos="2324"/>
              </w:tabs>
              <w:adjustRightInd w:val="0"/>
              <w:spacing w:line="360" w:lineRule="exact"/>
              <w:jc w:val="center"/>
              <w:rPr>
                <w:rFonts w:ascii="方正仿宋_GBK" w:hAnsi="宋体" w:eastAsia="方正仿宋_GBK"/>
                <w:color w:val="auto"/>
                <w:sz w:val="22"/>
                <w:highlight w:val="none"/>
              </w:rPr>
            </w:pPr>
          </w:p>
        </w:tc>
        <w:tc>
          <w:tcPr>
            <w:tcW w:w="1559" w:type="dxa"/>
            <w:tcBorders>
              <w:top w:val="single" w:color="auto" w:sz="4" w:space="0"/>
              <w:left w:val="nil"/>
              <w:bottom w:val="single" w:color="auto" w:sz="4" w:space="0"/>
              <w:right w:val="single" w:color="auto" w:sz="4" w:space="0"/>
            </w:tcBorders>
            <w:vAlign w:val="center"/>
          </w:tcPr>
          <w:p w14:paraId="549FC1F3">
            <w:pPr>
              <w:tabs>
                <w:tab w:val="left" w:pos="0"/>
                <w:tab w:val="left" w:pos="2324"/>
              </w:tabs>
              <w:adjustRightInd w:val="0"/>
              <w:spacing w:line="360" w:lineRule="exact"/>
              <w:jc w:val="center"/>
              <w:rPr>
                <w:rFonts w:ascii="方正仿宋_GBK" w:hAnsi="宋体" w:eastAsia="方正仿宋_GBK"/>
                <w:color w:val="auto"/>
                <w:sz w:val="22"/>
                <w:highlight w:val="none"/>
              </w:rPr>
            </w:pPr>
          </w:p>
        </w:tc>
        <w:tc>
          <w:tcPr>
            <w:tcW w:w="1843" w:type="dxa"/>
            <w:tcBorders>
              <w:top w:val="single" w:color="auto" w:sz="4" w:space="0"/>
              <w:left w:val="nil"/>
              <w:bottom w:val="single" w:color="auto" w:sz="4" w:space="0"/>
              <w:right w:val="single" w:color="auto" w:sz="4" w:space="0"/>
            </w:tcBorders>
            <w:vAlign w:val="center"/>
          </w:tcPr>
          <w:p w14:paraId="5F33DE75">
            <w:pPr>
              <w:tabs>
                <w:tab w:val="left" w:pos="0"/>
                <w:tab w:val="left" w:pos="2324"/>
              </w:tabs>
              <w:adjustRightInd w:val="0"/>
              <w:spacing w:line="360" w:lineRule="exact"/>
              <w:jc w:val="center"/>
              <w:rPr>
                <w:rFonts w:ascii="宋体" w:hAnsi="宋体"/>
                <w:color w:val="auto"/>
                <w:sz w:val="24"/>
                <w:highlight w:val="none"/>
              </w:rPr>
            </w:pPr>
          </w:p>
        </w:tc>
      </w:tr>
      <w:tr w14:paraId="21465E17">
        <w:tblPrEx>
          <w:tblCellMar>
            <w:top w:w="0" w:type="dxa"/>
            <w:left w:w="108" w:type="dxa"/>
            <w:bottom w:w="0" w:type="dxa"/>
            <w:right w:w="108" w:type="dxa"/>
          </w:tblCellMar>
        </w:tblPrEx>
        <w:trPr>
          <w:trHeight w:val="578" w:hRule="atLeast"/>
        </w:trPr>
        <w:tc>
          <w:tcPr>
            <w:tcW w:w="1435" w:type="dxa"/>
            <w:tcBorders>
              <w:top w:val="single" w:color="auto" w:sz="4" w:space="0"/>
              <w:left w:val="single" w:color="auto" w:sz="4" w:space="0"/>
              <w:bottom w:val="single" w:color="auto" w:sz="4" w:space="0"/>
              <w:right w:val="single" w:color="auto" w:sz="4" w:space="0"/>
            </w:tcBorders>
            <w:vAlign w:val="center"/>
          </w:tcPr>
          <w:p w14:paraId="12638985">
            <w:pPr>
              <w:tabs>
                <w:tab w:val="left" w:pos="0"/>
                <w:tab w:val="left" w:pos="2324"/>
              </w:tabs>
              <w:adjustRightInd w:val="0"/>
              <w:spacing w:line="360" w:lineRule="exact"/>
              <w:jc w:val="center"/>
              <w:rPr>
                <w:rFonts w:ascii="宋体" w:hAnsi="宋体"/>
                <w:color w:val="auto"/>
                <w:sz w:val="24"/>
                <w:highlight w:val="none"/>
              </w:rPr>
            </w:pPr>
            <w:r>
              <w:rPr>
                <w:rFonts w:hint="eastAsia" w:ascii="宋体" w:hAnsi="宋体"/>
                <w:color w:val="auto"/>
                <w:sz w:val="24"/>
                <w:highlight w:val="none"/>
                <w:lang w:val="en-US" w:eastAsia="zh-CN"/>
              </w:rPr>
              <w:t>成品夹芯木门</w:t>
            </w:r>
          </w:p>
        </w:tc>
        <w:tc>
          <w:tcPr>
            <w:tcW w:w="1134" w:type="dxa"/>
            <w:tcBorders>
              <w:top w:val="single" w:color="auto" w:sz="4" w:space="0"/>
              <w:left w:val="nil"/>
              <w:bottom w:val="single" w:color="auto" w:sz="4" w:space="0"/>
              <w:right w:val="single" w:color="auto" w:sz="4" w:space="0"/>
            </w:tcBorders>
            <w:vAlign w:val="center"/>
          </w:tcPr>
          <w:p w14:paraId="257369A6">
            <w:pPr>
              <w:tabs>
                <w:tab w:val="left" w:pos="0"/>
                <w:tab w:val="left" w:pos="2324"/>
              </w:tabs>
              <w:adjustRightInd w:val="0"/>
              <w:spacing w:line="360" w:lineRule="exact"/>
              <w:jc w:val="center"/>
              <w:rPr>
                <w:rFonts w:ascii="宋体" w:hAnsi="宋体"/>
                <w:color w:val="auto"/>
                <w:sz w:val="24"/>
                <w:highlight w:val="none"/>
              </w:rPr>
            </w:pPr>
            <w:r>
              <w:rPr>
                <w:rFonts w:hint="eastAsia" w:ascii="宋体" w:hAnsi="宋体" w:eastAsia="宋体" w:cs="宋体"/>
                <w:color w:val="auto"/>
                <w:sz w:val="24"/>
                <w:highlight w:val="none"/>
              </w:rPr>
              <w:t>㎡</w:t>
            </w:r>
          </w:p>
        </w:tc>
        <w:tc>
          <w:tcPr>
            <w:tcW w:w="1133" w:type="dxa"/>
            <w:tcBorders>
              <w:top w:val="single" w:color="auto" w:sz="4" w:space="0"/>
              <w:left w:val="nil"/>
              <w:bottom w:val="single" w:color="auto" w:sz="4" w:space="0"/>
              <w:right w:val="single" w:color="auto" w:sz="4" w:space="0"/>
            </w:tcBorders>
            <w:vAlign w:val="center"/>
          </w:tcPr>
          <w:p w14:paraId="45923A09">
            <w:pPr>
              <w:tabs>
                <w:tab w:val="left" w:pos="0"/>
                <w:tab w:val="left" w:pos="2324"/>
              </w:tabs>
              <w:adjustRightInd w:val="0"/>
              <w:spacing w:line="360" w:lineRule="exact"/>
              <w:jc w:val="center"/>
              <w:rPr>
                <w:rFonts w:ascii="宋体" w:hAnsi="宋体"/>
                <w:color w:val="auto"/>
                <w:sz w:val="24"/>
                <w:highlight w:val="none"/>
              </w:rPr>
            </w:pPr>
            <w:r>
              <w:rPr>
                <w:rFonts w:hint="eastAsia" w:ascii="宋体" w:hAnsi="宋体"/>
                <w:color w:val="auto"/>
                <w:sz w:val="24"/>
                <w:highlight w:val="none"/>
                <w:lang w:val="en-US" w:eastAsia="zh-CN"/>
              </w:rPr>
              <w:t>1983</w:t>
            </w:r>
          </w:p>
        </w:tc>
        <w:tc>
          <w:tcPr>
            <w:tcW w:w="1135" w:type="dxa"/>
            <w:tcBorders>
              <w:top w:val="single" w:color="auto" w:sz="4" w:space="0"/>
              <w:left w:val="nil"/>
              <w:bottom w:val="single" w:color="auto" w:sz="4" w:space="0"/>
              <w:right w:val="single" w:color="auto" w:sz="4" w:space="0"/>
            </w:tcBorders>
            <w:vAlign w:val="center"/>
          </w:tcPr>
          <w:p w14:paraId="179CA56E">
            <w:pPr>
              <w:tabs>
                <w:tab w:val="left" w:pos="0"/>
                <w:tab w:val="left" w:pos="2324"/>
              </w:tabs>
              <w:adjustRightInd w:val="0"/>
              <w:spacing w:line="360" w:lineRule="exact"/>
              <w:jc w:val="center"/>
              <w:rPr>
                <w:rFonts w:ascii="宋体" w:hAnsi="宋体"/>
                <w:color w:val="auto"/>
                <w:sz w:val="24"/>
                <w:highlight w:val="none"/>
              </w:rPr>
            </w:pPr>
          </w:p>
        </w:tc>
        <w:tc>
          <w:tcPr>
            <w:tcW w:w="1276" w:type="dxa"/>
            <w:tcBorders>
              <w:top w:val="single" w:color="auto" w:sz="4" w:space="0"/>
              <w:left w:val="nil"/>
              <w:bottom w:val="single" w:color="auto" w:sz="4" w:space="0"/>
              <w:right w:val="single" w:color="auto" w:sz="4" w:space="0"/>
            </w:tcBorders>
            <w:vAlign w:val="center"/>
          </w:tcPr>
          <w:p w14:paraId="09ACDFD8">
            <w:pPr>
              <w:tabs>
                <w:tab w:val="left" w:pos="0"/>
                <w:tab w:val="left" w:pos="2324"/>
              </w:tabs>
              <w:adjustRightInd w:val="0"/>
              <w:spacing w:line="360" w:lineRule="exact"/>
              <w:jc w:val="center"/>
              <w:rPr>
                <w:rFonts w:ascii="方正仿宋_GBK" w:hAnsi="宋体" w:eastAsia="方正仿宋_GBK"/>
                <w:color w:val="auto"/>
                <w:sz w:val="22"/>
                <w:highlight w:val="none"/>
              </w:rPr>
            </w:pPr>
          </w:p>
        </w:tc>
        <w:tc>
          <w:tcPr>
            <w:tcW w:w="1559" w:type="dxa"/>
            <w:tcBorders>
              <w:top w:val="single" w:color="auto" w:sz="4" w:space="0"/>
              <w:left w:val="nil"/>
              <w:bottom w:val="single" w:color="auto" w:sz="4" w:space="0"/>
              <w:right w:val="single" w:color="auto" w:sz="4" w:space="0"/>
            </w:tcBorders>
            <w:vAlign w:val="center"/>
          </w:tcPr>
          <w:p w14:paraId="2A3432D7">
            <w:pPr>
              <w:tabs>
                <w:tab w:val="left" w:pos="0"/>
                <w:tab w:val="left" w:pos="2324"/>
              </w:tabs>
              <w:adjustRightInd w:val="0"/>
              <w:spacing w:line="360" w:lineRule="exact"/>
              <w:jc w:val="center"/>
              <w:rPr>
                <w:rFonts w:ascii="方正仿宋_GBK" w:hAnsi="宋体" w:eastAsia="方正仿宋_GBK"/>
                <w:color w:val="auto"/>
                <w:sz w:val="22"/>
                <w:highlight w:val="none"/>
              </w:rPr>
            </w:pPr>
          </w:p>
        </w:tc>
        <w:tc>
          <w:tcPr>
            <w:tcW w:w="1843" w:type="dxa"/>
            <w:tcBorders>
              <w:top w:val="single" w:color="auto" w:sz="4" w:space="0"/>
              <w:left w:val="nil"/>
              <w:bottom w:val="single" w:color="auto" w:sz="4" w:space="0"/>
              <w:right w:val="single" w:color="auto" w:sz="4" w:space="0"/>
            </w:tcBorders>
            <w:vAlign w:val="center"/>
          </w:tcPr>
          <w:p w14:paraId="6D580F51">
            <w:pPr>
              <w:tabs>
                <w:tab w:val="left" w:pos="0"/>
                <w:tab w:val="left" w:pos="2324"/>
              </w:tabs>
              <w:adjustRightInd w:val="0"/>
              <w:spacing w:line="360" w:lineRule="exact"/>
              <w:jc w:val="center"/>
              <w:rPr>
                <w:rFonts w:ascii="宋体" w:hAnsi="宋体"/>
                <w:color w:val="auto"/>
                <w:sz w:val="24"/>
                <w:highlight w:val="none"/>
              </w:rPr>
            </w:pPr>
            <w:r>
              <w:rPr>
                <w:rFonts w:hint="eastAsia" w:ascii="宋体" w:hAnsi="宋体"/>
                <w:color w:val="auto"/>
                <w:sz w:val="24"/>
                <w:highlight w:val="none"/>
                <w:lang w:val="en-US" w:eastAsia="zh-CN"/>
              </w:rPr>
              <w:t>材质厚度框1.2mm，扇0.8mm，中间为节能材料，外带边，颜色棕色，满足节能要求</w:t>
            </w:r>
          </w:p>
        </w:tc>
      </w:tr>
      <w:tr w14:paraId="3841A2B6">
        <w:tblPrEx>
          <w:tblCellMar>
            <w:top w:w="0" w:type="dxa"/>
            <w:left w:w="108" w:type="dxa"/>
            <w:bottom w:w="0" w:type="dxa"/>
            <w:right w:w="108" w:type="dxa"/>
          </w:tblCellMar>
        </w:tblPrEx>
        <w:trPr>
          <w:trHeight w:val="740" w:hRule="atLeast"/>
        </w:trPr>
        <w:tc>
          <w:tcPr>
            <w:tcW w:w="1435" w:type="dxa"/>
            <w:tcBorders>
              <w:top w:val="single" w:color="auto" w:sz="4" w:space="0"/>
              <w:left w:val="single" w:color="auto" w:sz="4" w:space="0"/>
              <w:bottom w:val="single" w:color="auto" w:sz="4" w:space="0"/>
              <w:right w:val="single" w:color="auto" w:sz="4" w:space="0"/>
            </w:tcBorders>
            <w:vAlign w:val="center"/>
          </w:tcPr>
          <w:p w14:paraId="754D4C12">
            <w:pPr>
              <w:tabs>
                <w:tab w:val="left" w:pos="0"/>
                <w:tab w:val="left" w:pos="2324"/>
              </w:tabs>
              <w:adjustRightInd w:val="0"/>
              <w:spacing w:line="360" w:lineRule="exact"/>
              <w:jc w:val="center"/>
              <w:rPr>
                <w:rFonts w:ascii="方正仿宋_GBK" w:hAnsi="宋体" w:eastAsia="方正仿宋_GBK"/>
                <w:color w:val="auto"/>
                <w:sz w:val="22"/>
                <w:highlight w:val="none"/>
              </w:rPr>
            </w:pPr>
            <w:r>
              <w:rPr>
                <w:rFonts w:hint="eastAsia" w:ascii="方正仿宋_GBK" w:hAnsi="宋体" w:eastAsia="方正仿宋_GBK"/>
                <w:color w:val="auto"/>
                <w:sz w:val="22"/>
                <w:highlight w:val="none"/>
              </w:rPr>
              <w:t>总计</w:t>
            </w:r>
          </w:p>
        </w:tc>
        <w:tc>
          <w:tcPr>
            <w:tcW w:w="1134" w:type="dxa"/>
            <w:tcBorders>
              <w:top w:val="single" w:color="auto" w:sz="4" w:space="0"/>
              <w:left w:val="nil"/>
              <w:bottom w:val="single" w:color="auto" w:sz="4" w:space="0"/>
              <w:right w:val="single" w:color="auto" w:sz="4" w:space="0"/>
            </w:tcBorders>
            <w:vAlign w:val="center"/>
          </w:tcPr>
          <w:p w14:paraId="7F75D24F">
            <w:pPr>
              <w:tabs>
                <w:tab w:val="left" w:pos="0"/>
                <w:tab w:val="left" w:pos="2324"/>
              </w:tabs>
              <w:adjustRightInd w:val="0"/>
              <w:spacing w:line="360" w:lineRule="exact"/>
              <w:jc w:val="center"/>
              <w:rPr>
                <w:rFonts w:ascii="方正仿宋_GBK" w:hAnsi="宋体" w:eastAsia="方正仿宋_GBK"/>
                <w:color w:val="auto"/>
                <w:sz w:val="22"/>
                <w:highlight w:val="none"/>
              </w:rPr>
            </w:pPr>
          </w:p>
        </w:tc>
        <w:tc>
          <w:tcPr>
            <w:tcW w:w="1133" w:type="dxa"/>
            <w:tcBorders>
              <w:top w:val="single" w:color="auto" w:sz="4" w:space="0"/>
              <w:left w:val="nil"/>
              <w:bottom w:val="single" w:color="auto" w:sz="4" w:space="0"/>
              <w:right w:val="single" w:color="auto" w:sz="4" w:space="0"/>
            </w:tcBorders>
            <w:vAlign w:val="center"/>
          </w:tcPr>
          <w:p w14:paraId="5A9901D6">
            <w:pPr>
              <w:tabs>
                <w:tab w:val="left" w:pos="0"/>
                <w:tab w:val="left" w:pos="2324"/>
              </w:tabs>
              <w:adjustRightInd w:val="0"/>
              <w:spacing w:line="360" w:lineRule="exact"/>
              <w:jc w:val="center"/>
              <w:rPr>
                <w:rFonts w:ascii="方正仿宋_GBK" w:hAnsi="宋体" w:eastAsia="方正仿宋_GBK"/>
                <w:color w:val="auto"/>
                <w:sz w:val="22"/>
                <w:highlight w:val="none"/>
              </w:rPr>
            </w:pPr>
          </w:p>
        </w:tc>
        <w:tc>
          <w:tcPr>
            <w:tcW w:w="1135" w:type="dxa"/>
            <w:tcBorders>
              <w:top w:val="single" w:color="auto" w:sz="4" w:space="0"/>
              <w:left w:val="nil"/>
              <w:bottom w:val="single" w:color="auto" w:sz="4" w:space="0"/>
              <w:right w:val="single" w:color="auto" w:sz="4" w:space="0"/>
            </w:tcBorders>
            <w:vAlign w:val="center"/>
          </w:tcPr>
          <w:p w14:paraId="18518E85">
            <w:pPr>
              <w:tabs>
                <w:tab w:val="left" w:pos="0"/>
                <w:tab w:val="left" w:pos="2324"/>
              </w:tabs>
              <w:adjustRightInd w:val="0"/>
              <w:spacing w:line="360" w:lineRule="exact"/>
              <w:jc w:val="center"/>
              <w:rPr>
                <w:rFonts w:ascii="方正仿宋_GBK" w:hAnsi="宋体" w:eastAsia="方正仿宋_GBK"/>
                <w:color w:val="auto"/>
                <w:sz w:val="22"/>
                <w:highlight w:val="none"/>
              </w:rPr>
            </w:pPr>
          </w:p>
        </w:tc>
        <w:tc>
          <w:tcPr>
            <w:tcW w:w="1276" w:type="dxa"/>
            <w:tcBorders>
              <w:top w:val="single" w:color="auto" w:sz="4" w:space="0"/>
              <w:left w:val="nil"/>
              <w:bottom w:val="single" w:color="auto" w:sz="4" w:space="0"/>
              <w:right w:val="single" w:color="auto" w:sz="4" w:space="0"/>
            </w:tcBorders>
            <w:vAlign w:val="center"/>
          </w:tcPr>
          <w:p w14:paraId="45D0747D">
            <w:pPr>
              <w:tabs>
                <w:tab w:val="left" w:pos="0"/>
                <w:tab w:val="left" w:pos="2324"/>
              </w:tabs>
              <w:adjustRightInd w:val="0"/>
              <w:spacing w:line="360" w:lineRule="exact"/>
              <w:jc w:val="center"/>
              <w:rPr>
                <w:rFonts w:ascii="方正仿宋_GBK" w:hAnsi="宋体" w:eastAsia="方正仿宋_GBK"/>
                <w:color w:val="auto"/>
                <w:sz w:val="22"/>
                <w:highlight w:val="none"/>
              </w:rPr>
            </w:pPr>
          </w:p>
        </w:tc>
        <w:tc>
          <w:tcPr>
            <w:tcW w:w="1559" w:type="dxa"/>
            <w:tcBorders>
              <w:top w:val="single" w:color="auto" w:sz="4" w:space="0"/>
              <w:left w:val="nil"/>
              <w:bottom w:val="single" w:color="auto" w:sz="4" w:space="0"/>
              <w:right w:val="single" w:color="auto" w:sz="4" w:space="0"/>
            </w:tcBorders>
            <w:vAlign w:val="center"/>
          </w:tcPr>
          <w:p w14:paraId="45D83241">
            <w:pPr>
              <w:tabs>
                <w:tab w:val="left" w:pos="0"/>
                <w:tab w:val="left" w:pos="2324"/>
              </w:tabs>
              <w:adjustRightInd w:val="0"/>
              <w:spacing w:line="360" w:lineRule="exact"/>
              <w:jc w:val="center"/>
              <w:rPr>
                <w:rFonts w:ascii="方正仿宋_GBK" w:hAnsi="宋体" w:eastAsia="方正仿宋_GBK"/>
                <w:color w:val="auto"/>
                <w:sz w:val="22"/>
                <w:highlight w:val="none"/>
              </w:rPr>
            </w:pPr>
          </w:p>
        </w:tc>
        <w:tc>
          <w:tcPr>
            <w:tcW w:w="1843" w:type="dxa"/>
            <w:tcBorders>
              <w:top w:val="single" w:color="auto" w:sz="4" w:space="0"/>
              <w:bottom w:val="single" w:color="auto" w:sz="4" w:space="0"/>
              <w:right w:val="single" w:color="auto" w:sz="4" w:space="0"/>
            </w:tcBorders>
            <w:vAlign w:val="center"/>
          </w:tcPr>
          <w:p w14:paraId="6A1D8EB1">
            <w:pPr>
              <w:tabs>
                <w:tab w:val="left" w:pos="0"/>
                <w:tab w:val="left" w:pos="2324"/>
              </w:tabs>
              <w:adjustRightInd w:val="0"/>
              <w:spacing w:line="360" w:lineRule="exact"/>
              <w:jc w:val="center"/>
              <w:rPr>
                <w:rFonts w:ascii="方正仿宋_GBK" w:hAnsi="宋体" w:eastAsia="方正仿宋_GBK"/>
                <w:color w:val="auto"/>
                <w:sz w:val="22"/>
                <w:highlight w:val="none"/>
              </w:rPr>
            </w:pPr>
          </w:p>
        </w:tc>
      </w:tr>
      <w:tr w14:paraId="51E9DFF5">
        <w:tblPrEx>
          <w:tblCellMar>
            <w:top w:w="0" w:type="dxa"/>
            <w:left w:w="108" w:type="dxa"/>
            <w:bottom w:w="0" w:type="dxa"/>
            <w:right w:w="108" w:type="dxa"/>
          </w:tblCellMar>
        </w:tblPrEx>
        <w:trPr>
          <w:trHeight w:val="548" w:hRule="atLeast"/>
        </w:trPr>
        <w:tc>
          <w:tcPr>
            <w:tcW w:w="1435" w:type="dxa"/>
            <w:tcBorders>
              <w:top w:val="single" w:color="auto" w:sz="4" w:space="0"/>
              <w:left w:val="single" w:color="auto" w:sz="4" w:space="0"/>
              <w:bottom w:val="single" w:color="auto" w:sz="4" w:space="0"/>
              <w:right w:val="single" w:color="auto" w:sz="4" w:space="0"/>
            </w:tcBorders>
            <w:vAlign w:val="center"/>
          </w:tcPr>
          <w:p w14:paraId="1E54DFE9">
            <w:pPr>
              <w:tabs>
                <w:tab w:val="left" w:pos="0"/>
                <w:tab w:val="left" w:pos="2324"/>
              </w:tabs>
              <w:adjustRightInd w:val="0"/>
              <w:spacing w:line="360" w:lineRule="exact"/>
              <w:jc w:val="center"/>
              <w:rPr>
                <w:rFonts w:ascii="方正仿宋_GBK" w:hAnsi="宋体" w:eastAsia="方正仿宋_GBK"/>
                <w:color w:val="auto"/>
                <w:sz w:val="22"/>
                <w:highlight w:val="none"/>
              </w:rPr>
            </w:pPr>
            <w:r>
              <w:rPr>
                <w:rFonts w:hint="eastAsia" w:ascii="方正仿宋_GBK" w:hAnsi="宋体" w:eastAsia="方正仿宋_GBK"/>
                <w:color w:val="auto"/>
                <w:sz w:val="22"/>
                <w:highlight w:val="none"/>
              </w:rPr>
              <w:t>大写（人民币）</w:t>
            </w:r>
          </w:p>
        </w:tc>
        <w:tc>
          <w:tcPr>
            <w:tcW w:w="8080" w:type="dxa"/>
            <w:gridSpan w:val="6"/>
            <w:tcBorders>
              <w:top w:val="single" w:color="auto" w:sz="4" w:space="0"/>
              <w:bottom w:val="single" w:color="auto" w:sz="4" w:space="0"/>
              <w:right w:val="single" w:color="auto" w:sz="4" w:space="0"/>
            </w:tcBorders>
            <w:vAlign w:val="center"/>
          </w:tcPr>
          <w:p w14:paraId="65FA3CAD">
            <w:pPr>
              <w:tabs>
                <w:tab w:val="left" w:pos="0"/>
                <w:tab w:val="left" w:pos="2324"/>
              </w:tabs>
              <w:adjustRightInd w:val="0"/>
              <w:spacing w:line="360" w:lineRule="exact"/>
              <w:jc w:val="center"/>
              <w:rPr>
                <w:rFonts w:ascii="方正仿宋_GBK" w:hAnsi="宋体" w:eastAsia="方正仿宋_GBK"/>
                <w:color w:val="auto"/>
                <w:sz w:val="22"/>
                <w:highlight w:val="none"/>
              </w:rPr>
            </w:pPr>
          </w:p>
        </w:tc>
      </w:tr>
    </w:tbl>
    <w:p w14:paraId="730AC3A4">
      <w:pPr>
        <w:tabs>
          <w:tab w:val="left" w:pos="0"/>
        </w:tabs>
        <w:adjustRightInd w:val="0"/>
        <w:spacing w:line="560" w:lineRule="exact"/>
        <w:ind w:firstLine="548" w:firstLineChars="196"/>
        <w:outlineLvl w:val="0"/>
        <w:rPr>
          <w:rFonts w:ascii="方正仿宋_GBK" w:eastAsia="方正仿宋_GBK"/>
          <w:color w:val="auto"/>
          <w:sz w:val="28"/>
          <w:highlight w:val="none"/>
        </w:rPr>
      </w:pPr>
      <w:bookmarkStart w:id="38" w:name="_Toc130893334"/>
      <w:bookmarkStart w:id="39" w:name="_Toc130893039"/>
      <w:r>
        <w:rPr>
          <w:rFonts w:hint="eastAsia" w:ascii="方正仿宋_GBK" w:hAnsi="宋体" w:eastAsia="方正仿宋_GBK"/>
          <w:color w:val="auto"/>
          <w:sz w:val="28"/>
          <w:szCs w:val="28"/>
          <w:highlight w:val="none"/>
        </w:rPr>
        <w:t>1、合同价为固定价，无论工程量发生增减变化，合同单价不作调整。供方</w:t>
      </w:r>
      <w:r>
        <w:rPr>
          <w:rFonts w:hint="eastAsia" w:ascii="方正仿宋_GBK" w:eastAsia="方正仿宋_GBK"/>
          <w:color w:val="auto"/>
          <w:sz w:val="28"/>
          <w:szCs w:val="24"/>
          <w:highlight w:val="none"/>
        </w:rPr>
        <w:t>不能因为量的增加或减少提出任何异议</w:t>
      </w:r>
      <w:r>
        <w:rPr>
          <w:rFonts w:hint="eastAsia" w:ascii="方正仿宋_GBK" w:eastAsia="方正仿宋_GBK"/>
          <w:color w:val="auto"/>
          <w:sz w:val="28"/>
          <w:highlight w:val="none"/>
        </w:rPr>
        <w:t>。</w:t>
      </w:r>
      <w:bookmarkEnd w:id="38"/>
      <w:bookmarkEnd w:id="39"/>
    </w:p>
    <w:p w14:paraId="4E9C1261">
      <w:pPr>
        <w:tabs>
          <w:tab w:val="left" w:pos="5250"/>
        </w:tabs>
        <w:spacing w:line="480" w:lineRule="exact"/>
        <w:ind w:firstLine="560" w:firstLineChars="200"/>
        <w:rPr>
          <w:rFonts w:ascii="方正仿宋_GBK" w:eastAsia="方正仿宋_GBK"/>
          <w:color w:val="auto"/>
          <w:sz w:val="28"/>
          <w:szCs w:val="24"/>
          <w:highlight w:val="none"/>
        </w:rPr>
      </w:pPr>
      <w:r>
        <w:rPr>
          <w:rFonts w:hint="eastAsia" w:ascii="方正仿宋_GBK" w:eastAsia="方正仿宋_GBK"/>
          <w:color w:val="auto"/>
          <w:sz w:val="28"/>
          <w:szCs w:val="24"/>
          <w:highlight w:val="none"/>
        </w:rPr>
        <w:t>2、合同价格含人工费、安装费、材料费、辅材费、水泥砂浆灌浆费、产品运输费、机械费、税金及五金件、装卸费、安装过程中的第二次转运费等所用费用。</w:t>
      </w:r>
    </w:p>
    <w:p w14:paraId="6005A7D9">
      <w:pPr>
        <w:tabs>
          <w:tab w:val="left" w:pos="0"/>
        </w:tabs>
        <w:adjustRightInd w:val="0"/>
        <w:spacing w:line="480" w:lineRule="exact"/>
        <w:ind w:firstLine="560" w:firstLineChars="200"/>
        <w:rPr>
          <w:rFonts w:ascii="方正仿宋_GBK" w:hAnsi="宋体" w:eastAsia="方正仿宋_GBK"/>
          <w:b/>
          <w:color w:val="auto"/>
          <w:sz w:val="28"/>
          <w:szCs w:val="28"/>
          <w:highlight w:val="none"/>
        </w:rPr>
      </w:pPr>
      <w:r>
        <w:rPr>
          <w:rFonts w:hint="eastAsia" w:ascii="方正仿宋_GBK" w:hAnsi="宋体" w:eastAsia="方正仿宋_GBK"/>
          <w:color w:val="auto"/>
          <w:sz w:val="28"/>
          <w:szCs w:val="28"/>
          <w:highlight w:val="none"/>
        </w:rPr>
        <w:t>3、</w:t>
      </w:r>
      <w:r>
        <w:rPr>
          <w:rFonts w:hint="eastAsia" w:ascii="方正仿宋_GBK" w:hAnsi="宋体" w:eastAsia="方正仿宋_GBK"/>
          <w:b/>
          <w:color w:val="auto"/>
          <w:sz w:val="28"/>
          <w:szCs w:val="28"/>
          <w:highlight w:val="none"/>
        </w:rPr>
        <w:t>特别提示：乙方按照样板门的品质、颜色等要求供货，在定制所有门之前应先同施工现场人员进行技术交底后再定制。如定制前乙方未与现场人员进行技术交底沟通，定制的门出现各方面的差错由乙方自行负责。</w:t>
      </w:r>
    </w:p>
    <w:p w14:paraId="270932FA">
      <w:pPr>
        <w:tabs>
          <w:tab w:val="left" w:pos="0"/>
        </w:tabs>
        <w:adjustRightInd w:val="0"/>
        <w:spacing w:line="480" w:lineRule="exact"/>
        <w:ind w:firstLine="551" w:firstLineChars="196"/>
        <w:outlineLvl w:val="0"/>
        <w:rPr>
          <w:rFonts w:ascii="方正仿宋_GBK" w:hAnsi="黑体" w:eastAsia="方正仿宋_GBK"/>
          <w:b/>
          <w:color w:val="auto"/>
          <w:sz w:val="28"/>
          <w:highlight w:val="none"/>
        </w:rPr>
      </w:pPr>
      <w:bookmarkStart w:id="40" w:name="_Toc130893040"/>
      <w:bookmarkStart w:id="41" w:name="_Toc130893335"/>
      <w:r>
        <w:rPr>
          <w:rFonts w:hint="eastAsia" w:ascii="方正仿宋_GBK" w:hAnsi="黑体" w:eastAsia="方正仿宋_GBK"/>
          <w:b/>
          <w:color w:val="auto"/>
          <w:sz w:val="28"/>
          <w:highlight w:val="none"/>
        </w:rPr>
        <w:t>三、质量标准及品质要求</w:t>
      </w:r>
      <w:bookmarkEnd w:id="40"/>
      <w:bookmarkEnd w:id="41"/>
    </w:p>
    <w:p w14:paraId="1E801FC7">
      <w:pPr>
        <w:tabs>
          <w:tab w:val="left" w:pos="0"/>
          <w:tab w:val="left" w:pos="2324"/>
        </w:tabs>
        <w:adjustRightInd w:val="0"/>
        <w:spacing w:line="520" w:lineRule="exact"/>
        <w:ind w:firstLine="719" w:firstLineChars="257"/>
        <w:rPr>
          <w:rFonts w:ascii="方正仿宋_GBK" w:eastAsia="方正仿宋_GBK"/>
          <w:color w:val="auto"/>
          <w:sz w:val="28"/>
          <w:szCs w:val="24"/>
          <w:highlight w:val="none"/>
        </w:rPr>
      </w:pPr>
      <w:bookmarkStart w:id="42" w:name="_Toc130893041"/>
      <w:bookmarkStart w:id="43" w:name="_Toc130893336"/>
      <w:r>
        <w:rPr>
          <w:rFonts w:hint="eastAsia" w:ascii="方正仿宋_GBK" w:hAnsi="宋体" w:eastAsia="方正仿宋_GBK"/>
          <w:color w:val="auto"/>
          <w:sz w:val="28"/>
          <w:szCs w:val="28"/>
          <w:highlight w:val="none"/>
        </w:rPr>
        <w:t>1、防火门符合国标12J609</w:t>
      </w:r>
      <w:r>
        <w:rPr>
          <w:rFonts w:hint="eastAsia" w:ascii="方正仿宋_GBK" w:hAnsi="宋体" w:eastAsia="方正仿宋_GBK"/>
          <w:color w:val="auto"/>
          <w:sz w:val="28"/>
          <w:szCs w:val="28"/>
          <w:highlight w:val="none"/>
          <w:lang w:eastAsia="zh-CN"/>
        </w:rPr>
        <w:t>、</w:t>
      </w:r>
      <w:r>
        <w:rPr>
          <w:rFonts w:hint="eastAsia" w:ascii="方正仿宋_GBK" w:hAnsi="宋体" w:eastAsia="方正仿宋_GBK"/>
          <w:color w:val="auto"/>
          <w:sz w:val="28"/>
          <w:szCs w:val="28"/>
          <w:highlight w:val="none"/>
          <w:lang w:val="en-US" w:eastAsia="zh-CN"/>
        </w:rPr>
        <w:t>GB12955</w:t>
      </w:r>
      <w:r>
        <w:rPr>
          <w:rFonts w:hint="eastAsia" w:ascii="方正仿宋_GBK" w:hAnsi="宋体" w:eastAsia="方正仿宋_GBK"/>
          <w:color w:val="auto"/>
          <w:sz w:val="28"/>
          <w:szCs w:val="28"/>
          <w:highlight w:val="none"/>
        </w:rPr>
        <w:t>质量标准。主要填充</w:t>
      </w:r>
      <w:r>
        <w:rPr>
          <w:rFonts w:hint="eastAsia" w:ascii="方正仿宋_GBK" w:eastAsia="方正仿宋_GBK"/>
          <w:color w:val="auto"/>
          <w:sz w:val="28"/>
          <w:szCs w:val="24"/>
          <w:highlight w:val="none"/>
        </w:rPr>
        <w:t>为无机防火材料，防火锁、防火合页、防火闭门装置、插销等附件应与防火门使用功能协调一致，有效证明符合国家相关标准的规定。</w:t>
      </w:r>
    </w:p>
    <w:p w14:paraId="0109A479">
      <w:pPr>
        <w:tabs>
          <w:tab w:val="left" w:pos="0"/>
          <w:tab w:val="left" w:pos="2324"/>
        </w:tabs>
        <w:adjustRightInd w:val="0"/>
        <w:spacing w:line="520" w:lineRule="exact"/>
        <w:ind w:firstLine="719" w:firstLineChars="257"/>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2、产品具有技术监督部门出具的产品质量检测报告，产品合格证。</w:t>
      </w:r>
    </w:p>
    <w:p w14:paraId="15A72F3B">
      <w:pPr>
        <w:tabs>
          <w:tab w:val="left" w:pos="0"/>
          <w:tab w:val="left" w:pos="2324"/>
        </w:tabs>
        <w:adjustRightInd w:val="0"/>
        <w:spacing w:line="520" w:lineRule="exact"/>
        <w:ind w:firstLine="719" w:firstLineChars="257"/>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3、防火门安装好后门框外的后塞抹灰由采购方负责，产品自身需灌浆填充的由中选单位负责。</w:t>
      </w:r>
    </w:p>
    <w:p w14:paraId="6072DF8D">
      <w:pPr>
        <w:tabs>
          <w:tab w:val="left" w:pos="0"/>
          <w:tab w:val="left" w:pos="2324"/>
        </w:tabs>
        <w:adjustRightInd w:val="0"/>
        <w:spacing w:line="520" w:lineRule="exact"/>
        <w:ind w:firstLine="719" w:firstLineChars="257"/>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lang w:val="en-US" w:eastAsia="zh-CN"/>
        </w:rPr>
        <w:t>4</w:t>
      </w:r>
      <w:r>
        <w:rPr>
          <w:rFonts w:hint="eastAsia" w:ascii="方正仿宋_GBK" w:hAnsi="宋体" w:eastAsia="方正仿宋_GBK"/>
          <w:color w:val="auto"/>
          <w:sz w:val="28"/>
          <w:szCs w:val="28"/>
          <w:highlight w:val="none"/>
        </w:rPr>
        <w:t xml:space="preserve">、安装尺寸型号：具体根据施工现场实际测量尺寸制作安装。 </w:t>
      </w:r>
    </w:p>
    <w:p w14:paraId="7038D6BD">
      <w:pPr>
        <w:tabs>
          <w:tab w:val="left" w:pos="0"/>
          <w:tab w:val="left" w:pos="2324"/>
        </w:tabs>
        <w:adjustRightInd w:val="0"/>
        <w:spacing w:line="520" w:lineRule="exact"/>
        <w:ind w:firstLine="719" w:firstLineChars="257"/>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lang w:val="en-US" w:eastAsia="zh-CN"/>
        </w:rPr>
        <w:t>5</w:t>
      </w:r>
      <w:r>
        <w:rPr>
          <w:rFonts w:hint="eastAsia" w:ascii="方正仿宋_GBK" w:hAnsi="宋体" w:eastAsia="方正仿宋_GBK"/>
          <w:color w:val="auto"/>
          <w:sz w:val="28"/>
          <w:szCs w:val="28"/>
          <w:highlight w:val="none"/>
        </w:rPr>
        <w:t>、防火门颜色、夹板门、套装门款式在签订合同后</w:t>
      </w:r>
      <w:r>
        <w:rPr>
          <w:rFonts w:hint="eastAsia" w:ascii="方正仿宋_GBK" w:hAnsi="宋体" w:eastAsia="方正仿宋_GBK"/>
          <w:color w:val="auto"/>
          <w:sz w:val="28"/>
          <w:szCs w:val="28"/>
          <w:highlight w:val="none"/>
          <w:lang w:eastAsia="zh-CN"/>
        </w:rPr>
        <w:t>由中</w:t>
      </w:r>
      <w:r>
        <w:rPr>
          <w:rFonts w:hint="eastAsia" w:ascii="方正仿宋_GBK" w:hAnsi="宋体" w:eastAsia="方正仿宋_GBK"/>
          <w:color w:val="auto"/>
          <w:sz w:val="28"/>
          <w:szCs w:val="28"/>
          <w:highlight w:val="none"/>
        </w:rPr>
        <w:t>选单位与采购方施工现场相关人员确定后再下单批量生产。</w:t>
      </w:r>
    </w:p>
    <w:p w14:paraId="2AADD4A1">
      <w:pPr>
        <w:tabs>
          <w:tab w:val="left" w:pos="0"/>
        </w:tabs>
        <w:adjustRightInd w:val="0"/>
        <w:spacing w:line="520" w:lineRule="exact"/>
        <w:ind w:firstLine="551" w:firstLineChars="196"/>
        <w:outlineLvl w:val="0"/>
        <w:rPr>
          <w:rFonts w:ascii="方正仿宋_GBK" w:hAnsi="黑体" w:eastAsia="方正仿宋_GBK"/>
          <w:b/>
          <w:color w:val="auto"/>
          <w:sz w:val="28"/>
          <w:highlight w:val="none"/>
        </w:rPr>
      </w:pPr>
      <w:r>
        <w:rPr>
          <w:rFonts w:hint="eastAsia" w:ascii="方正仿宋_GBK" w:hAnsi="黑体" w:eastAsia="方正仿宋_GBK"/>
          <w:b/>
          <w:color w:val="auto"/>
          <w:sz w:val="28"/>
          <w:highlight w:val="none"/>
          <w:lang w:val="en-US" w:eastAsia="zh-CN"/>
        </w:rPr>
        <w:t>四、</w:t>
      </w:r>
      <w:r>
        <w:rPr>
          <w:rFonts w:hint="eastAsia" w:ascii="方正仿宋_GBK" w:hAnsi="黑体" w:eastAsia="方正仿宋_GBK"/>
          <w:b/>
          <w:color w:val="auto"/>
          <w:sz w:val="28"/>
          <w:highlight w:val="none"/>
        </w:rPr>
        <w:t>技术参数要求</w:t>
      </w:r>
    </w:p>
    <w:p w14:paraId="4FC0E141">
      <w:pPr>
        <w:tabs>
          <w:tab w:val="left" w:pos="0"/>
          <w:tab w:val="left" w:pos="2324"/>
        </w:tabs>
        <w:adjustRightInd w:val="0"/>
        <w:spacing w:line="520" w:lineRule="exact"/>
        <w:ind w:firstLine="719" w:firstLineChars="257"/>
        <w:rPr>
          <w:rFonts w:hint="default" w:ascii="方正仿宋_GBK" w:hAnsi="宋体" w:eastAsia="方正仿宋_GBK"/>
          <w:color w:val="auto"/>
          <w:sz w:val="28"/>
          <w:szCs w:val="28"/>
          <w:highlight w:val="none"/>
          <w:lang w:val="en-US" w:eastAsia="zh-CN"/>
        </w:rPr>
      </w:pPr>
      <w:r>
        <w:rPr>
          <w:rFonts w:hint="eastAsia" w:ascii="方正仿宋_GBK" w:hAnsi="宋体" w:eastAsia="方正仿宋_GBK"/>
          <w:color w:val="auto"/>
          <w:sz w:val="28"/>
          <w:szCs w:val="28"/>
          <w:highlight w:val="none"/>
        </w:rPr>
        <w:t>1、</w:t>
      </w:r>
      <w:r>
        <w:rPr>
          <w:rFonts w:hint="eastAsia" w:ascii="方正仿宋_GBK" w:hAnsi="宋体" w:eastAsia="方正仿宋_GBK"/>
          <w:color w:val="auto"/>
          <w:sz w:val="28"/>
          <w:szCs w:val="28"/>
          <w:highlight w:val="none"/>
          <w:lang w:val="en-US" w:eastAsia="zh-CN"/>
        </w:rPr>
        <w:t>成品木门扇（</w:t>
      </w:r>
      <w:r>
        <w:rPr>
          <w:rFonts w:hint="eastAsia" w:ascii="方正仿宋_GBK" w:hAnsi="宋体" w:eastAsia="方正仿宋_GBK"/>
          <w:color w:val="auto"/>
          <w:sz w:val="28"/>
          <w:szCs w:val="28"/>
          <w:highlight w:val="none"/>
        </w:rPr>
        <w:t>套装</w:t>
      </w:r>
      <w:r>
        <w:rPr>
          <w:rFonts w:hint="eastAsia" w:ascii="方正仿宋_GBK" w:hAnsi="宋体" w:eastAsia="方正仿宋_GBK"/>
          <w:color w:val="auto"/>
          <w:sz w:val="28"/>
          <w:szCs w:val="28"/>
          <w:highlight w:val="none"/>
          <w:lang w:val="en-US" w:eastAsia="zh-CN"/>
        </w:rPr>
        <w:t>）</w:t>
      </w:r>
      <w:r>
        <w:rPr>
          <w:rFonts w:hint="eastAsia" w:ascii="方正仿宋_GBK" w:hAnsi="宋体" w:eastAsia="方正仿宋_GBK"/>
          <w:color w:val="auto"/>
          <w:sz w:val="28"/>
          <w:szCs w:val="28"/>
          <w:highlight w:val="none"/>
        </w:rPr>
        <w:t>：门扇厚度43mm，门框厚度3</w:t>
      </w:r>
      <w:r>
        <w:rPr>
          <w:rFonts w:hint="eastAsia" w:ascii="方正仿宋_GBK" w:hAnsi="宋体" w:eastAsia="方正仿宋_GBK"/>
          <w:color w:val="auto"/>
          <w:sz w:val="28"/>
          <w:szCs w:val="28"/>
          <w:highlight w:val="none"/>
          <w:lang w:val="en-US" w:eastAsia="zh-CN"/>
        </w:rPr>
        <w:t>0</w:t>
      </w:r>
      <w:r>
        <w:rPr>
          <w:rFonts w:hint="eastAsia" w:ascii="方正仿宋_GBK" w:hAnsi="宋体" w:eastAsia="方正仿宋_GBK"/>
          <w:color w:val="auto"/>
          <w:sz w:val="28"/>
          <w:szCs w:val="28"/>
          <w:highlight w:val="none"/>
        </w:rPr>
        <w:t>mm，饰面为</w:t>
      </w:r>
      <w:r>
        <w:rPr>
          <w:rFonts w:hint="eastAsia" w:ascii="方正仿宋_GBK" w:hAnsi="宋体" w:eastAsia="方正仿宋_GBK"/>
          <w:color w:val="auto"/>
          <w:sz w:val="28"/>
          <w:szCs w:val="28"/>
          <w:highlight w:val="none"/>
          <w:lang w:val="en-US" w:eastAsia="zh-CN"/>
        </w:rPr>
        <w:t>4</w:t>
      </w:r>
      <w:r>
        <w:rPr>
          <w:rFonts w:hint="eastAsia" w:ascii="方正仿宋_GBK" w:hAnsi="宋体" w:eastAsia="方正仿宋_GBK"/>
          <w:color w:val="auto"/>
          <w:sz w:val="28"/>
          <w:szCs w:val="28"/>
          <w:highlight w:val="none"/>
        </w:rPr>
        <w:t>mm高密度免漆板，四周木方做框架，内部80%木方填充，门套线为</w:t>
      </w:r>
      <w:r>
        <w:rPr>
          <w:rFonts w:hint="eastAsia" w:ascii="方正仿宋_GBK" w:hAnsi="宋体" w:eastAsia="方正仿宋_GBK"/>
          <w:color w:val="auto"/>
          <w:sz w:val="28"/>
          <w:szCs w:val="28"/>
          <w:highlight w:val="none"/>
          <w:lang w:val="en-US" w:eastAsia="zh-CN"/>
        </w:rPr>
        <w:t>57</w:t>
      </w:r>
      <w:r>
        <w:rPr>
          <w:rFonts w:hint="eastAsia" w:ascii="方正仿宋_GBK" w:hAnsi="宋体" w:eastAsia="方正仿宋_GBK"/>
          <w:color w:val="auto"/>
          <w:sz w:val="28"/>
          <w:szCs w:val="28"/>
          <w:highlight w:val="none"/>
        </w:rPr>
        <w:t>mm宽复合实木线条。</w:t>
      </w:r>
      <w:r>
        <w:rPr>
          <w:rFonts w:hint="eastAsia" w:ascii="方正仿宋_GBK" w:hAnsi="宋体" w:eastAsia="方正仿宋_GBK"/>
          <w:color w:val="auto"/>
          <w:sz w:val="28"/>
          <w:szCs w:val="28"/>
          <w:highlight w:val="none"/>
          <w:lang w:val="en-US" w:eastAsia="zh-CN"/>
        </w:rPr>
        <w:t>观察窗改为200mm*400mm，参照现场样板。</w:t>
      </w:r>
    </w:p>
    <w:p w14:paraId="53B15E53">
      <w:pPr>
        <w:tabs>
          <w:tab w:val="left" w:pos="0"/>
          <w:tab w:val="left" w:pos="2324"/>
        </w:tabs>
        <w:adjustRightInd w:val="0"/>
        <w:spacing w:line="520" w:lineRule="exact"/>
        <w:ind w:firstLine="719" w:firstLineChars="257"/>
        <w:rPr>
          <w:rFonts w:hint="default" w:ascii="方正仿宋_GBK" w:hAnsi="宋体" w:eastAsia="方正仿宋_GBK"/>
          <w:color w:val="auto"/>
          <w:sz w:val="28"/>
          <w:szCs w:val="28"/>
          <w:highlight w:val="none"/>
          <w:lang w:val="en-US" w:eastAsia="zh-CN"/>
        </w:rPr>
      </w:pPr>
      <w:r>
        <w:rPr>
          <w:rFonts w:hint="eastAsia" w:ascii="方正仿宋_GBK" w:hAnsi="宋体" w:eastAsia="方正仿宋_GBK"/>
          <w:color w:val="auto"/>
          <w:sz w:val="28"/>
          <w:szCs w:val="28"/>
          <w:highlight w:val="none"/>
          <w:lang w:val="en-US" w:eastAsia="zh-CN"/>
        </w:rPr>
        <w:t>2</w:t>
      </w:r>
      <w:r>
        <w:rPr>
          <w:rFonts w:hint="eastAsia" w:ascii="方正仿宋_GBK" w:hAnsi="宋体" w:eastAsia="方正仿宋_GBK"/>
          <w:color w:val="auto"/>
          <w:sz w:val="28"/>
          <w:szCs w:val="28"/>
          <w:highlight w:val="none"/>
        </w:rPr>
        <w:t>、</w:t>
      </w:r>
      <w:r>
        <w:rPr>
          <w:rFonts w:hint="eastAsia" w:ascii="方正仿宋_GBK" w:hAnsi="宋体" w:eastAsia="方正仿宋_GBK"/>
          <w:color w:val="auto"/>
          <w:sz w:val="28"/>
          <w:szCs w:val="28"/>
          <w:highlight w:val="none"/>
          <w:lang w:val="en-US" w:eastAsia="zh-CN"/>
        </w:rPr>
        <w:t>甲</w:t>
      </w:r>
      <w:r>
        <w:rPr>
          <w:rFonts w:hint="eastAsia" w:ascii="方正仿宋_GBK" w:hAnsi="宋体" w:eastAsia="方正仿宋_GBK"/>
          <w:color w:val="auto"/>
          <w:sz w:val="28"/>
          <w:szCs w:val="28"/>
          <w:highlight w:val="none"/>
        </w:rPr>
        <w:t>级木质防火门：门扇门框面板为3mm柳桉三夹板，内加6mm无机防火板，四周阻燃杉木做框架，内部填充防火材料。</w:t>
      </w:r>
      <w:r>
        <w:rPr>
          <w:rFonts w:hint="eastAsia" w:ascii="方正仿宋_GBK" w:hAnsi="宋体" w:eastAsia="方正仿宋_GBK"/>
          <w:color w:val="auto"/>
          <w:sz w:val="28"/>
          <w:szCs w:val="28"/>
          <w:highlight w:val="none"/>
          <w:lang w:val="en-US" w:eastAsia="zh-CN"/>
        </w:rPr>
        <w:t>提供检验报告。</w:t>
      </w:r>
    </w:p>
    <w:p w14:paraId="6B111CA1">
      <w:pPr>
        <w:tabs>
          <w:tab w:val="left" w:pos="0"/>
          <w:tab w:val="left" w:pos="2324"/>
        </w:tabs>
        <w:adjustRightInd w:val="0"/>
        <w:spacing w:line="520" w:lineRule="exact"/>
        <w:ind w:firstLine="719" w:firstLineChars="257"/>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3、乙级木质防火门：门扇门框面板为3mm柳桉三夹板，内加6mm无机防火板，四周阻燃杉木做框架，内部填充防火材料。</w:t>
      </w:r>
      <w:r>
        <w:rPr>
          <w:rFonts w:hint="eastAsia" w:ascii="方正仿宋_GBK" w:hAnsi="宋体" w:eastAsia="方正仿宋_GBK"/>
          <w:color w:val="auto"/>
          <w:sz w:val="28"/>
          <w:szCs w:val="28"/>
          <w:highlight w:val="none"/>
          <w:lang w:val="en-US" w:eastAsia="zh-CN"/>
        </w:rPr>
        <w:t>提供检验报告。</w:t>
      </w:r>
    </w:p>
    <w:p w14:paraId="318EB374">
      <w:pPr>
        <w:tabs>
          <w:tab w:val="left" w:pos="0"/>
          <w:tab w:val="left" w:pos="2324"/>
        </w:tabs>
        <w:adjustRightInd w:val="0"/>
        <w:spacing w:line="520" w:lineRule="exact"/>
        <w:ind w:firstLine="719" w:firstLineChars="257"/>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lang w:val="en-US" w:eastAsia="zh-CN"/>
        </w:rPr>
        <w:t>4</w:t>
      </w:r>
      <w:r>
        <w:rPr>
          <w:rFonts w:hint="eastAsia" w:ascii="方正仿宋_GBK" w:hAnsi="宋体" w:eastAsia="方正仿宋_GBK"/>
          <w:color w:val="auto"/>
          <w:sz w:val="28"/>
          <w:szCs w:val="28"/>
          <w:highlight w:val="none"/>
        </w:rPr>
        <w:t>、钢质</w:t>
      </w:r>
      <w:r>
        <w:rPr>
          <w:rFonts w:hint="eastAsia" w:ascii="方正仿宋_GBK" w:hAnsi="宋体" w:eastAsia="方正仿宋_GBK"/>
          <w:color w:val="auto"/>
          <w:sz w:val="28"/>
          <w:szCs w:val="28"/>
          <w:highlight w:val="none"/>
          <w:lang w:val="en-US" w:eastAsia="zh-CN"/>
        </w:rPr>
        <w:t>节能外</w:t>
      </w:r>
      <w:r>
        <w:rPr>
          <w:rFonts w:hint="eastAsia" w:ascii="方正仿宋_GBK" w:hAnsi="宋体" w:eastAsia="方正仿宋_GBK"/>
          <w:color w:val="auto"/>
          <w:sz w:val="28"/>
          <w:szCs w:val="28"/>
          <w:highlight w:val="none"/>
        </w:rPr>
        <w:t>门：技术参数：材质厚度框1.2mm，扇0.8mm，中间为节能材料</w:t>
      </w:r>
      <w:r>
        <w:rPr>
          <w:rFonts w:hint="eastAsia" w:ascii="方正仿宋_GBK" w:hAnsi="宋体" w:eastAsia="方正仿宋_GBK"/>
          <w:color w:val="auto"/>
          <w:sz w:val="28"/>
          <w:szCs w:val="28"/>
          <w:highlight w:val="none"/>
          <w:lang w:eastAsia="zh-CN"/>
        </w:rPr>
        <w:t>，</w:t>
      </w:r>
      <w:r>
        <w:rPr>
          <w:rFonts w:hint="eastAsia" w:ascii="方正仿宋_GBK" w:hAnsi="宋体" w:eastAsia="方正仿宋_GBK"/>
          <w:color w:val="auto"/>
          <w:sz w:val="28"/>
          <w:szCs w:val="28"/>
          <w:highlight w:val="none"/>
          <w:lang w:val="en-US" w:eastAsia="zh-CN"/>
        </w:rPr>
        <w:t>后附节能参数图片</w:t>
      </w:r>
      <w:r>
        <w:rPr>
          <w:rFonts w:hint="eastAsia" w:ascii="方正仿宋_GBK" w:hAnsi="宋体" w:eastAsia="方正仿宋_GBK"/>
          <w:color w:val="auto"/>
          <w:sz w:val="28"/>
          <w:szCs w:val="28"/>
          <w:highlight w:val="none"/>
        </w:rPr>
        <w:t>，外带边，颜色棕色（可参照一期卫生间门）。</w:t>
      </w:r>
    </w:p>
    <w:p w14:paraId="302BAD87">
      <w:pPr>
        <w:tabs>
          <w:tab w:val="left" w:pos="0"/>
        </w:tabs>
        <w:adjustRightInd w:val="0"/>
        <w:spacing w:line="480" w:lineRule="exact"/>
        <w:ind w:firstLine="411" w:firstLineChars="196"/>
        <w:outlineLvl w:val="0"/>
        <w:rPr>
          <w:rFonts w:hint="eastAsia" w:ascii="方正仿宋_GBK" w:hAnsi="黑体" w:eastAsia="方正仿宋_GBK"/>
          <w:b/>
          <w:color w:val="auto"/>
          <w:sz w:val="28"/>
          <w:highlight w:val="none"/>
        </w:rPr>
      </w:pPr>
      <w:r>
        <w:rPr>
          <w:color w:val="auto"/>
          <w:highlight w:val="none"/>
        </w:rPr>
        <w:drawing>
          <wp:anchor distT="0" distB="0" distL="114300" distR="114300" simplePos="0" relativeHeight="251661312" behindDoc="0" locked="0" layoutInCell="1" allowOverlap="1">
            <wp:simplePos x="0" y="0"/>
            <wp:positionH relativeFrom="column">
              <wp:posOffset>366395</wp:posOffset>
            </wp:positionH>
            <wp:positionV relativeFrom="paragraph">
              <wp:posOffset>97790</wp:posOffset>
            </wp:positionV>
            <wp:extent cx="5612130" cy="1036320"/>
            <wp:effectExtent l="0" t="0" r="7620" b="11430"/>
            <wp:wrapSquare wrapText="bothSides"/>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6"/>
                    <a:stretch>
                      <a:fillRect/>
                    </a:stretch>
                  </pic:blipFill>
                  <pic:spPr>
                    <a:xfrm>
                      <a:off x="0" y="0"/>
                      <a:ext cx="5612130" cy="1036320"/>
                    </a:xfrm>
                    <a:prstGeom prst="rect">
                      <a:avLst/>
                    </a:prstGeom>
                    <a:noFill/>
                    <a:ln>
                      <a:noFill/>
                    </a:ln>
                  </pic:spPr>
                </pic:pic>
              </a:graphicData>
            </a:graphic>
          </wp:anchor>
        </w:drawing>
      </w:r>
    </w:p>
    <w:p w14:paraId="1E14B00D">
      <w:pPr>
        <w:tabs>
          <w:tab w:val="left" w:pos="0"/>
        </w:tabs>
        <w:adjustRightInd w:val="0"/>
        <w:spacing w:line="480" w:lineRule="exact"/>
        <w:ind w:firstLine="551" w:firstLineChars="196"/>
        <w:outlineLvl w:val="0"/>
        <w:rPr>
          <w:rFonts w:hint="eastAsia" w:ascii="方正仿宋_GBK" w:hAnsi="黑体" w:eastAsia="方正仿宋_GBK"/>
          <w:b/>
          <w:color w:val="auto"/>
          <w:sz w:val="28"/>
          <w:highlight w:val="none"/>
        </w:rPr>
      </w:pPr>
    </w:p>
    <w:p w14:paraId="2E95DB84">
      <w:pPr>
        <w:tabs>
          <w:tab w:val="left" w:pos="0"/>
        </w:tabs>
        <w:adjustRightInd w:val="0"/>
        <w:spacing w:line="480" w:lineRule="exact"/>
        <w:ind w:firstLine="551" w:firstLineChars="196"/>
        <w:outlineLvl w:val="0"/>
        <w:rPr>
          <w:rFonts w:hint="eastAsia" w:ascii="方正仿宋_GBK" w:hAnsi="黑体" w:eastAsia="方正仿宋_GBK"/>
          <w:b/>
          <w:color w:val="auto"/>
          <w:sz w:val="28"/>
          <w:highlight w:val="none"/>
        </w:rPr>
      </w:pPr>
    </w:p>
    <w:p w14:paraId="4B25FC7D">
      <w:pPr>
        <w:tabs>
          <w:tab w:val="left" w:pos="0"/>
        </w:tabs>
        <w:adjustRightInd w:val="0"/>
        <w:spacing w:line="480" w:lineRule="exact"/>
        <w:ind w:firstLine="411" w:firstLineChars="196"/>
        <w:outlineLvl w:val="0"/>
        <w:rPr>
          <w:rFonts w:hint="eastAsia" w:ascii="方正仿宋_GBK" w:hAnsi="黑体" w:eastAsia="方正仿宋_GBK"/>
          <w:b/>
          <w:color w:val="auto"/>
          <w:sz w:val="28"/>
          <w:highlight w:val="none"/>
        </w:rPr>
      </w:pPr>
      <w:r>
        <w:rPr>
          <w:color w:val="auto"/>
          <w:highlight w:val="none"/>
        </w:rPr>
        <w:drawing>
          <wp:anchor distT="0" distB="0" distL="114300" distR="114300" simplePos="0" relativeHeight="251662336" behindDoc="1" locked="0" layoutInCell="1" allowOverlap="1">
            <wp:simplePos x="0" y="0"/>
            <wp:positionH relativeFrom="column">
              <wp:posOffset>137795</wp:posOffset>
            </wp:positionH>
            <wp:positionV relativeFrom="paragraph">
              <wp:posOffset>243840</wp:posOffset>
            </wp:positionV>
            <wp:extent cx="5610225" cy="2686050"/>
            <wp:effectExtent l="0" t="0" r="9525" b="0"/>
            <wp:wrapNone/>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7"/>
                    <a:stretch>
                      <a:fillRect/>
                    </a:stretch>
                  </pic:blipFill>
                  <pic:spPr>
                    <a:xfrm>
                      <a:off x="0" y="0"/>
                      <a:ext cx="5610225" cy="2686050"/>
                    </a:xfrm>
                    <a:prstGeom prst="rect">
                      <a:avLst/>
                    </a:prstGeom>
                    <a:noFill/>
                    <a:ln>
                      <a:noFill/>
                    </a:ln>
                  </pic:spPr>
                </pic:pic>
              </a:graphicData>
            </a:graphic>
          </wp:anchor>
        </w:drawing>
      </w:r>
    </w:p>
    <w:p w14:paraId="378192F1">
      <w:pPr>
        <w:tabs>
          <w:tab w:val="left" w:pos="0"/>
        </w:tabs>
        <w:adjustRightInd w:val="0"/>
        <w:spacing w:line="480" w:lineRule="exact"/>
        <w:ind w:firstLine="551" w:firstLineChars="196"/>
        <w:outlineLvl w:val="0"/>
        <w:rPr>
          <w:rFonts w:hint="eastAsia" w:ascii="方正仿宋_GBK" w:hAnsi="黑体" w:eastAsia="方正仿宋_GBK"/>
          <w:b/>
          <w:color w:val="auto"/>
          <w:sz w:val="28"/>
          <w:highlight w:val="none"/>
        </w:rPr>
      </w:pPr>
    </w:p>
    <w:p w14:paraId="29DD3120">
      <w:pPr>
        <w:tabs>
          <w:tab w:val="left" w:pos="0"/>
        </w:tabs>
        <w:adjustRightInd w:val="0"/>
        <w:spacing w:line="480" w:lineRule="exact"/>
        <w:ind w:firstLine="551" w:firstLineChars="196"/>
        <w:outlineLvl w:val="0"/>
        <w:rPr>
          <w:rFonts w:hint="eastAsia" w:ascii="方正仿宋_GBK" w:hAnsi="黑体" w:eastAsia="方正仿宋_GBK"/>
          <w:b/>
          <w:color w:val="auto"/>
          <w:sz w:val="28"/>
          <w:highlight w:val="none"/>
        </w:rPr>
      </w:pPr>
    </w:p>
    <w:p w14:paraId="517CE360">
      <w:pPr>
        <w:tabs>
          <w:tab w:val="left" w:pos="0"/>
        </w:tabs>
        <w:adjustRightInd w:val="0"/>
        <w:spacing w:line="480" w:lineRule="exact"/>
        <w:ind w:firstLine="551" w:firstLineChars="196"/>
        <w:outlineLvl w:val="0"/>
        <w:rPr>
          <w:rFonts w:hint="eastAsia" w:ascii="方正仿宋_GBK" w:hAnsi="黑体" w:eastAsia="方正仿宋_GBK"/>
          <w:b/>
          <w:color w:val="auto"/>
          <w:sz w:val="28"/>
          <w:highlight w:val="none"/>
        </w:rPr>
      </w:pPr>
    </w:p>
    <w:p w14:paraId="04792E9C">
      <w:pPr>
        <w:tabs>
          <w:tab w:val="left" w:pos="0"/>
        </w:tabs>
        <w:adjustRightInd w:val="0"/>
        <w:spacing w:line="480" w:lineRule="exact"/>
        <w:ind w:firstLine="551" w:firstLineChars="196"/>
        <w:outlineLvl w:val="0"/>
        <w:rPr>
          <w:rFonts w:hint="eastAsia" w:ascii="方正仿宋_GBK" w:hAnsi="黑体" w:eastAsia="方正仿宋_GBK"/>
          <w:b/>
          <w:color w:val="auto"/>
          <w:sz w:val="28"/>
          <w:highlight w:val="none"/>
        </w:rPr>
      </w:pPr>
    </w:p>
    <w:p w14:paraId="1ABE10D9">
      <w:pPr>
        <w:tabs>
          <w:tab w:val="left" w:pos="0"/>
        </w:tabs>
        <w:adjustRightInd w:val="0"/>
        <w:spacing w:line="480" w:lineRule="exact"/>
        <w:ind w:firstLine="551" w:firstLineChars="196"/>
        <w:outlineLvl w:val="0"/>
        <w:rPr>
          <w:rFonts w:hint="eastAsia" w:ascii="方正仿宋_GBK" w:hAnsi="黑体" w:eastAsia="方正仿宋_GBK"/>
          <w:b/>
          <w:color w:val="auto"/>
          <w:sz w:val="28"/>
          <w:highlight w:val="none"/>
        </w:rPr>
      </w:pPr>
    </w:p>
    <w:p w14:paraId="471AEA82">
      <w:pPr>
        <w:tabs>
          <w:tab w:val="left" w:pos="0"/>
        </w:tabs>
        <w:adjustRightInd w:val="0"/>
        <w:spacing w:line="480" w:lineRule="exact"/>
        <w:ind w:firstLine="551" w:firstLineChars="196"/>
        <w:outlineLvl w:val="0"/>
        <w:rPr>
          <w:rFonts w:hint="eastAsia" w:ascii="方正仿宋_GBK" w:hAnsi="黑体" w:eastAsia="方正仿宋_GBK"/>
          <w:b/>
          <w:color w:val="auto"/>
          <w:sz w:val="28"/>
          <w:highlight w:val="none"/>
        </w:rPr>
      </w:pPr>
    </w:p>
    <w:p w14:paraId="6C796878">
      <w:pPr>
        <w:tabs>
          <w:tab w:val="left" w:pos="0"/>
        </w:tabs>
        <w:adjustRightInd w:val="0"/>
        <w:spacing w:line="480" w:lineRule="exact"/>
        <w:ind w:firstLine="551" w:firstLineChars="196"/>
        <w:outlineLvl w:val="0"/>
        <w:rPr>
          <w:rFonts w:hint="eastAsia" w:ascii="方正仿宋_GBK" w:hAnsi="黑体" w:eastAsia="方正仿宋_GBK"/>
          <w:b/>
          <w:color w:val="auto"/>
          <w:sz w:val="28"/>
          <w:highlight w:val="none"/>
        </w:rPr>
      </w:pPr>
    </w:p>
    <w:p w14:paraId="68A89EAB">
      <w:pPr>
        <w:tabs>
          <w:tab w:val="left" w:pos="0"/>
        </w:tabs>
        <w:adjustRightInd w:val="0"/>
        <w:spacing w:line="480" w:lineRule="exact"/>
        <w:ind w:firstLine="551" w:firstLineChars="196"/>
        <w:outlineLvl w:val="0"/>
        <w:rPr>
          <w:rFonts w:hint="eastAsia" w:ascii="方正仿宋_GBK" w:hAnsi="黑体" w:eastAsia="方正仿宋_GBK"/>
          <w:b/>
          <w:color w:val="auto"/>
          <w:sz w:val="28"/>
          <w:highlight w:val="none"/>
        </w:rPr>
      </w:pPr>
    </w:p>
    <w:p w14:paraId="1F276903">
      <w:pPr>
        <w:tabs>
          <w:tab w:val="left" w:pos="0"/>
        </w:tabs>
        <w:adjustRightInd w:val="0"/>
        <w:spacing w:line="480" w:lineRule="exact"/>
        <w:ind w:firstLine="551" w:firstLineChars="196"/>
        <w:outlineLvl w:val="0"/>
        <w:rPr>
          <w:rFonts w:hint="eastAsia" w:ascii="方正仿宋_GBK" w:hAnsi="黑体" w:eastAsia="方正仿宋_GBK"/>
          <w:b/>
          <w:color w:val="auto"/>
          <w:sz w:val="28"/>
          <w:highlight w:val="none"/>
        </w:rPr>
      </w:pPr>
    </w:p>
    <w:p w14:paraId="6825708A">
      <w:pPr>
        <w:tabs>
          <w:tab w:val="left" w:pos="0"/>
        </w:tabs>
        <w:adjustRightInd w:val="0"/>
        <w:spacing w:line="480" w:lineRule="exact"/>
        <w:ind w:firstLine="551" w:firstLineChars="196"/>
        <w:outlineLvl w:val="0"/>
        <w:rPr>
          <w:rFonts w:ascii="方正仿宋_GBK" w:hAnsi="黑体" w:eastAsia="方正仿宋_GBK"/>
          <w:b/>
          <w:color w:val="auto"/>
          <w:sz w:val="28"/>
          <w:highlight w:val="none"/>
        </w:rPr>
      </w:pPr>
      <w:r>
        <w:rPr>
          <w:rFonts w:hint="eastAsia" w:ascii="方正仿宋_GBK" w:hAnsi="黑体" w:eastAsia="方正仿宋_GBK"/>
          <w:b/>
          <w:color w:val="auto"/>
          <w:sz w:val="28"/>
          <w:highlight w:val="none"/>
        </w:rPr>
        <w:t>五、计量、验收方式</w:t>
      </w:r>
      <w:bookmarkEnd w:id="42"/>
      <w:bookmarkEnd w:id="43"/>
    </w:p>
    <w:p w14:paraId="446A01D0">
      <w:pPr>
        <w:tabs>
          <w:tab w:val="left" w:pos="0"/>
        </w:tabs>
        <w:adjustRightInd w:val="0"/>
        <w:spacing w:line="560" w:lineRule="exact"/>
        <w:ind w:firstLine="548" w:firstLineChars="196"/>
        <w:outlineLvl w:val="0"/>
        <w:rPr>
          <w:rFonts w:ascii="方正仿宋_GBK" w:hAnsi="黑体" w:eastAsia="方正仿宋_GBK"/>
          <w:color w:val="auto"/>
          <w:sz w:val="28"/>
          <w:highlight w:val="none"/>
        </w:rPr>
      </w:pPr>
      <w:bookmarkStart w:id="44" w:name="_Toc130893337"/>
      <w:bookmarkStart w:id="45" w:name="_Toc130893042"/>
      <w:r>
        <w:rPr>
          <w:rFonts w:hint="eastAsia" w:ascii="方正仿宋_GBK" w:hAnsi="黑体" w:eastAsia="方正仿宋_GBK"/>
          <w:color w:val="auto"/>
          <w:sz w:val="28"/>
          <w:highlight w:val="none"/>
        </w:rPr>
        <w:t>1、计量单位：</w:t>
      </w:r>
      <w:r>
        <w:rPr>
          <w:rFonts w:hint="eastAsia" w:ascii="方正仿宋_GBK" w:eastAsia="方正仿宋_GBK"/>
          <w:color w:val="auto"/>
          <w:sz w:val="28"/>
          <w:szCs w:val="24"/>
          <w:highlight w:val="none"/>
        </w:rPr>
        <w:t>㎡。</w:t>
      </w:r>
      <w:bookmarkEnd w:id="44"/>
      <w:bookmarkEnd w:id="45"/>
    </w:p>
    <w:p w14:paraId="0762693D">
      <w:pPr>
        <w:tabs>
          <w:tab w:val="left" w:pos="0"/>
        </w:tabs>
        <w:adjustRightInd w:val="0"/>
        <w:spacing w:line="560" w:lineRule="exact"/>
        <w:ind w:firstLine="548" w:firstLineChars="196"/>
        <w:outlineLvl w:val="0"/>
        <w:rPr>
          <w:rFonts w:ascii="方正仿宋_GBK" w:hAnsi="黑体" w:eastAsia="方正仿宋_GBK"/>
          <w:color w:val="auto"/>
          <w:sz w:val="28"/>
          <w:highlight w:val="none"/>
        </w:rPr>
      </w:pPr>
      <w:bookmarkStart w:id="46" w:name="_Toc130893338"/>
      <w:bookmarkStart w:id="47" w:name="_Toc130893043"/>
      <w:r>
        <w:rPr>
          <w:rFonts w:hint="eastAsia" w:ascii="方正仿宋_GBK" w:hAnsi="黑体" w:eastAsia="方正仿宋_GBK"/>
          <w:color w:val="auto"/>
          <w:sz w:val="28"/>
          <w:highlight w:val="none"/>
        </w:rPr>
        <w:t>2、验收方式：按设计图纸洞口尺寸收方计量，超出洞口尺寸面积的收口线条、木桩等不另外计费。如</w:t>
      </w:r>
      <w:r>
        <w:rPr>
          <w:rFonts w:hint="eastAsia" w:ascii="方正仿宋_GBK" w:eastAsia="方正仿宋_GBK"/>
          <w:color w:val="auto"/>
          <w:sz w:val="28"/>
          <w:szCs w:val="24"/>
          <w:highlight w:val="none"/>
        </w:rPr>
        <w:t>因业主、设计要求变更，按变更后设计图洞口尺寸收方计量。</w:t>
      </w:r>
      <w:bookmarkEnd w:id="46"/>
      <w:bookmarkEnd w:id="47"/>
    </w:p>
    <w:p w14:paraId="7F220292">
      <w:pPr>
        <w:tabs>
          <w:tab w:val="left" w:pos="0"/>
        </w:tabs>
        <w:adjustRightInd w:val="0"/>
        <w:spacing w:line="560" w:lineRule="exact"/>
        <w:ind w:firstLine="548" w:firstLineChars="196"/>
        <w:outlineLvl w:val="0"/>
        <w:rPr>
          <w:rFonts w:ascii="方正仿宋_GBK" w:eastAsia="方正仿宋_GBK"/>
          <w:color w:val="auto"/>
          <w:sz w:val="28"/>
          <w:szCs w:val="24"/>
          <w:highlight w:val="none"/>
        </w:rPr>
      </w:pPr>
      <w:bookmarkStart w:id="48" w:name="_Toc130893044"/>
      <w:bookmarkStart w:id="49" w:name="_Toc130893339"/>
      <w:r>
        <w:rPr>
          <w:rFonts w:hint="eastAsia" w:ascii="方正仿宋_GBK" w:eastAsia="方正仿宋_GBK"/>
          <w:color w:val="auto"/>
          <w:sz w:val="28"/>
          <w:szCs w:val="24"/>
          <w:highlight w:val="none"/>
        </w:rPr>
        <w:t>3、乙方施工人员将量尺单（含最终确认门的颜色、款式）交由甲方工程现场委托负责人签字确认后才能安排生产。</w:t>
      </w:r>
      <w:bookmarkEnd w:id="48"/>
      <w:bookmarkEnd w:id="49"/>
    </w:p>
    <w:p w14:paraId="780E3092">
      <w:pPr>
        <w:spacing w:line="480" w:lineRule="exact"/>
        <w:ind w:firstLine="560" w:firstLineChars="200"/>
        <w:rPr>
          <w:rFonts w:ascii="方正仿宋_GBK" w:eastAsia="方正仿宋_GBK"/>
          <w:color w:val="auto"/>
          <w:sz w:val="28"/>
          <w:szCs w:val="24"/>
          <w:highlight w:val="none"/>
        </w:rPr>
      </w:pPr>
      <w:r>
        <w:rPr>
          <w:rFonts w:hint="eastAsia" w:ascii="方正仿宋_GBK" w:eastAsia="方正仿宋_GBK"/>
          <w:color w:val="auto"/>
          <w:sz w:val="28"/>
          <w:szCs w:val="24"/>
          <w:highlight w:val="none"/>
        </w:rPr>
        <w:t>4、产品（货物、备件）到甲方指定工地后，甲方应对乙方的货物数量和质量签字确认。</w:t>
      </w:r>
    </w:p>
    <w:p w14:paraId="5176CD88">
      <w:pPr>
        <w:spacing w:line="480" w:lineRule="exact"/>
        <w:ind w:firstLine="560" w:firstLineChars="200"/>
        <w:rPr>
          <w:rFonts w:ascii="方正仿宋_GBK" w:eastAsia="方正仿宋_GBK"/>
          <w:color w:val="auto"/>
          <w:sz w:val="28"/>
          <w:szCs w:val="24"/>
          <w:highlight w:val="none"/>
        </w:rPr>
      </w:pPr>
      <w:r>
        <w:rPr>
          <w:rFonts w:hint="eastAsia" w:ascii="方正仿宋_GBK" w:eastAsia="方正仿宋_GBK"/>
          <w:color w:val="auto"/>
          <w:sz w:val="28"/>
          <w:szCs w:val="24"/>
          <w:highlight w:val="none"/>
        </w:rPr>
        <w:t>5、安装完毕，由甲方负责组织验收，由双方经办人核对数量并在验收单上签字作为双方结算依据。若甲方不组织验收，其数量以乙方提供的数据为准，作为结算依据。</w:t>
      </w:r>
    </w:p>
    <w:p w14:paraId="5FF1F13E">
      <w:pPr>
        <w:spacing w:line="480" w:lineRule="exact"/>
        <w:ind w:firstLine="560" w:firstLineChars="200"/>
        <w:rPr>
          <w:rFonts w:ascii="方正仿宋_GBK" w:eastAsia="方正仿宋_GBK"/>
          <w:color w:val="auto"/>
          <w:sz w:val="28"/>
          <w:szCs w:val="24"/>
          <w:highlight w:val="none"/>
        </w:rPr>
      </w:pPr>
      <w:r>
        <w:rPr>
          <w:rFonts w:hint="eastAsia" w:ascii="方正仿宋_GBK" w:eastAsia="方正仿宋_GBK"/>
          <w:color w:val="auto"/>
          <w:sz w:val="28"/>
          <w:szCs w:val="24"/>
          <w:highlight w:val="none"/>
        </w:rPr>
        <w:t>6、乙方向甲方提供的防火门符合相关规定，并经过公安消防验收为合格产品，满足甲方对防火门要求的等级，即甲级、乙级、丙级。经消防验收合格后，15日内双方及时办理并结清财务手续和钥匙交接手续，乙方不承担向物管办理交接手续的义务。</w:t>
      </w:r>
    </w:p>
    <w:p w14:paraId="69DA0E2B">
      <w:pPr>
        <w:snapToGrid w:val="0"/>
        <w:spacing w:line="480" w:lineRule="exact"/>
        <w:ind w:firstLine="689" w:firstLineChars="245"/>
        <w:rPr>
          <w:rFonts w:ascii="方正仿宋_GBK" w:hAnsi="宋体" w:eastAsia="方正仿宋_GBK"/>
          <w:b/>
          <w:color w:val="auto"/>
          <w:sz w:val="28"/>
          <w:szCs w:val="28"/>
          <w:highlight w:val="none"/>
        </w:rPr>
      </w:pPr>
      <w:r>
        <w:rPr>
          <w:rFonts w:hint="eastAsia" w:ascii="方正仿宋_GBK" w:hAnsi="宋体" w:eastAsia="方正仿宋_GBK"/>
          <w:b/>
          <w:color w:val="auto"/>
          <w:sz w:val="28"/>
          <w:szCs w:val="28"/>
          <w:highlight w:val="none"/>
        </w:rPr>
        <w:t>六、供货周期要求</w:t>
      </w:r>
    </w:p>
    <w:p w14:paraId="4C84FA48">
      <w:pPr>
        <w:spacing w:line="480" w:lineRule="exact"/>
        <w:ind w:firstLine="560" w:firstLineChars="200"/>
        <w:rPr>
          <w:rFonts w:ascii="方正仿宋_GBK" w:hAnsi="宋体" w:eastAsia="方正仿宋_GBK"/>
          <w:bCs/>
          <w:color w:val="auto"/>
          <w:sz w:val="28"/>
          <w:szCs w:val="28"/>
          <w:highlight w:val="none"/>
        </w:rPr>
      </w:pPr>
      <w:r>
        <w:rPr>
          <w:rFonts w:hint="eastAsia" w:ascii="方正仿宋_GBK" w:hAnsi="宋体" w:eastAsia="方正仿宋_GBK"/>
          <w:color w:val="auto"/>
          <w:sz w:val="28"/>
          <w:szCs w:val="28"/>
          <w:highlight w:val="none"/>
        </w:rPr>
        <w:t>1、</w:t>
      </w:r>
      <w:r>
        <w:rPr>
          <w:rFonts w:hint="eastAsia" w:ascii="方正仿宋_GBK" w:hAnsi="宋体" w:eastAsia="方正仿宋_GBK"/>
          <w:bCs/>
          <w:color w:val="auto"/>
          <w:sz w:val="28"/>
          <w:szCs w:val="28"/>
          <w:highlight w:val="none"/>
        </w:rPr>
        <w:t>乙方</w:t>
      </w:r>
      <w:r>
        <w:rPr>
          <w:rFonts w:hint="eastAsia" w:ascii="方正仿宋_GBK" w:eastAsia="方正仿宋_GBK"/>
          <w:color w:val="auto"/>
          <w:sz w:val="28"/>
          <w:szCs w:val="24"/>
          <w:highlight w:val="none"/>
        </w:rPr>
        <w:t>签订合同之日起第15个日历天开始供货，供货周期120个日历天，乙方按照</w:t>
      </w:r>
      <w:r>
        <w:rPr>
          <w:rFonts w:hint="eastAsia" w:ascii="方正仿宋_GBK" w:hAnsi="宋体" w:eastAsia="方正仿宋_GBK"/>
          <w:bCs/>
          <w:color w:val="auto"/>
          <w:sz w:val="28"/>
          <w:szCs w:val="28"/>
          <w:highlight w:val="none"/>
        </w:rPr>
        <w:t>甲方施工现场要求分批供货安装完成（前提是应具备安装条件），具体供货时间根据采购方电话或传真通知为准。遇特殊情况要求延迟供货的除外。</w:t>
      </w:r>
    </w:p>
    <w:p w14:paraId="222BA48B">
      <w:pPr>
        <w:spacing w:line="480" w:lineRule="exact"/>
        <w:ind w:firstLine="560" w:firstLineChars="200"/>
        <w:rPr>
          <w:rFonts w:ascii="方正仿宋_GBK" w:eastAsia="方正仿宋_GBK"/>
          <w:color w:val="auto"/>
          <w:sz w:val="28"/>
          <w:szCs w:val="24"/>
          <w:highlight w:val="none"/>
        </w:rPr>
      </w:pPr>
      <w:r>
        <w:rPr>
          <w:rFonts w:hint="eastAsia" w:ascii="方正仿宋_GBK" w:eastAsia="方正仿宋_GBK"/>
          <w:color w:val="auto"/>
          <w:sz w:val="28"/>
          <w:szCs w:val="24"/>
          <w:highlight w:val="none"/>
        </w:rPr>
        <w:t>2、甲方免费为乙方提供产品、配件堆放场地。乙方负责运输、二次转运及安装。</w:t>
      </w:r>
    </w:p>
    <w:p w14:paraId="22168097">
      <w:pPr>
        <w:spacing w:line="480" w:lineRule="exact"/>
        <w:ind w:firstLine="420" w:firstLineChars="150"/>
        <w:rPr>
          <w:rFonts w:ascii="方正仿宋_GBK" w:eastAsia="方正仿宋_GBK"/>
          <w:color w:val="auto"/>
          <w:sz w:val="28"/>
          <w:szCs w:val="24"/>
          <w:highlight w:val="none"/>
        </w:rPr>
      </w:pPr>
      <w:r>
        <w:rPr>
          <w:rFonts w:hint="eastAsia" w:ascii="方正仿宋_GBK" w:eastAsia="方正仿宋_GBK"/>
          <w:color w:val="auto"/>
          <w:sz w:val="28"/>
          <w:szCs w:val="24"/>
          <w:highlight w:val="none"/>
        </w:rPr>
        <w:t>3、乙方应按照合同约定的时间分批供货安装完毕，若因乙方自身原因延期交货，延迟一天乙方支付违约金2000.00元（人民币大写：贰仟元整），若因甲方无法提供安装条件、要求延期交货等情况除外。</w:t>
      </w:r>
    </w:p>
    <w:p w14:paraId="72F13695">
      <w:pPr>
        <w:snapToGrid w:val="0"/>
        <w:spacing w:line="480" w:lineRule="exact"/>
        <w:ind w:left="139" w:leftChars="66" w:firstLine="562" w:firstLineChars="200"/>
        <w:rPr>
          <w:rFonts w:ascii="方正仿宋_GBK" w:hAnsi="宋体" w:eastAsia="方正仿宋_GBK"/>
          <w:b/>
          <w:bCs/>
          <w:color w:val="auto"/>
          <w:sz w:val="28"/>
          <w:szCs w:val="28"/>
          <w:highlight w:val="none"/>
        </w:rPr>
      </w:pPr>
      <w:r>
        <w:rPr>
          <w:rFonts w:hint="eastAsia" w:ascii="方正仿宋_GBK" w:hAnsi="宋体" w:eastAsia="方正仿宋_GBK"/>
          <w:b/>
          <w:bCs/>
          <w:color w:val="auto"/>
          <w:sz w:val="28"/>
          <w:szCs w:val="28"/>
          <w:highlight w:val="none"/>
        </w:rPr>
        <w:t>4、乙方如因供货数量、供货时间、质量等未满足甲方要求，从而影响工期等，</w:t>
      </w:r>
      <w:r>
        <w:rPr>
          <w:rFonts w:ascii="方正仿宋_GBK" w:hAnsi="宋体" w:eastAsia="方正仿宋_GBK"/>
          <w:b/>
          <w:bCs/>
          <w:color w:val="auto"/>
          <w:sz w:val="28"/>
          <w:szCs w:val="28"/>
          <w:highlight w:val="none"/>
        </w:rPr>
        <w:t>由此带来的损失由</w:t>
      </w:r>
      <w:r>
        <w:rPr>
          <w:rFonts w:hint="eastAsia" w:ascii="方正仿宋_GBK" w:hAnsi="宋体" w:eastAsia="方正仿宋_GBK"/>
          <w:b/>
          <w:bCs/>
          <w:color w:val="auto"/>
          <w:sz w:val="28"/>
          <w:szCs w:val="28"/>
          <w:highlight w:val="none"/>
        </w:rPr>
        <w:t>乙方全部</w:t>
      </w:r>
      <w:r>
        <w:rPr>
          <w:rFonts w:ascii="方正仿宋_GBK" w:hAnsi="宋体" w:eastAsia="方正仿宋_GBK"/>
          <w:b/>
          <w:bCs/>
          <w:color w:val="auto"/>
          <w:sz w:val="28"/>
          <w:szCs w:val="28"/>
          <w:highlight w:val="none"/>
        </w:rPr>
        <w:t>承担</w:t>
      </w:r>
      <w:r>
        <w:rPr>
          <w:rFonts w:hint="eastAsia" w:ascii="方正仿宋_GBK" w:hAnsi="宋体" w:eastAsia="方正仿宋_GBK"/>
          <w:b/>
          <w:bCs/>
          <w:color w:val="auto"/>
          <w:sz w:val="28"/>
          <w:szCs w:val="28"/>
          <w:highlight w:val="none"/>
        </w:rPr>
        <w:t>。</w:t>
      </w:r>
    </w:p>
    <w:p w14:paraId="7D8D0B57">
      <w:pPr>
        <w:tabs>
          <w:tab w:val="left" w:pos="0"/>
        </w:tabs>
        <w:adjustRightInd w:val="0"/>
        <w:spacing w:line="480" w:lineRule="exact"/>
        <w:ind w:firstLine="551" w:firstLineChars="196"/>
        <w:outlineLvl w:val="0"/>
        <w:rPr>
          <w:rFonts w:ascii="方正仿宋_GBK" w:hAnsi="黑体" w:eastAsia="方正仿宋_GBK"/>
          <w:b/>
          <w:color w:val="auto"/>
          <w:sz w:val="28"/>
          <w:highlight w:val="none"/>
        </w:rPr>
      </w:pPr>
      <w:bookmarkStart w:id="50" w:name="_Toc130893045"/>
      <w:bookmarkStart w:id="51" w:name="_Toc130893340"/>
      <w:r>
        <w:rPr>
          <w:rFonts w:hint="eastAsia" w:ascii="方正仿宋_GBK" w:hAnsi="黑体" w:eastAsia="方正仿宋_GBK"/>
          <w:b/>
          <w:color w:val="auto"/>
          <w:sz w:val="28"/>
          <w:highlight w:val="none"/>
        </w:rPr>
        <w:t>七、质保期限及售后服务</w:t>
      </w:r>
      <w:bookmarkEnd w:id="50"/>
      <w:bookmarkEnd w:id="51"/>
    </w:p>
    <w:p w14:paraId="08164BBA">
      <w:pPr>
        <w:snapToGrid w:val="0"/>
        <w:spacing w:line="480" w:lineRule="exact"/>
        <w:ind w:firstLine="570"/>
        <w:rPr>
          <w:rFonts w:ascii="方正仿宋_GBK" w:hAnsi="宋体" w:eastAsia="方正仿宋_GBK"/>
          <w:bCs/>
          <w:color w:val="auto"/>
          <w:sz w:val="28"/>
          <w:szCs w:val="28"/>
          <w:highlight w:val="none"/>
        </w:rPr>
      </w:pPr>
      <w:r>
        <w:rPr>
          <w:rFonts w:hint="eastAsia" w:ascii="方正仿宋_GBK" w:hAnsi="宋体" w:eastAsia="方正仿宋_GBK"/>
          <w:bCs/>
          <w:color w:val="auto"/>
          <w:sz w:val="28"/>
          <w:szCs w:val="28"/>
          <w:highlight w:val="none"/>
        </w:rPr>
        <w:t xml:space="preserve">1、质保期 </w:t>
      </w:r>
      <w:r>
        <w:rPr>
          <w:rFonts w:hint="eastAsia" w:ascii="方正仿宋_GBK" w:hAnsi="宋体" w:eastAsia="方正仿宋_GBK"/>
          <w:bCs/>
          <w:color w:val="auto"/>
          <w:sz w:val="28"/>
          <w:szCs w:val="28"/>
          <w:highlight w:val="none"/>
          <w:u w:val="single"/>
        </w:rPr>
        <w:t xml:space="preserve">   </w:t>
      </w:r>
      <w:r>
        <w:rPr>
          <w:rFonts w:hint="eastAsia" w:ascii="方正仿宋_GBK" w:hAnsi="宋体" w:eastAsia="方正仿宋_GBK"/>
          <w:bCs/>
          <w:color w:val="auto"/>
          <w:sz w:val="28"/>
          <w:szCs w:val="28"/>
          <w:highlight w:val="none"/>
        </w:rPr>
        <w:t>年，防火门系列自公安消防验收合格之日起算，其余门自验收合格之日起算。</w:t>
      </w:r>
    </w:p>
    <w:p w14:paraId="341F1FEA">
      <w:pPr>
        <w:snapToGrid w:val="0"/>
        <w:spacing w:line="480" w:lineRule="exact"/>
        <w:ind w:firstLine="570"/>
        <w:rPr>
          <w:rFonts w:ascii="方正仿宋_GBK" w:hAnsi="宋体" w:eastAsia="方正仿宋_GBK"/>
          <w:bCs/>
          <w:color w:val="auto"/>
          <w:sz w:val="28"/>
          <w:szCs w:val="28"/>
          <w:highlight w:val="none"/>
        </w:rPr>
      </w:pPr>
      <w:r>
        <w:rPr>
          <w:rFonts w:hint="eastAsia" w:ascii="方正仿宋_GBK" w:hAnsi="宋体" w:eastAsia="方正仿宋_GBK"/>
          <w:bCs/>
          <w:color w:val="auto"/>
          <w:sz w:val="28"/>
          <w:szCs w:val="28"/>
          <w:highlight w:val="none"/>
        </w:rPr>
        <w:t xml:space="preserve">2、售后服务：在质保期内因产品质量问题由乙方免费维修与更换，如造成的损失由乙方负责赔偿，且不予退还质量保证金。 </w:t>
      </w:r>
    </w:p>
    <w:p w14:paraId="57B68098">
      <w:pPr>
        <w:tabs>
          <w:tab w:val="left" w:pos="0"/>
        </w:tabs>
        <w:adjustRightInd w:val="0"/>
        <w:spacing w:line="480" w:lineRule="exact"/>
        <w:ind w:firstLine="551" w:firstLineChars="196"/>
        <w:outlineLvl w:val="0"/>
        <w:rPr>
          <w:rFonts w:ascii="方正仿宋_GBK" w:hAnsi="黑体" w:eastAsia="方正仿宋_GBK"/>
          <w:b/>
          <w:color w:val="auto"/>
          <w:sz w:val="28"/>
          <w:highlight w:val="none"/>
        </w:rPr>
      </w:pPr>
      <w:bookmarkStart w:id="52" w:name="_Toc130893341"/>
      <w:bookmarkStart w:id="53" w:name="_Toc130893046"/>
      <w:r>
        <w:rPr>
          <w:rFonts w:hint="eastAsia" w:ascii="方正仿宋_GBK" w:hAnsi="黑体" w:eastAsia="方正仿宋_GBK"/>
          <w:b/>
          <w:color w:val="auto"/>
          <w:sz w:val="28"/>
          <w:highlight w:val="none"/>
        </w:rPr>
        <w:t>八、结算方式</w:t>
      </w:r>
      <w:bookmarkEnd w:id="52"/>
      <w:bookmarkEnd w:id="53"/>
    </w:p>
    <w:p w14:paraId="6284BFA3">
      <w:pPr>
        <w:tabs>
          <w:tab w:val="left" w:pos="0"/>
        </w:tabs>
        <w:adjustRightInd w:val="0"/>
        <w:spacing w:line="48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1、本项材料采购不设预付款，安装完成内部验收合格后支付70%，消防验收合格后支付97%，剩余3%为质保金，待质保期满后付清余款。</w:t>
      </w:r>
    </w:p>
    <w:p w14:paraId="4C458F0E">
      <w:pPr>
        <w:numPr>
          <w:ilvl w:val="0"/>
          <w:numId w:val="1"/>
        </w:numPr>
        <w:spacing w:line="480" w:lineRule="exact"/>
        <w:ind w:firstLine="560" w:firstLineChars="200"/>
        <w:rPr>
          <w:rFonts w:ascii="方正仿宋_GBK" w:eastAsia="方正仿宋_GBK"/>
          <w:color w:val="auto"/>
          <w:sz w:val="28"/>
          <w:szCs w:val="24"/>
          <w:highlight w:val="none"/>
        </w:rPr>
      </w:pPr>
      <w:r>
        <w:rPr>
          <w:rFonts w:hint="eastAsia" w:ascii="方正仿宋_GBK" w:hAnsi="宋体" w:eastAsia="方正仿宋_GBK"/>
          <w:color w:val="auto"/>
          <w:sz w:val="28"/>
          <w:highlight w:val="none"/>
        </w:rPr>
        <w:t>本合同所有款项应付至合同签订单位名称对公账户，户名</w:t>
      </w:r>
      <w:r>
        <w:rPr>
          <w:rFonts w:hint="eastAsia" w:ascii="方正仿宋_GBK" w:hAnsi="宋体" w:eastAsia="方正仿宋_GBK"/>
          <w:color w:val="auto"/>
          <w:sz w:val="28"/>
          <w:highlight w:val="none"/>
          <w:u w:val="single"/>
        </w:rPr>
        <w:t xml:space="preserve">           </w:t>
      </w:r>
      <w:r>
        <w:rPr>
          <w:rFonts w:hint="eastAsia" w:ascii="方正仿宋_GBK" w:hAnsi="宋体" w:eastAsia="方正仿宋_GBK"/>
          <w:color w:val="auto"/>
          <w:sz w:val="28"/>
          <w:highlight w:val="none"/>
        </w:rPr>
        <w:t>、账号</w:t>
      </w:r>
      <w:r>
        <w:rPr>
          <w:rFonts w:hint="eastAsia" w:ascii="方正仿宋_GBK" w:hAnsi="宋体" w:eastAsia="方正仿宋_GBK"/>
          <w:color w:val="auto"/>
          <w:sz w:val="28"/>
          <w:highlight w:val="none"/>
          <w:u w:val="single"/>
        </w:rPr>
        <w:t xml:space="preserve">            </w:t>
      </w:r>
      <w:r>
        <w:rPr>
          <w:rFonts w:hint="eastAsia" w:ascii="方正仿宋_GBK" w:hAnsi="宋体" w:eastAsia="方正仿宋_GBK"/>
          <w:color w:val="auto"/>
          <w:sz w:val="28"/>
          <w:highlight w:val="none"/>
        </w:rPr>
        <w:t>。</w:t>
      </w:r>
      <w:r>
        <w:rPr>
          <w:rFonts w:hint="eastAsia" w:ascii="方正仿宋_GBK" w:eastAsia="方正仿宋_GBK"/>
          <w:color w:val="auto"/>
          <w:sz w:val="28"/>
          <w:szCs w:val="24"/>
          <w:highlight w:val="none"/>
        </w:rPr>
        <w:t xml:space="preserve">未经乙方书面授权，甲方不得向任何单位或个人支付款项，否则造成的一切经济损失由甲方承担。   </w:t>
      </w:r>
    </w:p>
    <w:p w14:paraId="012588C9">
      <w:pPr>
        <w:tabs>
          <w:tab w:val="left" w:pos="0"/>
        </w:tabs>
        <w:adjustRightInd w:val="0"/>
        <w:spacing w:line="48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3、供货单位根据总金额一次性提供增值税专用发票，税率：</w:t>
      </w:r>
      <w:r>
        <w:rPr>
          <w:rFonts w:hint="eastAsia" w:ascii="方正仿宋_GBK" w:hAnsi="宋体" w:eastAsia="方正仿宋_GBK"/>
          <w:color w:val="auto"/>
          <w:sz w:val="28"/>
          <w:szCs w:val="28"/>
          <w:highlight w:val="none"/>
          <w:u w:val="single"/>
        </w:rPr>
        <w:t xml:space="preserve">   </w:t>
      </w:r>
      <w:r>
        <w:rPr>
          <w:rFonts w:hint="eastAsia" w:ascii="方正仿宋_GBK" w:hAnsi="宋体" w:eastAsia="方正仿宋_GBK"/>
          <w:color w:val="auto"/>
          <w:sz w:val="28"/>
          <w:szCs w:val="28"/>
          <w:highlight w:val="none"/>
        </w:rPr>
        <w:t>%，采购方收到发票后15个工作日内以转账方式支付货款。结算时如未开具增值税专用发票，采购方将从货款中扣除相应税额。</w:t>
      </w:r>
    </w:p>
    <w:p w14:paraId="56902464">
      <w:pPr>
        <w:tabs>
          <w:tab w:val="left" w:pos="0"/>
        </w:tabs>
        <w:adjustRightInd w:val="0"/>
        <w:spacing w:line="48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4、</w:t>
      </w:r>
      <w:r>
        <w:rPr>
          <w:rFonts w:hint="eastAsia" w:ascii="方正仿宋_GBK" w:eastAsia="方正仿宋_GBK"/>
          <w:color w:val="auto"/>
          <w:sz w:val="28"/>
          <w:szCs w:val="28"/>
          <w:highlight w:val="none"/>
        </w:rPr>
        <w:t>履约保证金退付：在保证工程顺利推进，无质量、安全等问题的情况下，甲方在</w:t>
      </w:r>
      <w:r>
        <w:rPr>
          <w:rFonts w:hint="eastAsia" w:ascii="方正仿宋_GBK" w:eastAsia="方正仿宋_GBK"/>
          <w:color w:val="auto"/>
          <w:sz w:val="28"/>
          <w:szCs w:val="28"/>
          <w:highlight w:val="none"/>
          <w:lang w:eastAsia="zh-CN"/>
        </w:rPr>
        <w:t>支付</w:t>
      </w:r>
      <w:r>
        <w:rPr>
          <w:rFonts w:hint="eastAsia" w:ascii="方正仿宋_GBK" w:eastAsia="方正仿宋_GBK"/>
          <w:color w:val="auto"/>
          <w:sz w:val="28"/>
          <w:szCs w:val="28"/>
          <w:highlight w:val="none"/>
        </w:rPr>
        <w:t>总金额97%时一并无息退付履约保证金</w:t>
      </w:r>
      <w:r>
        <w:rPr>
          <w:rFonts w:hint="eastAsia" w:ascii="方正仿宋_GBK" w:eastAsia="方正仿宋_GBK"/>
          <w:color w:val="auto"/>
          <w:sz w:val="28"/>
          <w:szCs w:val="28"/>
          <w:highlight w:val="none"/>
          <w:u w:val="single"/>
        </w:rPr>
        <w:t xml:space="preserve">  </w:t>
      </w:r>
      <w:r>
        <w:rPr>
          <w:rFonts w:hint="eastAsia" w:ascii="方正仿宋_GBK" w:eastAsia="方正仿宋_GBK"/>
          <w:color w:val="auto"/>
          <w:sz w:val="28"/>
          <w:szCs w:val="28"/>
          <w:highlight w:val="none"/>
          <w:u w:val="single"/>
          <w:lang w:val="en-US" w:eastAsia="zh-CN"/>
        </w:rPr>
        <w:t>20000.00</w:t>
      </w:r>
      <w:r>
        <w:rPr>
          <w:rFonts w:hint="eastAsia" w:ascii="方正仿宋_GBK" w:eastAsia="方正仿宋_GBK"/>
          <w:color w:val="auto"/>
          <w:sz w:val="28"/>
          <w:szCs w:val="28"/>
          <w:highlight w:val="none"/>
          <w:u w:val="single"/>
        </w:rPr>
        <w:t xml:space="preserve"> </w:t>
      </w:r>
      <w:r>
        <w:rPr>
          <w:rFonts w:hint="eastAsia" w:ascii="方正仿宋_GBK" w:eastAsia="方正仿宋_GBK"/>
          <w:color w:val="auto"/>
          <w:sz w:val="28"/>
          <w:szCs w:val="28"/>
          <w:highlight w:val="none"/>
        </w:rPr>
        <w:t>元（大写：</w:t>
      </w:r>
      <w:r>
        <w:rPr>
          <w:rFonts w:hint="eastAsia" w:ascii="方正仿宋_GBK" w:eastAsia="方正仿宋_GBK"/>
          <w:color w:val="auto"/>
          <w:sz w:val="28"/>
          <w:szCs w:val="28"/>
          <w:highlight w:val="none"/>
          <w:u w:val="single"/>
        </w:rPr>
        <w:t xml:space="preserve">  </w:t>
      </w:r>
      <w:r>
        <w:rPr>
          <w:rFonts w:hint="eastAsia" w:ascii="方正仿宋_GBK" w:eastAsia="方正仿宋_GBK"/>
          <w:color w:val="auto"/>
          <w:sz w:val="28"/>
          <w:szCs w:val="28"/>
          <w:highlight w:val="none"/>
          <w:u w:val="single"/>
          <w:lang w:val="en-US" w:eastAsia="zh-CN"/>
        </w:rPr>
        <w:t>贰万元整</w:t>
      </w:r>
      <w:r>
        <w:rPr>
          <w:rFonts w:hint="eastAsia" w:ascii="方正仿宋_GBK" w:eastAsia="方正仿宋_GBK"/>
          <w:color w:val="auto"/>
          <w:sz w:val="28"/>
          <w:szCs w:val="28"/>
          <w:highlight w:val="none"/>
          <w:u w:val="single"/>
        </w:rPr>
        <w:t xml:space="preserve">  </w:t>
      </w:r>
      <w:r>
        <w:rPr>
          <w:rFonts w:hint="eastAsia" w:ascii="方正仿宋_GBK" w:eastAsia="方正仿宋_GBK"/>
          <w:color w:val="auto"/>
          <w:sz w:val="28"/>
          <w:szCs w:val="28"/>
          <w:highlight w:val="none"/>
        </w:rPr>
        <w:t>）给乙方，乙方按照甲方财务室要求提供相关资料办理退付手续。</w:t>
      </w:r>
    </w:p>
    <w:p w14:paraId="2A2617D0">
      <w:pPr>
        <w:spacing w:line="480" w:lineRule="exact"/>
        <w:ind w:firstLine="562" w:firstLineChars="200"/>
        <w:rPr>
          <w:rFonts w:ascii="方正仿宋_GBK" w:eastAsia="方正仿宋_GBK"/>
          <w:b/>
          <w:color w:val="auto"/>
          <w:sz w:val="28"/>
          <w:szCs w:val="28"/>
          <w:highlight w:val="none"/>
        </w:rPr>
      </w:pPr>
      <w:r>
        <w:rPr>
          <w:rFonts w:hint="eastAsia" w:ascii="方正仿宋_GBK" w:hAnsi="宋体" w:eastAsia="方正仿宋_GBK"/>
          <w:b/>
          <w:color w:val="auto"/>
          <w:sz w:val="28"/>
          <w:szCs w:val="28"/>
          <w:highlight w:val="none"/>
        </w:rPr>
        <w:t>九、 环境保护和安全作业</w:t>
      </w:r>
    </w:p>
    <w:p w14:paraId="2D2F4BE5">
      <w:pPr>
        <w:spacing w:line="480" w:lineRule="exact"/>
        <w:ind w:firstLine="560" w:firstLineChars="200"/>
        <w:jc w:val="left"/>
        <w:rPr>
          <w:rFonts w:ascii="方正仿宋_GBK" w:hAnsi="宋体" w:eastAsia="方正仿宋_GBK"/>
          <w:color w:val="auto"/>
          <w:sz w:val="28"/>
          <w:highlight w:val="none"/>
        </w:rPr>
      </w:pPr>
      <w:r>
        <w:rPr>
          <w:rFonts w:hint="eastAsia" w:ascii="方正仿宋_GBK" w:hAnsi="宋体" w:eastAsia="方正仿宋_GBK"/>
          <w:color w:val="auto"/>
          <w:sz w:val="28"/>
          <w:highlight w:val="none"/>
        </w:rPr>
        <w:t>1、安全作业包含但不限于安全生产设施、安全生产标语、标志以及</w:t>
      </w:r>
      <w:r>
        <w:rPr>
          <w:rFonts w:hint="eastAsia" w:ascii="方正仿宋_GBK" w:hAnsi="宋体" w:eastAsia="方正仿宋_GBK"/>
          <w:color w:val="auto"/>
          <w:sz w:val="28"/>
          <w:highlight w:val="none"/>
          <w:lang w:eastAsia="zh-CN"/>
        </w:rPr>
        <w:t>其他安全</w:t>
      </w:r>
      <w:r>
        <w:rPr>
          <w:rFonts w:hint="eastAsia" w:ascii="方正仿宋_GBK" w:hAnsi="宋体" w:eastAsia="方正仿宋_GBK"/>
          <w:color w:val="auto"/>
          <w:sz w:val="28"/>
          <w:highlight w:val="none"/>
        </w:rPr>
        <w:t>生产用具。</w:t>
      </w:r>
    </w:p>
    <w:p w14:paraId="13BD983C">
      <w:pPr>
        <w:spacing w:line="480" w:lineRule="exact"/>
        <w:ind w:firstLine="560" w:firstLineChars="200"/>
        <w:jc w:val="left"/>
        <w:rPr>
          <w:rFonts w:ascii="方正仿宋_GBK" w:hAnsi="宋体" w:eastAsia="方正仿宋_GBK"/>
          <w:color w:val="auto"/>
          <w:sz w:val="28"/>
          <w:highlight w:val="none"/>
        </w:rPr>
      </w:pPr>
      <w:r>
        <w:rPr>
          <w:rFonts w:hint="eastAsia" w:ascii="方正仿宋_GBK" w:hAnsi="宋体" w:eastAsia="方正仿宋_GBK"/>
          <w:color w:val="auto"/>
          <w:sz w:val="28"/>
          <w:highlight w:val="none"/>
        </w:rPr>
        <w:t>2、供方应遵守各项安全生产有关管理规定，严格按安全标准进行作业；加强对所属人员的劳动安全教育和相关培训，提供</w:t>
      </w:r>
      <w:r>
        <w:rPr>
          <w:rFonts w:hint="eastAsia" w:ascii="方正仿宋_GBK" w:hAnsi="宋体" w:eastAsia="方正仿宋_GBK"/>
          <w:color w:val="auto"/>
          <w:sz w:val="28"/>
          <w:highlight w:val="none"/>
          <w:lang w:eastAsia="zh-CN"/>
        </w:rPr>
        <w:t>必需的</w:t>
      </w:r>
      <w:r>
        <w:rPr>
          <w:rFonts w:hint="eastAsia" w:ascii="方正仿宋_GBK" w:hAnsi="宋体" w:eastAsia="方正仿宋_GBK"/>
          <w:color w:val="auto"/>
          <w:sz w:val="28"/>
          <w:highlight w:val="none"/>
        </w:rPr>
        <w:t>劳动防护用品（安全帽等）。若供货期间，供方相关工作人员进入施工现场未佩戴相应劳动防护用品，需方有权按照施工现场违章处罚标准处以相应罚款。</w:t>
      </w:r>
    </w:p>
    <w:p w14:paraId="4B1851CE">
      <w:pPr>
        <w:spacing w:line="480" w:lineRule="exact"/>
        <w:ind w:firstLine="560" w:firstLineChars="200"/>
        <w:jc w:val="left"/>
        <w:rPr>
          <w:rFonts w:ascii="方正仿宋_GBK" w:hAnsi="宋体" w:eastAsia="方正仿宋_GBK"/>
          <w:color w:val="auto"/>
          <w:sz w:val="28"/>
          <w:highlight w:val="none"/>
        </w:rPr>
      </w:pPr>
      <w:r>
        <w:rPr>
          <w:rFonts w:hint="eastAsia" w:ascii="方正仿宋_GBK" w:hAnsi="宋体" w:eastAsia="方正仿宋_GBK"/>
          <w:color w:val="auto"/>
          <w:sz w:val="28"/>
          <w:highlight w:val="none"/>
        </w:rPr>
        <w:t>3、保险约定：供方应自行办理本合同的有关保险，保险费用由供方自理，需方对产品在生产、运输过程中，以及安装、调试验收及质保期维护过程中的风险概不承担责任。如供方所属人员发生工伤事故或其他伤害事故，供方应及时处理，其产生的一切费用均由供方自行承担责任。</w:t>
      </w:r>
    </w:p>
    <w:p w14:paraId="7327E0A0">
      <w:pPr>
        <w:spacing w:line="480" w:lineRule="exact"/>
        <w:ind w:firstLine="560" w:firstLineChars="200"/>
        <w:jc w:val="left"/>
        <w:rPr>
          <w:rFonts w:ascii="方正仿宋_GBK" w:hAnsi="宋体" w:eastAsia="方正仿宋_GBK"/>
          <w:color w:val="auto"/>
          <w:sz w:val="28"/>
          <w:highlight w:val="none"/>
        </w:rPr>
      </w:pPr>
      <w:r>
        <w:rPr>
          <w:rFonts w:hint="eastAsia" w:ascii="方正仿宋_GBK" w:hAnsi="宋体" w:eastAsia="方正仿宋_GBK"/>
          <w:color w:val="auto"/>
          <w:sz w:val="28"/>
          <w:highlight w:val="none"/>
        </w:rPr>
        <w:t>4、供方应严格执行有关主管部门及环保、消防、环卫等有关部门对作业现场的管理规定，做到文明作业，现场整洁有序。</w:t>
      </w:r>
    </w:p>
    <w:p w14:paraId="4D7BD9E9">
      <w:pPr>
        <w:spacing w:line="480" w:lineRule="exact"/>
        <w:ind w:firstLine="560" w:firstLineChars="200"/>
        <w:jc w:val="left"/>
        <w:rPr>
          <w:rFonts w:ascii="方正仿宋_GBK" w:hAnsi="宋体" w:eastAsia="方正仿宋_GBK"/>
          <w:color w:val="auto"/>
          <w:sz w:val="28"/>
          <w:highlight w:val="none"/>
        </w:rPr>
      </w:pPr>
      <w:r>
        <w:rPr>
          <w:rFonts w:hint="eastAsia" w:ascii="方正仿宋_GBK" w:hAnsi="宋体" w:eastAsia="方正仿宋_GBK"/>
          <w:color w:val="auto"/>
          <w:sz w:val="28"/>
          <w:highlight w:val="none"/>
        </w:rPr>
        <w:t>5、市政管理约定：供方应遵守市政管理相关规定，并为其在施工过程中造成的市政道路、桥涵、公共照明、绿化、综合管网等各种设施的损坏以及在施工中不采取有效措施，造成车辆带泥上路等承担修复、清扫及赔偿责任。供方如不主动修复及赔偿或整改不积极的，需方有权按市政管理部的通知直接从供方材料款中进行扣罚。</w:t>
      </w:r>
    </w:p>
    <w:p w14:paraId="34A9A8A5">
      <w:pPr>
        <w:spacing w:line="480" w:lineRule="exact"/>
        <w:ind w:firstLine="562" w:firstLineChars="200"/>
        <w:jc w:val="left"/>
        <w:rPr>
          <w:rFonts w:ascii="方正仿宋_GBK" w:hAnsi="宋体" w:eastAsia="方正仿宋_GBK"/>
          <w:b/>
          <w:color w:val="auto"/>
          <w:sz w:val="28"/>
          <w:szCs w:val="28"/>
          <w:highlight w:val="none"/>
        </w:rPr>
      </w:pPr>
      <w:r>
        <w:rPr>
          <w:rFonts w:hint="eastAsia" w:ascii="方正仿宋_GBK" w:hAnsi="宋体" w:eastAsia="方正仿宋_GBK"/>
          <w:b/>
          <w:color w:val="auto"/>
          <w:sz w:val="28"/>
          <w:szCs w:val="28"/>
          <w:highlight w:val="none"/>
        </w:rPr>
        <w:t>十 、其他约定</w:t>
      </w:r>
    </w:p>
    <w:p w14:paraId="1526F8A9">
      <w:pPr>
        <w:spacing w:line="480" w:lineRule="exact"/>
        <w:ind w:firstLine="560" w:firstLineChars="200"/>
        <w:rPr>
          <w:rFonts w:ascii="方正仿宋_GBK" w:hAnsi="宋体" w:eastAsia="方正仿宋_GBK"/>
          <w:color w:val="auto"/>
          <w:sz w:val="28"/>
          <w:highlight w:val="none"/>
        </w:rPr>
      </w:pPr>
      <w:r>
        <w:rPr>
          <w:rFonts w:hint="eastAsia" w:ascii="方正仿宋_GBK" w:hAnsi="宋体" w:eastAsia="方正仿宋_GBK"/>
          <w:color w:val="auto"/>
          <w:sz w:val="28"/>
          <w:highlight w:val="none"/>
        </w:rPr>
        <w:t>1、乙方如有任何的弄虚作假和不诚信行为，包括以次充好、更改供货日期、更换合格证和检验报告、冒充与供货不实或品种规格、虚增数量和提供虚假的商务资料、提供虚假发票、行贿等等。乙方应无条件承担一切违约责任，承担甲方因此而受到的全部损失，并罚款中选单位且解除合同。</w:t>
      </w:r>
    </w:p>
    <w:p w14:paraId="18AD9243">
      <w:pPr>
        <w:spacing w:line="480" w:lineRule="exact"/>
        <w:ind w:firstLine="560" w:firstLineChars="200"/>
        <w:jc w:val="left"/>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2、如因供货数量、供货时间、质量等未满足甲方要求，从而影响工期等，</w:t>
      </w:r>
      <w:r>
        <w:rPr>
          <w:rFonts w:ascii="方正仿宋_GBK" w:hAnsi="宋体" w:eastAsia="方正仿宋_GBK"/>
          <w:color w:val="auto"/>
          <w:sz w:val="28"/>
          <w:szCs w:val="28"/>
          <w:highlight w:val="none"/>
        </w:rPr>
        <w:t>由此带来的损失由</w:t>
      </w:r>
      <w:r>
        <w:rPr>
          <w:rFonts w:hint="eastAsia" w:ascii="方正仿宋_GBK" w:hAnsi="宋体" w:eastAsia="方正仿宋_GBK"/>
          <w:color w:val="auto"/>
          <w:sz w:val="28"/>
          <w:szCs w:val="28"/>
          <w:highlight w:val="none"/>
        </w:rPr>
        <w:t>乙方全部</w:t>
      </w:r>
      <w:r>
        <w:rPr>
          <w:rFonts w:ascii="方正仿宋_GBK" w:hAnsi="宋体" w:eastAsia="方正仿宋_GBK"/>
          <w:color w:val="auto"/>
          <w:sz w:val="28"/>
          <w:szCs w:val="28"/>
          <w:highlight w:val="none"/>
        </w:rPr>
        <w:t>承担</w:t>
      </w:r>
      <w:r>
        <w:rPr>
          <w:rFonts w:hint="eastAsia" w:ascii="方正仿宋_GBK" w:hAnsi="宋体" w:eastAsia="方正仿宋_GBK"/>
          <w:color w:val="auto"/>
          <w:sz w:val="28"/>
          <w:szCs w:val="28"/>
          <w:highlight w:val="none"/>
        </w:rPr>
        <w:t>。</w:t>
      </w:r>
    </w:p>
    <w:p w14:paraId="2C235AB4">
      <w:pPr>
        <w:spacing w:line="480" w:lineRule="exact"/>
        <w:ind w:firstLine="560" w:firstLineChars="200"/>
        <w:rPr>
          <w:rFonts w:ascii="方正仿宋_GBK" w:eastAsia="方正仿宋_GBK"/>
          <w:color w:val="auto"/>
          <w:sz w:val="28"/>
          <w:highlight w:val="none"/>
        </w:rPr>
      </w:pPr>
      <w:r>
        <w:rPr>
          <w:rFonts w:hint="eastAsia" w:ascii="方正仿宋_GBK" w:eastAsia="方正仿宋_GBK"/>
          <w:color w:val="auto"/>
          <w:sz w:val="28"/>
          <w:szCs w:val="24"/>
          <w:highlight w:val="none"/>
        </w:rPr>
        <w:t>3、因甲方漏报或</w:t>
      </w:r>
      <w:r>
        <w:rPr>
          <w:rFonts w:hint="eastAsia" w:ascii="方正仿宋_GBK" w:hAnsi="宋体" w:eastAsia="方正仿宋_GBK"/>
          <w:color w:val="auto"/>
          <w:sz w:val="28"/>
          <w:szCs w:val="28"/>
          <w:highlight w:val="none"/>
        </w:rPr>
        <w:t>因业主方、设计变更等因素导致合同中约定的产品用量增补</w:t>
      </w:r>
      <w:r>
        <w:rPr>
          <w:rFonts w:hint="eastAsia" w:ascii="方正仿宋_GBK" w:eastAsia="方正仿宋_GBK"/>
          <w:color w:val="auto"/>
          <w:sz w:val="28"/>
          <w:szCs w:val="24"/>
          <w:highlight w:val="none"/>
        </w:rPr>
        <w:t>防火门、</w:t>
      </w:r>
      <w:r>
        <w:rPr>
          <w:rFonts w:hint="eastAsia" w:ascii="方正仿宋_GBK" w:eastAsia="方正仿宋_GBK"/>
          <w:color w:val="auto"/>
          <w:sz w:val="28"/>
          <w:szCs w:val="24"/>
          <w:highlight w:val="none"/>
          <w:lang w:val="en-US" w:eastAsia="zh-CN"/>
        </w:rPr>
        <w:t>木门</w:t>
      </w:r>
      <w:r>
        <w:rPr>
          <w:rFonts w:hint="eastAsia" w:ascii="方正仿宋_GBK" w:eastAsia="方正仿宋_GBK"/>
          <w:color w:val="auto"/>
          <w:sz w:val="28"/>
          <w:szCs w:val="24"/>
          <w:highlight w:val="none"/>
        </w:rPr>
        <w:t>、</w:t>
      </w:r>
      <w:r>
        <w:rPr>
          <w:rFonts w:hint="eastAsia" w:ascii="方正仿宋_GBK" w:eastAsia="方正仿宋_GBK"/>
          <w:color w:val="auto"/>
          <w:sz w:val="28"/>
          <w:szCs w:val="24"/>
          <w:highlight w:val="none"/>
          <w:lang w:val="en-US" w:eastAsia="zh-CN"/>
        </w:rPr>
        <w:t>钢质门</w:t>
      </w:r>
      <w:r>
        <w:rPr>
          <w:rFonts w:hint="eastAsia" w:ascii="方正仿宋_GBK" w:eastAsia="方正仿宋_GBK"/>
          <w:color w:val="auto"/>
          <w:sz w:val="28"/>
          <w:szCs w:val="24"/>
          <w:highlight w:val="none"/>
        </w:rPr>
        <w:t>，由甲方提供规格尺寸后，其增加防火门、</w:t>
      </w:r>
      <w:r>
        <w:rPr>
          <w:rFonts w:hint="eastAsia" w:ascii="方正仿宋_GBK" w:eastAsia="方正仿宋_GBK"/>
          <w:color w:val="auto"/>
          <w:sz w:val="28"/>
          <w:szCs w:val="24"/>
          <w:highlight w:val="none"/>
          <w:lang w:val="en-US" w:eastAsia="zh-CN"/>
        </w:rPr>
        <w:t>木门</w:t>
      </w:r>
      <w:r>
        <w:rPr>
          <w:rFonts w:hint="eastAsia" w:ascii="方正仿宋_GBK" w:eastAsia="方正仿宋_GBK"/>
          <w:color w:val="auto"/>
          <w:sz w:val="28"/>
          <w:szCs w:val="24"/>
          <w:highlight w:val="none"/>
        </w:rPr>
        <w:t>、</w:t>
      </w:r>
      <w:r>
        <w:rPr>
          <w:rFonts w:hint="eastAsia" w:ascii="方正仿宋_GBK" w:eastAsia="方正仿宋_GBK"/>
          <w:color w:val="auto"/>
          <w:sz w:val="28"/>
          <w:szCs w:val="24"/>
          <w:highlight w:val="none"/>
          <w:lang w:val="en-US" w:eastAsia="zh-CN"/>
        </w:rPr>
        <w:t>钢质门</w:t>
      </w:r>
      <w:r>
        <w:rPr>
          <w:rFonts w:hint="eastAsia" w:ascii="方正仿宋_GBK" w:eastAsia="方正仿宋_GBK"/>
          <w:color w:val="auto"/>
          <w:sz w:val="28"/>
          <w:szCs w:val="24"/>
          <w:highlight w:val="none"/>
        </w:rPr>
        <w:t>的价格按合同约定单价计费，如需其他类型的防火门、</w:t>
      </w:r>
      <w:r>
        <w:rPr>
          <w:rFonts w:hint="eastAsia" w:ascii="方正仿宋_GBK" w:eastAsia="方正仿宋_GBK"/>
          <w:color w:val="auto"/>
          <w:sz w:val="28"/>
          <w:szCs w:val="24"/>
          <w:highlight w:val="none"/>
          <w:lang w:val="en-US" w:eastAsia="zh-CN"/>
        </w:rPr>
        <w:t>木门</w:t>
      </w:r>
      <w:r>
        <w:rPr>
          <w:rFonts w:hint="eastAsia" w:ascii="方正仿宋_GBK" w:eastAsia="方正仿宋_GBK"/>
          <w:color w:val="auto"/>
          <w:sz w:val="28"/>
          <w:szCs w:val="24"/>
          <w:highlight w:val="none"/>
        </w:rPr>
        <w:t>、</w:t>
      </w:r>
      <w:r>
        <w:rPr>
          <w:rFonts w:hint="eastAsia" w:ascii="方正仿宋_GBK" w:eastAsia="方正仿宋_GBK"/>
          <w:color w:val="auto"/>
          <w:sz w:val="28"/>
          <w:szCs w:val="24"/>
          <w:highlight w:val="none"/>
          <w:lang w:val="en-US" w:eastAsia="zh-CN"/>
        </w:rPr>
        <w:t>钢质门</w:t>
      </w:r>
      <w:r>
        <w:rPr>
          <w:rFonts w:hint="eastAsia" w:ascii="方正仿宋_GBK" w:eastAsia="方正仿宋_GBK"/>
          <w:color w:val="auto"/>
          <w:sz w:val="28"/>
          <w:szCs w:val="24"/>
          <w:highlight w:val="none"/>
        </w:rPr>
        <w:t>，按市场询价，双方协商单价完善相关手续。乙方不能因为量的增加或减少提出任何异议。</w:t>
      </w:r>
    </w:p>
    <w:p w14:paraId="56E409B5">
      <w:pPr>
        <w:spacing w:line="48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4、增加的量应由物资部人员通知后再定制安装，若非物资部人员通知且供货的，经查证后甲方有权拒绝结算。</w:t>
      </w:r>
    </w:p>
    <w:p w14:paraId="3A095F99">
      <w:pPr>
        <w:spacing w:line="48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5、在增加合同总量的10%以内不再签订补充协议，超过合同总量10%的，</w:t>
      </w:r>
      <w:r>
        <w:rPr>
          <w:rFonts w:hint="eastAsia" w:ascii="方正仿宋_GBK" w:hAnsi="宋体" w:eastAsia="方正仿宋_GBK"/>
          <w:color w:val="auto"/>
          <w:sz w:val="28"/>
          <w:szCs w:val="28"/>
          <w:highlight w:val="none"/>
          <w:lang w:eastAsia="zh-CN"/>
        </w:rPr>
        <w:t>应</w:t>
      </w:r>
      <w:r>
        <w:rPr>
          <w:rFonts w:hint="eastAsia" w:ascii="方正仿宋_GBK" w:hAnsi="宋体" w:eastAsia="方正仿宋_GBK"/>
          <w:color w:val="auto"/>
          <w:sz w:val="28"/>
          <w:szCs w:val="28"/>
          <w:highlight w:val="none"/>
        </w:rPr>
        <w:t>重新签订补充协议。</w:t>
      </w:r>
    </w:p>
    <w:p w14:paraId="0F6941F4">
      <w:pPr>
        <w:spacing w:line="480" w:lineRule="exact"/>
        <w:ind w:firstLine="560" w:firstLineChars="200"/>
        <w:rPr>
          <w:rFonts w:ascii="方正仿宋_GBK" w:eastAsia="方正仿宋_GBK"/>
          <w:color w:val="auto"/>
          <w:sz w:val="28"/>
          <w:szCs w:val="24"/>
          <w:highlight w:val="none"/>
        </w:rPr>
      </w:pPr>
      <w:r>
        <w:rPr>
          <w:rFonts w:hint="eastAsia" w:ascii="方正仿宋_GBK" w:eastAsia="方正仿宋_GBK"/>
          <w:color w:val="auto"/>
          <w:sz w:val="28"/>
          <w:szCs w:val="24"/>
          <w:highlight w:val="none"/>
        </w:rPr>
        <w:t>6、乙方提供的产品未能达到公安消防验收合格的，由乙方负责整改直至消防验收合格。</w:t>
      </w:r>
    </w:p>
    <w:p w14:paraId="7B90AFA2">
      <w:pPr>
        <w:spacing w:line="480" w:lineRule="exact"/>
        <w:ind w:firstLine="562" w:firstLineChars="200"/>
        <w:rPr>
          <w:rFonts w:ascii="方正仿宋_GBK" w:eastAsia="方正仿宋_GBK"/>
          <w:b/>
          <w:bCs/>
          <w:color w:val="auto"/>
          <w:sz w:val="28"/>
          <w:highlight w:val="none"/>
        </w:rPr>
      </w:pPr>
      <w:r>
        <w:rPr>
          <w:rFonts w:hint="eastAsia" w:ascii="方正仿宋_GBK" w:eastAsia="方正仿宋_GBK"/>
          <w:b/>
          <w:bCs/>
          <w:color w:val="auto"/>
          <w:sz w:val="28"/>
          <w:highlight w:val="none"/>
        </w:rPr>
        <w:t>十一、廉政约定：</w:t>
      </w:r>
    </w:p>
    <w:p w14:paraId="38739920">
      <w:pPr>
        <w:tabs>
          <w:tab w:val="left" w:pos="900"/>
        </w:tabs>
        <w:spacing w:line="480" w:lineRule="exact"/>
        <w:ind w:firstLine="560" w:firstLineChars="200"/>
        <w:rPr>
          <w:rFonts w:ascii="方正仿宋_GBK" w:hAnsi="宋体" w:eastAsia="方正仿宋_GBK" w:cs="宋体"/>
          <w:color w:val="auto"/>
          <w:kern w:val="0"/>
          <w:sz w:val="28"/>
          <w:highlight w:val="none"/>
        </w:rPr>
      </w:pPr>
      <w:r>
        <w:rPr>
          <w:rFonts w:hint="eastAsia" w:ascii="方正仿宋_GBK" w:hAnsi="宋体" w:eastAsia="方正仿宋_GBK" w:cs="宋体"/>
          <w:color w:val="auto"/>
          <w:kern w:val="0"/>
          <w:sz w:val="28"/>
          <w:highlight w:val="none"/>
        </w:rPr>
        <w:t>乙方在供货期间必须保持廉洁自律的工作作风，不得采用任何手段行贿甲方工作人员，乙方法定代表人及其现场主要管理人员有接受经开区中心检察室廉政约谈的义务。</w:t>
      </w:r>
    </w:p>
    <w:p w14:paraId="316EA8E0">
      <w:pPr>
        <w:spacing w:line="480" w:lineRule="exact"/>
        <w:ind w:firstLine="562" w:firstLineChars="200"/>
        <w:rPr>
          <w:rFonts w:ascii="方正仿宋_GBK" w:eastAsia="方正仿宋_GBK"/>
          <w:b/>
          <w:bCs/>
          <w:color w:val="auto"/>
          <w:sz w:val="28"/>
          <w:highlight w:val="none"/>
        </w:rPr>
      </w:pPr>
      <w:r>
        <w:rPr>
          <w:rFonts w:hint="eastAsia" w:ascii="方正仿宋_GBK" w:eastAsia="方正仿宋_GBK"/>
          <w:b/>
          <w:bCs/>
          <w:color w:val="auto"/>
          <w:sz w:val="28"/>
          <w:highlight w:val="none"/>
        </w:rPr>
        <w:t>十二、监督约定：</w:t>
      </w:r>
    </w:p>
    <w:p w14:paraId="1F004C92">
      <w:pPr>
        <w:spacing w:line="480" w:lineRule="exact"/>
        <w:ind w:firstLine="560" w:firstLineChars="200"/>
        <w:rPr>
          <w:rFonts w:ascii="方正仿宋_GBK" w:eastAsia="方正仿宋_GBK"/>
          <w:bCs/>
          <w:color w:val="auto"/>
          <w:sz w:val="28"/>
          <w:highlight w:val="none"/>
        </w:rPr>
      </w:pPr>
      <w:r>
        <w:rPr>
          <w:rFonts w:hint="eastAsia" w:ascii="方正仿宋_GBK" w:eastAsia="方正仿宋_GBK"/>
          <w:bCs/>
          <w:color w:val="auto"/>
          <w:sz w:val="28"/>
          <w:highlight w:val="none"/>
        </w:rPr>
        <w:t>甲方施工现场管理人员、施工人员及分包单位等都具有同等的监督权力。监督供方所供货物质量、数量等情况，若甲方对乙方所供货物质量、数量提出异议，乙方应无条件退换货。</w:t>
      </w:r>
    </w:p>
    <w:p w14:paraId="41BA4519">
      <w:pPr>
        <w:spacing w:line="480" w:lineRule="exact"/>
        <w:ind w:firstLine="562" w:firstLineChars="200"/>
        <w:rPr>
          <w:rFonts w:ascii="方正仿宋_GBK" w:hAnsi="宋体" w:eastAsia="方正仿宋_GBK"/>
          <w:b/>
          <w:color w:val="auto"/>
          <w:sz w:val="28"/>
          <w:szCs w:val="28"/>
          <w:highlight w:val="none"/>
        </w:rPr>
      </w:pPr>
      <w:r>
        <w:rPr>
          <w:rFonts w:hint="eastAsia" w:ascii="方正仿宋_GBK" w:eastAsia="方正仿宋_GBK"/>
          <w:b/>
          <w:color w:val="auto"/>
          <w:sz w:val="28"/>
          <w:szCs w:val="24"/>
          <w:highlight w:val="none"/>
        </w:rPr>
        <w:t>十三、</w:t>
      </w:r>
      <w:r>
        <w:rPr>
          <w:rFonts w:hint="eastAsia" w:ascii="方正仿宋_GBK" w:hAnsi="宋体" w:eastAsia="方正仿宋_GBK"/>
          <w:b/>
          <w:color w:val="auto"/>
          <w:sz w:val="28"/>
          <w:szCs w:val="28"/>
          <w:highlight w:val="none"/>
        </w:rPr>
        <w:t>争议解决</w:t>
      </w:r>
    </w:p>
    <w:p w14:paraId="4584A7CF">
      <w:pPr>
        <w:spacing w:line="48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供需双方在履行合同时发生争议，可以自行协商解决；协商不成或不愿协商，任何一方可向项目所在地人民法院提起诉讼。</w:t>
      </w:r>
    </w:p>
    <w:p w14:paraId="3D0C006A">
      <w:pPr>
        <w:spacing w:line="480" w:lineRule="exact"/>
        <w:ind w:firstLine="562" w:firstLineChars="200"/>
        <w:rPr>
          <w:rFonts w:ascii="方正仿宋_GBK" w:hAnsi="宋体" w:eastAsia="方正仿宋_GBK"/>
          <w:b/>
          <w:color w:val="auto"/>
          <w:sz w:val="28"/>
          <w:szCs w:val="28"/>
          <w:highlight w:val="none"/>
        </w:rPr>
      </w:pPr>
      <w:r>
        <w:rPr>
          <w:rFonts w:hint="eastAsia" w:ascii="方正仿宋_GBK" w:hAnsi="宋体" w:eastAsia="方正仿宋_GBK"/>
          <w:b/>
          <w:color w:val="auto"/>
          <w:sz w:val="28"/>
          <w:szCs w:val="28"/>
          <w:highlight w:val="none"/>
        </w:rPr>
        <w:t>十四 、合同生效</w:t>
      </w:r>
    </w:p>
    <w:p w14:paraId="29A5983E">
      <w:pPr>
        <w:snapToGrid w:val="0"/>
        <w:spacing w:line="480" w:lineRule="exact"/>
        <w:ind w:firstLine="570"/>
        <w:rPr>
          <w:rFonts w:ascii="方正仿宋_GBK" w:hAnsi="宋体" w:eastAsia="方正仿宋_GBK" w:cs="MingLiU"/>
          <w:color w:val="auto"/>
          <w:kern w:val="0"/>
          <w:sz w:val="32"/>
          <w:szCs w:val="28"/>
          <w:highlight w:val="none"/>
        </w:rPr>
      </w:pPr>
      <w:r>
        <w:rPr>
          <w:rFonts w:hint="eastAsia" w:ascii="方正仿宋_GBK" w:hAnsi="宋体" w:eastAsia="方正仿宋_GBK"/>
          <w:color w:val="auto"/>
          <w:sz w:val="28"/>
          <w:szCs w:val="28"/>
          <w:highlight w:val="none"/>
        </w:rPr>
        <w:t>本合同一式伍份，甲方肆份，乙方执壹份，经供需双方签字盖章后生</w:t>
      </w:r>
    </w:p>
    <w:p w14:paraId="7835F3F6">
      <w:pPr>
        <w:spacing w:line="480" w:lineRule="exact"/>
        <w:rPr>
          <w:rFonts w:ascii="方正仿宋_GBK" w:eastAsia="方正仿宋_GBK"/>
          <w:color w:val="auto"/>
          <w:sz w:val="28"/>
          <w:szCs w:val="24"/>
          <w:highlight w:val="none"/>
        </w:rPr>
      </w:pPr>
      <w:r>
        <w:rPr>
          <w:rFonts w:hint="eastAsia" w:ascii="方正仿宋_GBK" w:eastAsia="方正仿宋_GBK"/>
          <w:color w:val="auto"/>
          <w:sz w:val="28"/>
          <w:szCs w:val="24"/>
          <w:highlight w:val="none"/>
        </w:rPr>
        <w:t xml:space="preserve">     </w:t>
      </w:r>
      <w:r>
        <w:rPr>
          <w:rFonts w:hint="eastAsia" w:ascii="方正仿宋_GBK" w:hAnsi="宋体" w:eastAsia="方正仿宋_GBK"/>
          <w:color w:val="auto"/>
          <w:sz w:val="28"/>
          <w:szCs w:val="28"/>
          <w:highlight w:val="none"/>
        </w:rPr>
        <w:t xml:space="preserve">需方（盖章）：                   供方（签章 ）：     </w:t>
      </w:r>
    </w:p>
    <w:p w14:paraId="397BD29B">
      <w:pPr>
        <w:spacing w:line="480" w:lineRule="exact"/>
        <w:ind w:firstLine="697" w:firstLineChars="249"/>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法定代表人或                    法定代表人或</w:t>
      </w:r>
    </w:p>
    <w:p w14:paraId="73F4A811">
      <w:pPr>
        <w:spacing w:line="480" w:lineRule="exact"/>
        <w:ind w:firstLine="686" w:firstLineChars="245"/>
        <w:jc w:val="left"/>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 xml:space="preserve">委托代理人：                    委托代理人：    </w:t>
      </w:r>
    </w:p>
    <w:p w14:paraId="60A22242">
      <w:pPr>
        <w:spacing w:line="480" w:lineRule="exact"/>
        <w:ind w:firstLine="697" w:firstLineChars="249"/>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 xml:space="preserve">经办人：                        经办人：  </w:t>
      </w:r>
    </w:p>
    <w:p w14:paraId="499ACCE0">
      <w:pPr>
        <w:spacing w:line="480" w:lineRule="exact"/>
        <w:ind w:firstLine="560" w:firstLineChars="200"/>
        <w:rPr>
          <w:rFonts w:ascii="方正仿宋_GBK" w:hAnsi="宋体" w:eastAsia="方正仿宋_GBK" w:cs="宋体"/>
          <w:color w:val="auto"/>
          <w:kern w:val="0"/>
          <w:sz w:val="28"/>
          <w:szCs w:val="48"/>
          <w:highlight w:val="none"/>
        </w:rPr>
      </w:pPr>
      <w:r>
        <w:rPr>
          <w:rFonts w:hint="eastAsia" w:ascii="方正仿宋_GBK" w:hAnsi="宋体" w:eastAsia="方正仿宋_GBK"/>
          <w:color w:val="auto"/>
          <w:sz w:val="28"/>
          <w:szCs w:val="28"/>
          <w:highlight w:val="none"/>
        </w:rPr>
        <w:t xml:space="preserve"> </w:t>
      </w:r>
      <w:r>
        <w:rPr>
          <w:rFonts w:hint="eastAsia" w:ascii="方正仿宋_GBK" w:hAnsi="宋体" w:eastAsia="方正仿宋_GBK" w:cs="宋体"/>
          <w:color w:val="auto"/>
          <w:kern w:val="0"/>
          <w:sz w:val="28"/>
          <w:szCs w:val="48"/>
          <w:highlight w:val="none"/>
        </w:rPr>
        <w:t>联系电话：  023-58155217       联系电话：</w:t>
      </w:r>
    </w:p>
    <w:p w14:paraId="74B494E7">
      <w:pPr>
        <w:tabs>
          <w:tab w:val="left" w:pos="0"/>
        </w:tabs>
        <w:jc w:val="center"/>
        <w:rPr>
          <w:rFonts w:ascii="方正仿宋_GBK" w:hAnsi="宋体" w:eastAsia="方正仿宋_GBK"/>
          <w:b/>
          <w:bCs/>
          <w:color w:val="auto"/>
          <w:sz w:val="32"/>
          <w:szCs w:val="36"/>
          <w:highlight w:val="none"/>
        </w:rPr>
      </w:pPr>
      <w:r>
        <w:rPr>
          <w:rFonts w:hint="eastAsia" w:ascii="方正仿宋_GBK" w:hAnsi="宋体" w:eastAsia="方正仿宋_GBK" w:cs="宋体"/>
          <w:color w:val="auto"/>
          <w:kern w:val="0"/>
          <w:sz w:val="28"/>
          <w:szCs w:val="48"/>
          <w:highlight w:val="none"/>
        </w:rPr>
        <w:t xml:space="preserve">           签订时间：</w:t>
      </w:r>
      <w:r>
        <w:rPr>
          <w:rFonts w:ascii="方正仿宋_GBK" w:hAnsi="宋体" w:eastAsia="方正仿宋_GBK" w:cs="宋体"/>
          <w:color w:val="auto"/>
          <w:kern w:val="0"/>
          <w:sz w:val="36"/>
          <w:szCs w:val="44"/>
          <w:highlight w:val="none"/>
        </w:rPr>
        <w:br w:type="page"/>
      </w:r>
      <w:r>
        <w:rPr>
          <w:rFonts w:hint="eastAsia" w:ascii="方正仿宋_GBK" w:eastAsia="方正仿宋_GBK"/>
          <w:b/>
          <w:bCs/>
          <w:color w:val="auto"/>
          <w:sz w:val="36"/>
          <w:szCs w:val="36"/>
          <w:highlight w:val="none"/>
          <w:lang w:val="en-US" w:eastAsia="zh-CN"/>
        </w:rPr>
        <w:t>重庆市万州第二高级中学高峰校区学生宿舍建设项目</w:t>
      </w:r>
    </w:p>
    <w:p w14:paraId="6F240C62">
      <w:pPr>
        <w:tabs>
          <w:tab w:val="left" w:pos="0"/>
        </w:tabs>
        <w:jc w:val="center"/>
        <w:rPr>
          <w:rFonts w:ascii="方正仿宋_GBK" w:hAnsi="宋体" w:eastAsia="方正仿宋_GBK"/>
          <w:b/>
          <w:bCs/>
          <w:color w:val="auto"/>
          <w:sz w:val="32"/>
          <w:szCs w:val="36"/>
          <w:highlight w:val="none"/>
        </w:rPr>
      </w:pPr>
      <w:r>
        <w:rPr>
          <w:rFonts w:hint="eastAsia" w:ascii="方正仿宋_GBK" w:hAnsi="宋体" w:eastAsia="方正仿宋_GBK"/>
          <w:b/>
          <w:bCs/>
          <w:color w:val="auto"/>
          <w:sz w:val="32"/>
          <w:szCs w:val="36"/>
          <w:highlight w:val="none"/>
        </w:rPr>
        <w:t>采购防火门、</w:t>
      </w:r>
      <w:r>
        <w:rPr>
          <w:rFonts w:hint="eastAsia" w:ascii="方正仿宋_GBK" w:hAnsi="宋体" w:eastAsia="方正仿宋_GBK"/>
          <w:b/>
          <w:bCs/>
          <w:color w:val="auto"/>
          <w:sz w:val="32"/>
          <w:szCs w:val="36"/>
          <w:highlight w:val="none"/>
          <w:lang w:val="en-US" w:eastAsia="zh-CN"/>
        </w:rPr>
        <w:t>成品木门扇、钢质门</w:t>
      </w:r>
    </w:p>
    <w:p w14:paraId="2F1B01B6">
      <w:pPr>
        <w:tabs>
          <w:tab w:val="left" w:pos="0"/>
        </w:tabs>
        <w:jc w:val="center"/>
        <w:rPr>
          <w:rFonts w:ascii="方正仿宋_GBK" w:hAnsi="宋体" w:eastAsia="方正仿宋_GBK"/>
          <w:b/>
          <w:bCs/>
          <w:color w:val="auto"/>
          <w:sz w:val="36"/>
          <w:szCs w:val="36"/>
          <w:highlight w:val="none"/>
        </w:rPr>
      </w:pPr>
    </w:p>
    <w:p w14:paraId="6D9588F8">
      <w:pPr>
        <w:adjustRightInd w:val="0"/>
        <w:snapToGrid w:val="0"/>
        <w:spacing w:line="360" w:lineRule="auto"/>
        <w:jc w:val="center"/>
        <w:rPr>
          <w:rFonts w:ascii="方正仿宋_GBK" w:hAnsi="黑体" w:eastAsia="方正仿宋_GBK" w:cs="宋体"/>
          <w:b/>
          <w:bCs/>
          <w:color w:val="auto"/>
          <w:kern w:val="0"/>
          <w:sz w:val="52"/>
          <w:szCs w:val="21"/>
          <w:highlight w:val="none"/>
        </w:rPr>
      </w:pPr>
    </w:p>
    <w:p w14:paraId="24DA882E">
      <w:pPr>
        <w:adjustRightInd w:val="0"/>
        <w:snapToGrid w:val="0"/>
        <w:spacing w:line="360" w:lineRule="auto"/>
        <w:jc w:val="center"/>
        <w:rPr>
          <w:rFonts w:ascii="方正仿宋_GBK" w:hAnsi="黑体" w:eastAsia="方正仿宋_GBK" w:cs="宋体"/>
          <w:b/>
          <w:bCs/>
          <w:color w:val="auto"/>
          <w:kern w:val="0"/>
          <w:sz w:val="52"/>
          <w:szCs w:val="21"/>
          <w:highlight w:val="none"/>
        </w:rPr>
      </w:pPr>
    </w:p>
    <w:p w14:paraId="2142393E">
      <w:pPr>
        <w:adjustRightInd w:val="0"/>
        <w:snapToGrid w:val="0"/>
        <w:spacing w:line="360" w:lineRule="auto"/>
        <w:jc w:val="center"/>
        <w:rPr>
          <w:rFonts w:ascii="方正仿宋_GBK" w:hAnsi="黑体" w:eastAsia="方正仿宋_GBK" w:cs="宋体"/>
          <w:b/>
          <w:bCs/>
          <w:color w:val="auto"/>
          <w:kern w:val="0"/>
          <w:sz w:val="52"/>
          <w:szCs w:val="21"/>
          <w:highlight w:val="none"/>
        </w:rPr>
      </w:pPr>
    </w:p>
    <w:p w14:paraId="2FB6A120">
      <w:pPr>
        <w:tabs>
          <w:tab w:val="left" w:pos="0"/>
        </w:tabs>
        <w:jc w:val="center"/>
        <w:rPr>
          <w:rFonts w:ascii="方正仿宋_GBK" w:hAnsi="宋体" w:eastAsia="方正仿宋_GBK"/>
          <w:b/>
          <w:bCs/>
          <w:color w:val="auto"/>
          <w:sz w:val="32"/>
          <w:szCs w:val="36"/>
          <w:highlight w:val="none"/>
        </w:rPr>
      </w:pPr>
      <w:r>
        <w:rPr>
          <w:rFonts w:hint="eastAsia" w:ascii="方正仿宋_GBK" w:hAnsi="宋体" w:eastAsia="方正仿宋_GBK"/>
          <w:b/>
          <w:bCs/>
          <w:color w:val="auto"/>
          <w:sz w:val="32"/>
          <w:szCs w:val="36"/>
          <w:highlight w:val="none"/>
        </w:rPr>
        <w:t>竞选文件</w:t>
      </w:r>
    </w:p>
    <w:p w14:paraId="016D0887">
      <w:pPr>
        <w:adjustRightInd w:val="0"/>
        <w:snapToGrid w:val="0"/>
        <w:spacing w:line="360" w:lineRule="auto"/>
        <w:jc w:val="center"/>
        <w:rPr>
          <w:rFonts w:ascii="方正仿宋_GBK" w:hAnsi="宋体" w:eastAsia="方正仿宋_GBK"/>
          <w:b/>
          <w:bCs/>
          <w:color w:val="auto"/>
          <w:sz w:val="32"/>
          <w:szCs w:val="36"/>
          <w:highlight w:val="none"/>
        </w:rPr>
      </w:pPr>
    </w:p>
    <w:p w14:paraId="38D37591">
      <w:pPr>
        <w:adjustRightInd w:val="0"/>
        <w:snapToGrid w:val="0"/>
        <w:spacing w:line="360" w:lineRule="auto"/>
        <w:jc w:val="center"/>
        <w:rPr>
          <w:rFonts w:ascii="方正仿宋_GBK" w:hAnsi="宋体" w:eastAsia="方正仿宋_GBK" w:cs="宋体"/>
          <w:b/>
          <w:bCs/>
          <w:color w:val="auto"/>
          <w:kern w:val="0"/>
          <w:sz w:val="48"/>
          <w:szCs w:val="21"/>
          <w:highlight w:val="none"/>
        </w:rPr>
      </w:pPr>
    </w:p>
    <w:p w14:paraId="43BA6958">
      <w:pPr>
        <w:adjustRightInd w:val="0"/>
        <w:snapToGrid w:val="0"/>
        <w:spacing w:line="360" w:lineRule="auto"/>
        <w:jc w:val="center"/>
        <w:rPr>
          <w:rFonts w:ascii="方正仿宋_GBK" w:hAnsi="宋体" w:eastAsia="方正仿宋_GBK" w:cs="宋体"/>
          <w:b/>
          <w:bCs/>
          <w:color w:val="auto"/>
          <w:kern w:val="0"/>
          <w:sz w:val="48"/>
          <w:szCs w:val="21"/>
          <w:highlight w:val="none"/>
        </w:rPr>
      </w:pPr>
    </w:p>
    <w:p w14:paraId="5FDE3FD4">
      <w:pPr>
        <w:tabs>
          <w:tab w:val="left" w:pos="0"/>
        </w:tabs>
        <w:ind w:firstLine="2233" w:firstLineChars="695"/>
        <w:rPr>
          <w:rFonts w:ascii="方正仿宋_GBK" w:hAnsi="宋体" w:eastAsia="方正仿宋_GBK"/>
          <w:b/>
          <w:bCs/>
          <w:color w:val="auto"/>
          <w:sz w:val="32"/>
          <w:szCs w:val="36"/>
          <w:highlight w:val="none"/>
        </w:rPr>
      </w:pPr>
      <w:r>
        <w:rPr>
          <w:rFonts w:hint="eastAsia" w:ascii="方正仿宋_GBK" w:hAnsi="宋体" w:eastAsia="方正仿宋_GBK"/>
          <w:b/>
          <w:bCs/>
          <w:color w:val="auto"/>
          <w:sz w:val="32"/>
          <w:szCs w:val="36"/>
          <w:highlight w:val="none"/>
        </w:rPr>
        <w:t>竞选人：</w:t>
      </w:r>
      <w:r>
        <w:rPr>
          <w:rFonts w:hint="eastAsia" w:ascii="方正仿宋_GBK" w:hAnsi="宋体" w:eastAsia="方正仿宋_GBK"/>
          <w:b/>
          <w:bCs/>
          <w:color w:val="auto"/>
          <w:sz w:val="32"/>
          <w:szCs w:val="36"/>
          <w:highlight w:val="none"/>
          <w:u w:val="single"/>
        </w:rPr>
        <w:t xml:space="preserve">                    </w:t>
      </w:r>
    </w:p>
    <w:p w14:paraId="4ECB4AFF">
      <w:pPr>
        <w:tabs>
          <w:tab w:val="left" w:pos="0"/>
        </w:tabs>
        <w:jc w:val="center"/>
        <w:rPr>
          <w:rFonts w:ascii="方正仿宋_GBK" w:hAnsi="宋体" w:eastAsia="方正仿宋_GBK"/>
          <w:b/>
          <w:bCs/>
          <w:color w:val="auto"/>
          <w:sz w:val="32"/>
          <w:szCs w:val="36"/>
          <w:highlight w:val="none"/>
        </w:rPr>
      </w:pPr>
      <w:r>
        <w:rPr>
          <w:rFonts w:hint="eastAsia" w:ascii="方正仿宋_GBK" w:hAnsi="宋体" w:eastAsia="方正仿宋_GBK"/>
          <w:b/>
          <w:bCs/>
          <w:color w:val="auto"/>
          <w:sz w:val="32"/>
          <w:szCs w:val="36"/>
          <w:highlight w:val="none"/>
        </w:rPr>
        <w:t xml:space="preserve">    202</w:t>
      </w:r>
      <w:r>
        <w:rPr>
          <w:rFonts w:hint="eastAsia" w:ascii="方正仿宋_GBK" w:hAnsi="宋体" w:eastAsia="方正仿宋_GBK"/>
          <w:b/>
          <w:bCs/>
          <w:color w:val="auto"/>
          <w:sz w:val="32"/>
          <w:szCs w:val="36"/>
          <w:highlight w:val="none"/>
          <w:lang w:val="en-US" w:eastAsia="zh-CN"/>
        </w:rPr>
        <w:t>5</w:t>
      </w:r>
      <w:r>
        <w:rPr>
          <w:rFonts w:hint="eastAsia" w:ascii="方正仿宋_GBK" w:hAnsi="宋体" w:eastAsia="方正仿宋_GBK"/>
          <w:b/>
          <w:bCs/>
          <w:color w:val="auto"/>
          <w:sz w:val="32"/>
          <w:szCs w:val="36"/>
          <w:highlight w:val="none"/>
        </w:rPr>
        <w:t>年  月   日</w:t>
      </w:r>
    </w:p>
    <w:p w14:paraId="4B8F97A8">
      <w:pPr>
        <w:adjustRightInd w:val="0"/>
        <w:snapToGrid w:val="0"/>
        <w:spacing w:line="360" w:lineRule="auto"/>
        <w:jc w:val="center"/>
        <w:rPr>
          <w:rFonts w:ascii="方正仿宋_GBK" w:hAnsi="宋体" w:eastAsia="方正仿宋_GBK" w:cs="宋体"/>
          <w:b/>
          <w:bCs/>
          <w:color w:val="auto"/>
          <w:kern w:val="0"/>
          <w:sz w:val="36"/>
          <w:highlight w:val="none"/>
        </w:rPr>
      </w:pPr>
    </w:p>
    <w:p w14:paraId="688A0071">
      <w:pPr>
        <w:tabs>
          <w:tab w:val="left" w:pos="0"/>
        </w:tabs>
        <w:adjustRightInd w:val="0"/>
        <w:jc w:val="center"/>
        <w:rPr>
          <w:rFonts w:ascii="方正仿宋_GBK" w:eastAsia="方正仿宋_GBK"/>
          <w:b/>
          <w:color w:val="auto"/>
          <w:sz w:val="36"/>
          <w:highlight w:val="none"/>
        </w:rPr>
      </w:pPr>
    </w:p>
    <w:p w14:paraId="1FB76023">
      <w:pPr>
        <w:tabs>
          <w:tab w:val="left" w:pos="0"/>
        </w:tabs>
        <w:adjustRightInd w:val="0"/>
        <w:jc w:val="center"/>
        <w:rPr>
          <w:rFonts w:ascii="方正仿宋_GBK" w:eastAsia="方正仿宋_GBK"/>
          <w:b/>
          <w:color w:val="auto"/>
          <w:sz w:val="36"/>
          <w:highlight w:val="none"/>
        </w:rPr>
      </w:pPr>
    </w:p>
    <w:p w14:paraId="5832214B">
      <w:pPr>
        <w:tabs>
          <w:tab w:val="left" w:pos="0"/>
        </w:tabs>
        <w:adjustRightInd w:val="0"/>
        <w:jc w:val="center"/>
        <w:rPr>
          <w:rFonts w:ascii="方正仿宋_GBK" w:eastAsia="方正仿宋_GBK"/>
          <w:b/>
          <w:color w:val="auto"/>
          <w:sz w:val="36"/>
          <w:highlight w:val="none"/>
        </w:rPr>
      </w:pPr>
    </w:p>
    <w:p w14:paraId="6459CDBA">
      <w:pPr>
        <w:tabs>
          <w:tab w:val="left" w:pos="0"/>
        </w:tabs>
        <w:adjustRightInd w:val="0"/>
        <w:jc w:val="center"/>
        <w:rPr>
          <w:rFonts w:ascii="方正仿宋_GBK" w:eastAsia="方正仿宋_GBK"/>
          <w:b/>
          <w:color w:val="auto"/>
          <w:sz w:val="36"/>
          <w:highlight w:val="none"/>
        </w:rPr>
      </w:pPr>
    </w:p>
    <w:p w14:paraId="6F2724BA">
      <w:pPr>
        <w:tabs>
          <w:tab w:val="left" w:pos="0"/>
        </w:tabs>
        <w:adjustRightInd w:val="0"/>
        <w:jc w:val="center"/>
        <w:rPr>
          <w:rFonts w:ascii="方正仿宋_GBK" w:eastAsia="方正仿宋_GBK"/>
          <w:b/>
          <w:color w:val="auto"/>
          <w:sz w:val="36"/>
          <w:highlight w:val="none"/>
        </w:rPr>
      </w:pPr>
    </w:p>
    <w:p w14:paraId="798E1F30">
      <w:pPr>
        <w:tabs>
          <w:tab w:val="left" w:pos="0"/>
        </w:tabs>
        <w:adjustRightInd w:val="0"/>
        <w:jc w:val="center"/>
        <w:rPr>
          <w:rFonts w:ascii="方正仿宋_GBK" w:eastAsia="方正仿宋_GBK"/>
          <w:b/>
          <w:color w:val="auto"/>
          <w:sz w:val="36"/>
          <w:highlight w:val="none"/>
        </w:rPr>
      </w:pPr>
      <w:r>
        <w:rPr>
          <w:rFonts w:hint="eastAsia" w:ascii="方正仿宋_GBK" w:eastAsia="方正仿宋_GBK"/>
          <w:b/>
          <w:color w:val="auto"/>
          <w:sz w:val="36"/>
          <w:highlight w:val="none"/>
        </w:rPr>
        <w:t>目     录</w:t>
      </w:r>
    </w:p>
    <w:p w14:paraId="5CE49BF3">
      <w:pPr>
        <w:tabs>
          <w:tab w:val="left" w:pos="0"/>
        </w:tabs>
        <w:adjustRightInd w:val="0"/>
        <w:ind w:firstLine="600"/>
        <w:rPr>
          <w:rFonts w:ascii="方正仿宋_GBK" w:eastAsia="方正仿宋_GBK"/>
          <w:bCs/>
          <w:color w:val="auto"/>
          <w:sz w:val="28"/>
          <w:highlight w:val="none"/>
        </w:rPr>
      </w:pPr>
    </w:p>
    <w:p w14:paraId="0BA2F911">
      <w:pPr>
        <w:tabs>
          <w:tab w:val="left" w:pos="0"/>
        </w:tabs>
        <w:adjustRightInd w:val="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1、企业营业执照复印件</w:t>
      </w:r>
    </w:p>
    <w:p w14:paraId="0AB231D8">
      <w:pPr>
        <w:tabs>
          <w:tab w:val="left" w:pos="0"/>
        </w:tabs>
        <w:adjustRightInd w:val="0"/>
        <w:rPr>
          <w:rFonts w:ascii="方正仿宋_GBK" w:hAnsi="宋体" w:eastAsia="方正仿宋_GBK"/>
          <w:bCs/>
          <w:color w:val="auto"/>
          <w:sz w:val="28"/>
          <w:szCs w:val="28"/>
          <w:highlight w:val="none"/>
        </w:rPr>
      </w:pPr>
      <w:r>
        <w:rPr>
          <w:rFonts w:hint="eastAsia" w:ascii="方正仿宋_GBK" w:hAnsi="宋体" w:eastAsia="方正仿宋_GBK"/>
          <w:bCs/>
          <w:color w:val="auto"/>
          <w:sz w:val="28"/>
          <w:szCs w:val="28"/>
          <w:highlight w:val="none"/>
        </w:rPr>
        <w:t>2、法定代表人或负责人身份证明和身份证复印件</w:t>
      </w:r>
    </w:p>
    <w:p w14:paraId="3043D13D">
      <w:pPr>
        <w:tabs>
          <w:tab w:val="left" w:pos="0"/>
        </w:tabs>
        <w:adjustRightInd w:val="0"/>
        <w:rPr>
          <w:rFonts w:hint="eastAsia" w:ascii="方正仿宋_GBK" w:hAnsi="宋体" w:eastAsia="方正仿宋_GBK"/>
          <w:bCs/>
          <w:color w:val="auto"/>
          <w:sz w:val="28"/>
          <w:szCs w:val="28"/>
          <w:highlight w:val="none"/>
        </w:rPr>
      </w:pPr>
      <w:r>
        <w:rPr>
          <w:rFonts w:hint="eastAsia" w:ascii="方正仿宋_GBK" w:hAnsi="宋体" w:eastAsia="方正仿宋_GBK"/>
          <w:bCs/>
          <w:color w:val="auto"/>
          <w:sz w:val="28"/>
          <w:szCs w:val="28"/>
          <w:highlight w:val="none"/>
        </w:rPr>
        <w:t>3、委托代理人身份证复印件及授权委托书</w:t>
      </w:r>
    </w:p>
    <w:p w14:paraId="4E23B3CA">
      <w:pPr>
        <w:tabs>
          <w:tab w:val="left" w:pos="0"/>
        </w:tabs>
        <w:adjustRightInd w:val="0"/>
        <w:rPr>
          <w:rFonts w:hint="eastAsia" w:ascii="方正仿宋_GBK" w:hAnsi="宋体" w:eastAsia="方正仿宋_GBK" w:cs="Times New Roman"/>
          <w:color w:val="auto"/>
          <w:kern w:val="2"/>
          <w:sz w:val="28"/>
          <w:szCs w:val="28"/>
          <w:highlight w:val="none"/>
          <w:lang w:val="en-US" w:eastAsia="zh-CN" w:bidi="ar-SA"/>
        </w:rPr>
      </w:pPr>
      <w:r>
        <w:rPr>
          <w:rFonts w:hint="eastAsia" w:ascii="方正仿宋_GBK" w:hAnsi="宋体" w:eastAsia="方正仿宋_GBK" w:cs="Times New Roman"/>
          <w:color w:val="auto"/>
          <w:kern w:val="2"/>
          <w:sz w:val="28"/>
          <w:szCs w:val="28"/>
          <w:highlight w:val="none"/>
          <w:lang w:val="en-US" w:eastAsia="zh-CN" w:bidi="ar-SA"/>
        </w:rPr>
        <w:t>4、防火门系列所报品牌在应急管理部消防产品合格评定中心官网上产品备案情况</w:t>
      </w:r>
    </w:p>
    <w:p w14:paraId="776FE0B2">
      <w:pPr>
        <w:tabs>
          <w:tab w:val="left" w:pos="0"/>
        </w:tabs>
        <w:adjustRightInd w:val="0"/>
        <w:rPr>
          <w:rFonts w:ascii="方正仿宋_GBK" w:hAnsi="ˎ̥" w:eastAsia="方正仿宋_GBK"/>
          <w:color w:val="auto"/>
          <w:sz w:val="28"/>
          <w:szCs w:val="28"/>
          <w:highlight w:val="none"/>
        </w:rPr>
      </w:pPr>
      <w:r>
        <w:rPr>
          <w:rFonts w:hint="eastAsia" w:ascii="方正仿宋_GBK" w:hAnsi="宋体" w:eastAsia="方正仿宋_GBK"/>
          <w:bCs/>
          <w:color w:val="auto"/>
          <w:sz w:val="28"/>
          <w:szCs w:val="28"/>
          <w:highlight w:val="none"/>
          <w:lang w:val="en-US" w:eastAsia="zh-CN"/>
        </w:rPr>
        <w:t>5</w:t>
      </w:r>
      <w:r>
        <w:rPr>
          <w:rFonts w:hint="eastAsia" w:ascii="方正仿宋_GBK" w:hAnsi="宋体" w:eastAsia="方正仿宋_GBK"/>
          <w:bCs/>
          <w:color w:val="auto"/>
          <w:sz w:val="28"/>
          <w:szCs w:val="28"/>
          <w:highlight w:val="none"/>
        </w:rPr>
        <w:t>、</w:t>
      </w:r>
      <w:r>
        <w:rPr>
          <w:rFonts w:hint="eastAsia" w:ascii="方正仿宋_GBK" w:eastAsia="方正仿宋_GBK"/>
          <w:bCs/>
          <w:color w:val="auto"/>
          <w:sz w:val="28"/>
          <w:highlight w:val="none"/>
        </w:rPr>
        <w:t>承诺书</w:t>
      </w:r>
    </w:p>
    <w:p w14:paraId="3564D3FE">
      <w:pPr>
        <w:tabs>
          <w:tab w:val="left" w:pos="0"/>
        </w:tabs>
        <w:adjustRightInd w:val="0"/>
        <w:rPr>
          <w:rFonts w:ascii="方正仿宋_GBK" w:hAnsi="宋体" w:eastAsia="方正仿宋_GBK"/>
          <w:bCs/>
          <w:color w:val="auto"/>
          <w:sz w:val="28"/>
          <w:szCs w:val="28"/>
          <w:highlight w:val="none"/>
        </w:rPr>
      </w:pPr>
      <w:r>
        <w:rPr>
          <w:rFonts w:hint="eastAsia" w:ascii="方正仿宋_GBK" w:hAnsi="宋体" w:eastAsia="方正仿宋_GBK"/>
          <w:bCs/>
          <w:color w:val="auto"/>
          <w:sz w:val="28"/>
          <w:szCs w:val="28"/>
          <w:highlight w:val="none"/>
          <w:lang w:val="en-US" w:eastAsia="zh-CN"/>
        </w:rPr>
        <w:t>6</w:t>
      </w:r>
      <w:r>
        <w:rPr>
          <w:rFonts w:hint="eastAsia" w:ascii="方正仿宋_GBK" w:hAnsi="宋体" w:eastAsia="方正仿宋_GBK"/>
          <w:bCs/>
          <w:color w:val="auto"/>
          <w:sz w:val="28"/>
          <w:szCs w:val="28"/>
          <w:highlight w:val="none"/>
        </w:rPr>
        <w:t>、报价函</w:t>
      </w:r>
    </w:p>
    <w:p w14:paraId="3AF217EF">
      <w:pPr>
        <w:tabs>
          <w:tab w:val="left" w:pos="0"/>
        </w:tabs>
        <w:adjustRightInd w:val="0"/>
        <w:rPr>
          <w:rFonts w:ascii="方正仿宋_GBK" w:hAnsi="宋体" w:eastAsia="方正仿宋_GBK"/>
          <w:bCs/>
          <w:color w:val="auto"/>
          <w:sz w:val="28"/>
          <w:szCs w:val="28"/>
          <w:highlight w:val="none"/>
        </w:rPr>
      </w:pPr>
      <w:r>
        <w:rPr>
          <w:rFonts w:hint="eastAsia" w:ascii="方正仿宋_GBK" w:hAnsi="宋体" w:eastAsia="方正仿宋_GBK"/>
          <w:bCs/>
          <w:color w:val="auto"/>
          <w:sz w:val="28"/>
          <w:szCs w:val="28"/>
          <w:highlight w:val="none"/>
        </w:rPr>
        <w:t>提供以上资料应按顺序装订，资料文件每页加盖鲜章。</w:t>
      </w:r>
    </w:p>
    <w:p w14:paraId="79CE4128">
      <w:pPr>
        <w:tabs>
          <w:tab w:val="left" w:pos="0"/>
        </w:tabs>
        <w:adjustRightInd w:val="0"/>
        <w:spacing w:line="800" w:lineRule="exact"/>
        <w:ind w:firstLine="600"/>
        <w:rPr>
          <w:rFonts w:ascii="方正仿宋_GBK" w:eastAsia="方正仿宋_GBK"/>
          <w:bCs/>
          <w:color w:val="auto"/>
          <w:sz w:val="28"/>
          <w:highlight w:val="none"/>
        </w:rPr>
      </w:pPr>
    </w:p>
    <w:p w14:paraId="3803B1A0">
      <w:pPr>
        <w:tabs>
          <w:tab w:val="left" w:pos="0"/>
        </w:tabs>
        <w:adjustRightInd w:val="0"/>
        <w:ind w:firstLine="600"/>
        <w:rPr>
          <w:rFonts w:ascii="方正仿宋_GBK" w:eastAsia="方正仿宋_GBK"/>
          <w:bCs/>
          <w:color w:val="auto"/>
          <w:sz w:val="28"/>
          <w:highlight w:val="none"/>
        </w:rPr>
      </w:pPr>
    </w:p>
    <w:p w14:paraId="7F6B00C0">
      <w:pPr>
        <w:tabs>
          <w:tab w:val="left" w:pos="0"/>
        </w:tabs>
        <w:adjustRightInd w:val="0"/>
        <w:ind w:firstLine="600"/>
        <w:rPr>
          <w:rFonts w:ascii="方正仿宋_GBK" w:eastAsia="方正仿宋_GBK"/>
          <w:bCs/>
          <w:color w:val="auto"/>
          <w:sz w:val="28"/>
          <w:highlight w:val="none"/>
        </w:rPr>
      </w:pPr>
    </w:p>
    <w:p w14:paraId="0031B64C">
      <w:pPr>
        <w:tabs>
          <w:tab w:val="left" w:pos="0"/>
        </w:tabs>
        <w:adjustRightInd w:val="0"/>
        <w:ind w:firstLine="600"/>
        <w:rPr>
          <w:rFonts w:ascii="方正仿宋_GBK" w:eastAsia="方正仿宋_GBK"/>
          <w:bCs/>
          <w:color w:val="auto"/>
          <w:sz w:val="28"/>
          <w:highlight w:val="none"/>
        </w:rPr>
      </w:pPr>
    </w:p>
    <w:p w14:paraId="61CF6999">
      <w:pPr>
        <w:tabs>
          <w:tab w:val="left" w:pos="0"/>
        </w:tabs>
        <w:adjustRightInd w:val="0"/>
        <w:ind w:firstLine="600"/>
        <w:rPr>
          <w:rFonts w:ascii="方正仿宋_GBK" w:eastAsia="方正仿宋_GBK"/>
          <w:bCs/>
          <w:color w:val="auto"/>
          <w:sz w:val="28"/>
          <w:highlight w:val="none"/>
        </w:rPr>
      </w:pPr>
    </w:p>
    <w:p w14:paraId="4D88DFA6">
      <w:pPr>
        <w:tabs>
          <w:tab w:val="left" w:pos="0"/>
        </w:tabs>
        <w:adjustRightInd w:val="0"/>
        <w:ind w:firstLine="600"/>
        <w:rPr>
          <w:rFonts w:ascii="方正仿宋_GBK" w:eastAsia="方正仿宋_GBK"/>
          <w:bCs/>
          <w:color w:val="auto"/>
          <w:sz w:val="28"/>
          <w:highlight w:val="none"/>
        </w:rPr>
      </w:pPr>
    </w:p>
    <w:p w14:paraId="5396F8B3">
      <w:pPr>
        <w:tabs>
          <w:tab w:val="left" w:pos="0"/>
        </w:tabs>
        <w:adjustRightInd w:val="0"/>
        <w:rPr>
          <w:rFonts w:ascii="方正仿宋_GBK" w:eastAsia="方正仿宋_GBK"/>
          <w:b/>
          <w:color w:val="auto"/>
          <w:sz w:val="36"/>
          <w:highlight w:val="none"/>
        </w:rPr>
      </w:pPr>
    </w:p>
    <w:p w14:paraId="3E22CDB1">
      <w:pPr>
        <w:tabs>
          <w:tab w:val="left" w:pos="0"/>
        </w:tabs>
        <w:adjustRightInd w:val="0"/>
        <w:jc w:val="center"/>
        <w:rPr>
          <w:rFonts w:ascii="方正仿宋_GBK" w:eastAsia="方正仿宋_GBK"/>
          <w:b/>
          <w:color w:val="auto"/>
          <w:sz w:val="36"/>
          <w:highlight w:val="none"/>
        </w:rPr>
      </w:pPr>
    </w:p>
    <w:p w14:paraId="094B7D17">
      <w:pPr>
        <w:tabs>
          <w:tab w:val="left" w:pos="0"/>
        </w:tabs>
        <w:adjustRightInd w:val="0"/>
        <w:jc w:val="center"/>
        <w:rPr>
          <w:rFonts w:ascii="方正仿宋_GBK" w:eastAsia="方正仿宋_GBK"/>
          <w:b/>
          <w:color w:val="auto"/>
          <w:sz w:val="36"/>
          <w:highlight w:val="none"/>
        </w:rPr>
      </w:pPr>
    </w:p>
    <w:p w14:paraId="11EC2B19">
      <w:pPr>
        <w:tabs>
          <w:tab w:val="left" w:pos="0"/>
        </w:tabs>
        <w:adjustRightInd w:val="0"/>
        <w:jc w:val="center"/>
        <w:rPr>
          <w:rFonts w:ascii="方正仿宋_GBK" w:eastAsia="方正仿宋_GBK"/>
          <w:b/>
          <w:color w:val="auto"/>
          <w:sz w:val="36"/>
          <w:highlight w:val="none"/>
        </w:rPr>
      </w:pPr>
    </w:p>
    <w:p w14:paraId="36D55067">
      <w:pPr>
        <w:tabs>
          <w:tab w:val="left" w:pos="0"/>
        </w:tabs>
        <w:adjustRightInd w:val="0"/>
        <w:jc w:val="center"/>
        <w:rPr>
          <w:rFonts w:ascii="方正仿宋_GBK" w:eastAsia="方正仿宋_GBK"/>
          <w:b/>
          <w:color w:val="auto"/>
          <w:sz w:val="36"/>
          <w:highlight w:val="none"/>
        </w:rPr>
      </w:pPr>
    </w:p>
    <w:p w14:paraId="69BBFBAF">
      <w:pPr>
        <w:tabs>
          <w:tab w:val="left" w:pos="0"/>
        </w:tabs>
        <w:adjustRightInd w:val="0"/>
        <w:jc w:val="center"/>
        <w:rPr>
          <w:rFonts w:ascii="方正仿宋_GBK" w:eastAsia="方正仿宋_GBK"/>
          <w:b/>
          <w:color w:val="auto"/>
          <w:sz w:val="36"/>
          <w:highlight w:val="none"/>
        </w:rPr>
      </w:pPr>
    </w:p>
    <w:p w14:paraId="64D1D569">
      <w:pPr>
        <w:tabs>
          <w:tab w:val="left" w:pos="0"/>
        </w:tabs>
        <w:adjustRightInd w:val="0"/>
        <w:jc w:val="center"/>
        <w:rPr>
          <w:rFonts w:ascii="方正仿宋_GBK" w:eastAsia="方正仿宋_GBK"/>
          <w:b/>
          <w:color w:val="auto"/>
          <w:sz w:val="36"/>
          <w:highlight w:val="none"/>
        </w:rPr>
      </w:pPr>
    </w:p>
    <w:p w14:paraId="0A92D254">
      <w:pPr>
        <w:tabs>
          <w:tab w:val="left" w:pos="0"/>
        </w:tabs>
        <w:adjustRightInd w:val="0"/>
        <w:jc w:val="center"/>
        <w:rPr>
          <w:rFonts w:ascii="方正仿宋_GBK" w:eastAsia="方正仿宋_GBK"/>
          <w:b/>
          <w:color w:val="auto"/>
          <w:sz w:val="36"/>
          <w:highlight w:val="none"/>
        </w:rPr>
      </w:pPr>
    </w:p>
    <w:p w14:paraId="0C91454F">
      <w:pPr>
        <w:tabs>
          <w:tab w:val="left" w:pos="0"/>
        </w:tabs>
        <w:adjustRightInd w:val="0"/>
        <w:jc w:val="center"/>
        <w:rPr>
          <w:rFonts w:ascii="方正仿宋_GBK" w:eastAsia="方正仿宋_GBK"/>
          <w:b/>
          <w:color w:val="auto"/>
          <w:sz w:val="36"/>
          <w:highlight w:val="none"/>
        </w:rPr>
      </w:pPr>
      <w:r>
        <w:rPr>
          <w:rFonts w:hint="eastAsia" w:ascii="方正仿宋_GBK" w:eastAsia="方正仿宋_GBK"/>
          <w:b/>
          <w:color w:val="auto"/>
          <w:sz w:val="36"/>
          <w:highlight w:val="none"/>
        </w:rPr>
        <w:t>法定代表人身份证明</w:t>
      </w:r>
    </w:p>
    <w:p w14:paraId="0AD11321">
      <w:pPr>
        <w:tabs>
          <w:tab w:val="left" w:pos="0"/>
        </w:tabs>
        <w:wordWrap w:val="0"/>
        <w:adjustRightInd w:val="0"/>
        <w:ind w:firstLine="560" w:firstLineChars="200"/>
        <w:rPr>
          <w:rFonts w:ascii="方正仿宋_GBK" w:eastAsia="方正仿宋_GBK"/>
          <w:bCs/>
          <w:color w:val="auto"/>
          <w:sz w:val="28"/>
          <w:highlight w:val="none"/>
        </w:rPr>
      </w:pPr>
    </w:p>
    <w:p w14:paraId="7B585188">
      <w:pPr>
        <w:tabs>
          <w:tab w:val="left" w:pos="0"/>
        </w:tabs>
        <w:adjustRightInd w:val="0"/>
        <w:ind w:firstLine="600"/>
        <w:rPr>
          <w:rFonts w:ascii="方正仿宋_GBK" w:eastAsia="方正仿宋_GBK"/>
          <w:bCs/>
          <w:color w:val="auto"/>
          <w:sz w:val="28"/>
          <w:highlight w:val="none"/>
          <w:u w:val="single"/>
        </w:rPr>
      </w:pPr>
      <w:r>
        <w:rPr>
          <w:rFonts w:hint="eastAsia" w:ascii="方正仿宋_GBK" w:eastAsia="方正仿宋_GBK"/>
          <w:bCs/>
          <w:color w:val="auto"/>
          <w:sz w:val="28"/>
          <w:highlight w:val="none"/>
        </w:rPr>
        <w:t>姓名：</w:t>
      </w:r>
      <w:r>
        <w:rPr>
          <w:rFonts w:hint="eastAsia" w:ascii="方正仿宋_GBK" w:eastAsia="方正仿宋_GBK"/>
          <w:bCs/>
          <w:color w:val="auto"/>
          <w:sz w:val="28"/>
          <w:highlight w:val="none"/>
          <w:u w:val="single"/>
        </w:rPr>
        <w:t xml:space="preserve">      </w:t>
      </w:r>
      <w:r>
        <w:rPr>
          <w:rFonts w:hint="eastAsia" w:ascii="方正仿宋_GBK" w:eastAsia="方正仿宋_GBK"/>
          <w:bCs/>
          <w:color w:val="auto"/>
          <w:sz w:val="28"/>
          <w:highlight w:val="none"/>
        </w:rPr>
        <w:t>性别：</w:t>
      </w:r>
      <w:r>
        <w:rPr>
          <w:rFonts w:hint="eastAsia" w:ascii="方正仿宋_GBK" w:eastAsia="方正仿宋_GBK"/>
          <w:bCs/>
          <w:color w:val="auto"/>
          <w:sz w:val="28"/>
          <w:highlight w:val="none"/>
          <w:u w:val="single"/>
        </w:rPr>
        <w:t xml:space="preserve">   </w:t>
      </w:r>
      <w:r>
        <w:rPr>
          <w:rFonts w:hint="eastAsia" w:ascii="方正仿宋_GBK" w:eastAsia="方正仿宋_GBK"/>
          <w:bCs/>
          <w:color w:val="auto"/>
          <w:sz w:val="28"/>
          <w:highlight w:val="none"/>
        </w:rPr>
        <w:t>年龄：</w:t>
      </w:r>
      <w:r>
        <w:rPr>
          <w:rFonts w:hint="eastAsia" w:ascii="方正仿宋_GBK" w:eastAsia="方正仿宋_GBK"/>
          <w:bCs/>
          <w:color w:val="auto"/>
          <w:sz w:val="28"/>
          <w:highlight w:val="none"/>
          <w:u w:val="single"/>
        </w:rPr>
        <w:t xml:space="preserve">    </w:t>
      </w:r>
      <w:r>
        <w:rPr>
          <w:rFonts w:hint="eastAsia" w:ascii="方正仿宋_GBK" w:eastAsia="方正仿宋_GBK"/>
          <w:bCs/>
          <w:color w:val="auto"/>
          <w:sz w:val="28"/>
          <w:highlight w:val="none"/>
        </w:rPr>
        <w:t>职务：</w:t>
      </w:r>
      <w:r>
        <w:rPr>
          <w:rFonts w:hint="eastAsia" w:ascii="方正仿宋_GBK" w:eastAsia="方正仿宋_GBK"/>
          <w:bCs/>
          <w:color w:val="auto"/>
          <w:sz w:val="28"/>
          <w:highlight w:val="none"/>
          <w:u w:val="single"/>
        </w:rPr>
        <w:t xml:space="preserve">     </w:t>
      </w:r>
      <w:r>
        <w:rPr>
          <w:rFonts w:hint="eastAsia" w:ascii="方正仿宋_GBK" w:eastAsia="方正仿宋_GBK"/>
          <w:bCs/>
          <w:color w:val="auto"/>
          <w:sz w:val="28"/>
          <w:highlight w:val="none"/>
        </w:rPr>
        <w:t>，系</w:t>
      </w:r>
      <w:r>
        <w:rPr>
          <w:rFonts w:hint="eastAsia" w:ascii="方正仿宋_GBK" w:eastAsia="方正仿宋_GBK"/>
          <w:bCs/>
          <w:color w:val="auto"/>
          <w:sz w:val="28"/>
          <w:highlight w:val="none"/>
          <w:u w:val="single"/>
        </w:rPr>
        <w:t xml:space="preserve">         </w:t>
      </w:r>
    </w:p>
    <w:p w14:paraId="1A84816B">
      <w:pPr>
        <w:tabs>
          <w:tab w:val="left" w:pos="0"/>
        </w:tabs>
        <w:adjustRightInd w:val="0"/>
        <w:rPr>
          <w:rFonts w:ascii="方正仿宋_GBK" w:eastAsia="方正仿宋_GBK"/>
          <w:bCs/>
          <w:color w:val="auto"/>
          <w:sz w:val="28"/>
          <w:highlight w:val="none"/>
        </w:rPr>
      </w:pPr>
      <w:r>
        <w:rPr>
          <w:rFonts w:hint="eastAsia" w:ascii="方正仿宋_GBK" w:eastAsia="方正仿宋_GBK"/>
          <w:bCs/>
          <w:color w:val="auto"/>
          <w:sz w:val="28"/>
          <w:highlight w:val="none"/>
          <w:u w:val="single"/>
        </w:rPr>
        <w:t xml:space="preserve">                   </w:t>
      </w:r>
      <w:r>
        <w:rPr>
          <w:rFonts w:hint="eastAsia" w:ascii="方正仿宋_GBK" w:eastAsia="方正仿宋_GBK"/>
          <w:bCs/>
          <w:color w:val="auto"/>
          <w:sz w:val="28"/>
          <w:highlight w:val="none"/>
        </w:rPr>
        <w:t>（竞选人名称）的法定代表人。</w:t>
      </w:r>
    </w:p>
    <w:p w14:paraId="44BC3FAF">
      <w:pPr>
        <w:tabs>
          <w:tab w:val="left" w:pos="0"/>
        </w:tabs>
        <w:adjustRightInd w:val="0"/>
        <w:ind w:firstLine="600"/>
        <w:rPr>
          <w:rFonts w:ascii="方正仿宋_GBK" w:eastAsia="方正仿宋_GBK"/>
          <w:bCs/>
          <w:color w:val="auto"/>
          <w:sz w:val="28"/>
          <w:highlight w:val="none"/>
        </w:rPr>
      </w:pPr>
      <w:r>
        <w:rPr>
          <w:rFonts w:hint="eastAsia" w:ascii="方正仿宋_GBK" w:eastAsia="方正仿宋_GBK"/>
          <w:bCs/>
          <w:color w:val="auto"/>
          <w:sz w:val="28"/>
          <w:highlight w:val="none"/>
        </w:rPr>
        <w:t>特此证明</w:t>
      </w:r>
    </w:p>
    <w:p w14:paraId="2B50D96E">
      <w:pPr>
        <w:tabs>
          <w:tab w:val="left" w:pos="0"/>
        </w:tabs>
        <w:adjustRightInd w:val="0"/>
        <w:ind w:firstLine="600"/>
        <w:rPr>
          <w:rFonts w:ascii="方正仿宋_GBK" w:eastAsia="方正仿宋_GBK"/>
          <w:bCs/>
          <w:color w:val="auto"/>
          <w:sz w:val="28"/>
          <w:highlight w:val="none"/>
        </w:rPr>
      </w:pPr>
    </w:p>
    <w:p w14:paraId="612CCB70">
      <w:pPr>
        <w:tabs>
          <w:tab w:val="left" w:pos="0"/>
        </w:tabs>
        <w:adjustRightInd w:val="0"/>
        <w:ind w:firstLine="600"/>
        <w:rPr>
          <w:rFonts w:ascii="方正仿宋_GBK" w:eastAsia="方正仿宋_GBK"/>
          <w:bCs/>
          <w:color w:val="auto"/>
          <w:sz w:val="28"/>
          <w:highlight w:val="none"/>
        </w:rPr>
      </w:pPr>
    </w:p>
    <w:p w14:paraId="1F2E5C6C">
      <w:pPr>
        <w:tabs>
          <w:tab w:val="left" w:pos="0"/>
        </w:tabs>
        <w:adjustRightInd w:val="0"/>
        <w:ind w:firstLine="3960"/>
        <w:rPr>
          <w:rFonts w:ascii="方正仿宋_GBK" w:eastAsia="方正仿宋_GBK"/>
          <w:bCs/>
          <w:color w:val="auto"/>
          <w:sz w:val="28"/>
          <w:highlight w:val="none"/>
        </w:rPr>
      </w:pPr>
      <w:r>
        <w:rPr>
          <w:rFonts w:hint="eastAsia" w:ascii="方正仿宋_GBK" w:eastAsia="方正仿宋_GBK"/>
          <w:bCs/>
          <w:color w:val="auto"/>
          <w:sz w:val="28"/>
          <w:highlight w:val="none"/>
        </w:rPr>
        <w:t>竞选人：</w:t>
      </w:r>
      <w:r>
        <w:rPr>
          <w:rFonts w:hint="eastAsia" w:ascii="方正仿宋_GBK" w:eastAsia="方正仿宋_GBK"/>
          <w:bCs/>
          <w:color w:val="auto"/>
          <w:sz w:val="28"/>
          <w:highlight w:val="none"/>
          <w:u w:val="single"/>
        </w:rPr>
        <w:t xml:space="preserve">              </w:t>
      </w:r>
      <w:r>
        <w:rPr>
          <w:rFonts w:hint="eastAsia" w:ascii="方正仿宋_GBK" w:eastAsia="方正仿宋_GBK"/>
          <w:bCs/>
          <w:color w:val="auto"/>
          <w:sz w:val="28"/>
          <w:highlight w:val="none"/>
        </w:rPr>
        <w:t>（单位盖章）</w:t>
      </w:r>
    </w:p>
    <w:p w14:paraId="5260D77C">
      <w:pPr>
        <w:tabs>
          <w:tab w:val="left" w:pos="0"/>
        </w:tabs>
        <w:adjustRightInd w:val="0"/>
        <w:ind w:firstLine="600"/>
        <w:rPr>
          <w:rFonts w:ascii="方正仿宋_GBK" w:eastAsia="方正仿宋_GBK"/>
          <w:bCs/>
          <w:color w:val="auto"/>
          <w:sz w:val="28"/>
          <w:highlight w:val="none"/>
        </w:rPr>
      </w:pPr>
    </w:p>
    <w:p w14:paraId="1B96EFC6">
      <w:pPr>
        <w:tabs>
          <w:tab w:val="left" w:pos="0"/>
        </w:tabs>
        <w:adjustRightInd w:val="0"/>
        <w:ind w:firstLine="600"/>
        <w:rPr>
          <w:rFonts w:ascii="方正仿宋_GBK" w:eastAsia="方正仿宋_GBK"/>
          <w:bCs/>
          <w:color w:val="auto"/>
          <w:sz w:val="28"/>
          <w:highlight w:val="none"/>
        </w:rPr>
      </w:pPr>
      <w:r>
        <w:rPr>
          <w:rFonts w:hint="eastAsia" w:ascii="方正仿宋_GBK" w:eastAsia="方正仿宋_GBK"/>
          <w:bCs/>
          <w:color w:val="auto"/>
          <w:sz w:val="28"/>
          <w:highlight w:val="none"/>
        </w:rPr>
        <w:t xml:space="preserve">                                     年     月     日</w:t>
      </w:r>
    </w:p>
    <w:p w14:paraId="0D45113E">
      <w:pPr>
        <w:tabs>
          <w:tab w:val="left" w:pos="0"/>
        </w:tabs>
        <w:adjustRightInd w:val="0"/>
        <w:ind w:firstLine="600"/>
        <w:rPr>
          <w:rFonts w:ascii="方正仿宋_GBK" w:eastAsia="方正仿宋_GBK"/>
          <w:bCs/>
          <w:color w:val="auto"/>
          <w:sz w:val="28"/>
          <w:highlight w:val="none"/>
        </w:rPr>
      </w:pPr>
      <w:r>
        <w:rPr>
          <w:rFonts w:hint="eastAsia" w:ascii="方正仿宋_GBK" w:eastAsia="方正仿宋_GBK"/>
          <w:bCs/>
          <w:color w:val="auto"/>
          <w:sz w:val="28"/>
          <w:highlight w:val="none"/>
        </w:rPr>
        <w:t>备注：法定代表人身份证正反两面复印于本页下方空白处。</w:t>
      </w:r>
    </w:p>
    <w:p w14:paraId="6A078150">
      <w:pPr>
        <w:tabs>
          <w:tab w:val="left" w:pos="0"/>
        </w:tabs>
        <w:wordWrap w:val="0"/>
        <w:adjustRightInd w:val="0"/>
        <w:ind w:firstLine="560" w:firstLineChars="200"/>
        <w:rPr>
          <w:rFonts w:ascii="方正仿宋_GBK" w:eastAsia="方正仿宋_GBK"/>
          <w:bCs/>
          <w:color w:val="auto"/>
          <w:sz w:val="28"/>
          <w:highlight w:val="none"/>
        </w:rPr>
      </w:pPr>
    </w:p>
    <w:p w14:paraId="572E3290">
      <w:pPr>
        <w:tabs>
          <w:tab w:val="left" w:pos="0"/>
        </w:tabs>
        <w:adjustRightInd w:val="0"/>
        <w:ind w:firstLine="600"/>
        <w:rPr>
          <w:rFonts w:ascii="方正仿宋_GBK" w:eastAsia="方正仿宋_GBK"/>
          <w:bCs/>
          <w:color w:val="auto"/>
          <w:sz w:val="28"/>
          <w:highlight w:val="none"/>
        </w:rPr>
      </w:pPr>
    </w:p>
    <w:p w14:paraId="45835175">
      <w:pPr>
        <w:tabs>
          <w:tab w:val="left" w:pos="0"/>
        </w:tabs>
        <w:adjustRightInd w:val="0"/>
        <w:ind w:firstLine="600"/>
        <w:rPr>
          <w:rFonts w:ascii="方正仿宋_GBK" w:eastAsia="方正仿宋_GBK"/>
          <w:bCs/>
          <w:color w:val="auto"/>
          <w:sz w:val="28"/>
          <w:highlight w:val="none"/>
        </w:rPr>
      </w:pPr>
    </w:p>
    <w:p w14:paraId="45A22622">
      <w:pPr>
        <w:tabs>
          <w:tab w:val="left" w:pos="0"/>
        </w:tabs>
        <w:adjustRightInd w:val="0"/>
        <w:ind w:firstLine="600"/>
        <w:rPr>
          <w:rFonts w:ascii="方正仿宋_GBK" w:eastAsia="方正仿宋_GBK"/>
          <w:bCs/>
          <w:color w:val="auto"/>
          <w:sz w:val="28"/>
          <w:highlight w:val="none"/>
        </w:rPr>
      </w:pPr>
    </w:p>
    <w:p w14:paraId="455F1E98">
      <w:pPr>
        <w:tabs>
          <w:tab w:val="left" w:pos="0"/>
        </w:tabs>
        <w:adjustRightInd w:val="0"/>
        <w:ind w:firstLine="600"/>
        <w:rPr>
          <w:rFonts w:ascii="方正仿宋_GBK" w:eastAsia="方正仿宋_GBK"/>
          <w:bCs/>
          <w:color w:val="auto"/>
          <w:sz w:val="28"/>
          <w:highlight w:val="none"/>
        </w:rPr>
      </w:pPr>
    </w:p>
    <w:p w14:paraId="1F1C8B06">
      <w:pPr>
        <w:tabs>
          <w:tab w:val="left" w:pos="0"/>
        </w:tabs>
        <w:adjustRightInd w:val="0"/>
        <w:ind w:firstLine="600"/>
        <w:rPr>
          <w:rFonts w:ascii="方正仿宋_GBK" w:eastAsia="方正仿宋_GBK"/>
          <w:bCs/>
          <w:color w:val="auto"/>
          <w:sz w:val="28"/>
          <w:highlight w:val="none"/>
        </w:rPr>
      </w:pPr>
    </w:p>
    <w:p w14:paraId="64CEB7B1">
      <w:pPr>
        <w:tabs>
          <w:tab w:val="left" w:pos="0"/>
        </w:tabs>
        <w:adjustRightInd w:val="0"/>
        <w:ind w:firstLine="600"/>
        <w:rPr>
          <w:rFonts w:ascii="方正仿宋_GBK" w:eastAsia="方正仿宋_GBK"/>
          <w:bCs/>
          <w:color w:val="auto"/>
          <w:sz w:val="28"/>
          <w:highlight w:val="none"/>
        </w:rPr>
      </w:pPr>
    </w:p>
    <w:p w14:paraId="6CAEEE84">
      <w:pPr>
        <w:tabs>
          <w:tab w:val="left" w:pos="0"/>
        </w:tabs>
        <w:adjustRightInd w:val="0"/>
        <w:rPr>
          <w:rFonts w:ascii="方正仿宋_GBK" w:eastAsia="方正仿宋_GBK"/>
          <w:bCs/>
          <w:color w:val="auto"/>
          <w:sz w:val="28"/>
          <w:highlight w:val="none"/>
        </w:rPr>
      </w:pPr>
    </w:p>
    <w:p w14:paraId="06D69A56">
      <w:pPr>
        <w:tabs>
          <w:tab w:val="left" w:pos="0"/>
        </w:tabs>
        <w:adjustRightInd w:val="0"/>
        <w:rPr>
          <w:rFonts w:ascii="方正仿宋_GBK" w:eastAsia="方正仿宋_GBK"/>
          <w:b/>
          <w:color w:val="auto"/>
          <w:sz w:val="36"/>
          <w:highlight w:val="none"/>
        </w:rPr>
      </w:pPr>
    </w:p>
    <w:p w14:paraId="18D8020D">
      <w:pPr>
        <w:tabs>
          <w:tab w:val="left" w:pos="0"/>
        </w:tabs>
        <w:adjustRightInd w:val="0"/>
        <w:jc w:val="center"/>
        <w:rPr>
          <w:rFonts w:ascii="方正仿宋_GBK" w:eastAsia="方正仿宋_GBK"/>
          <w:b/>
          <w:color w:val="auto"/>
          <w:sz w:val="36"/>
          <w:highlight w:val="none"/>
        </w:rPr>
      </w:pPr>
    </w:p>
    <w:p w14:paraId="4D658277">
      <w:pPr>
        <w:tabs>
          <w:tab w:val="left" w:pos="0"/>
        </w:tabs>
        <w:adjustRightInd w:val="0"/>
        <w:jc w:val="center"/>
        <w:rPr>
          <w:rFonts w:ascii="方正仿宋_GBK" w:eastAsia="方正仿宋_GBK"/>
          <w:b/>
          <w:color w:val="auto"/>
          <w:sz w:val="36"/>
          <w:highlight w:val="none"/>
        </w:rPr>
      </w:pPr>
    </w:p>
    <w:p w14:paraId="41AA2535">
      <w:pPr>
        <w:tabs>
          <w:tab w:val="left" w:pos="0"/>
        </w:tabs>
        <w:adjustRightInd w:val="0"/>
        <w:jc w:val="center"/>
        <w:rPr>
          <w:rFonts w:ascii="方正仿宋_GBK" w:eastAsia="方正仿宋_GBK"/>
          <w:b/>
          <w:color w:val="auto"/>
          <w:sz w:val="36"/>
          <w:highlight w:val="none"/>
        </w:rPr>
      </w:pPr>
    </w:p>
    <w:p w14:paraId="72F43F73">
      <w:pPr>
        <w:tabs>
          <w:tab w:val="left" w:pos="0"/>
        </w:tabs>
        <w:adjustRightInd w:val="0"/>
        <w:jc w:val="center"/>
        <w:rPr>
          <w:rFonts w:ascii="方正仿宋_GBK" w:eastAsia="方正仿宋_GBK"/>
          <w:b/>
          <w:color w:val="auto"/>
          <w:sz w:val="36"/>
          <w:highlight w:val="none"/>
        </w:rPr>
      </w:pPr>
      <w:r>
        <w:rPr>
          <w:rFonts w:hint="eastAsia" w:ascii="方正仿宋_GBK" w:eastAsia="方正仿宋_GBK"/>
          <w:b/>
          <w:color w:val="auto"/>
          <w:sz w:val="36"/>
          <w:highlight w:val="none"/>
        </w:rPr>
        <w:t>授权委托书</w:t>
      </w:r>
    </w:p>
    <w:p w14:paraId="230C590D">
      <w:pPr>
        <w:tabs>
          <w:tab w:val="left" w:pos="0"/>
        </w:tabs>
        <w:adjustRightInd w:val="0"/>
        <w:ind w:firstLine="600"/>
        <w:rPr>
          <w:rFonts w:ascii="方正仿宋_GBK" w:eastAsia="方正仿宋_GBK"/>
          <w:bCs/>
          <w:color w:val="auto"/>
          <w:sz w:val="28"/>
          <w:highlight w:val="none"/>
        </w:rPr>
      </w:pPr>
    </w:p>
    <w:p w14:paraId="028C4A1F">
      <w:pPr>
        <w:tabs>
          <w:tab w:val="left" w:pos="0"/>
        </w:tabs>
        <w:ind w:firstLine="560" w:firstLineChars="200"/>
        <w:rPr>
          <w:rFonts w:ascii="方正仿宋_GBK" w:hAnsi="宋体" w:eastAsia="方正仿宋_GBK"/>
          <w:color w:val="auto"/>
          <w:sz w:val="28"/>
          <w:szCs w:val="28"/>
          <w:highlight w:val="none"/>
        </w:rPr>
      </w:pPr>
      <w:r>
        <w:rPr>
          <w:rFonts w:hint="eastAsia" w:ascii="方正仿宋_GBK" w:eastAsia="方正仿宋_GBK"/>
          <w:bCs/>
          <w:color w:val="auto"/>
          <w:sz w:val="28"/>
          <w:highlight w:val="none"/>
        </w:rPr>
        <w:t>本人</w:t>
      </w:r>
      <w:r>
        <w:rPr>
          <w:rFonts w:hint="eastAsia" w:ascii="方正仿宋_GBK" w:eastAsia="方正仿宋_GBK"/>
          <w:bCs/>
          <w:color w:val="auto"/>
          <w:sz w:val="28"/>
          <w:highlight w:val="none"/>
          <w:u w:val="single"/>
        </w:rPr>
        <w:t xml:space="preserve">        </w:t>
      </w:r>
      <w:r>
        <w:rPr>
          <w:rFonts w:hint="eastAsia" w:ascii="方正仿宋_GBK" w:eastAsia="方正仿宋_GBK"/>
          <w:bCs/>
          <w:color w:val="auto"/>
          <w:sz w:val="28"/>
          <w:highlight w:val="none"/>
        </w:rPr>
        <w:t>（姓名）系</w:t>
      </w:r>
      <w:r>
        <w:rPr>
          <w:rFonts w:hint="eastAsia" w:ascii="方正仿宋_GBK" w:eastAsia="方正仿宋_GBK"/>
          <w:bCs/>
          <w:color w:val="auto"/>
          <w:sz w:val="28"/>
          <w:highlight w:val="none"/>
          <w:u w:val="single"/>
        </w:rPr>
        <w:t xml:space="preserve">                 </w:t>
      </w:r>
      <w:r>
        <w:rPr>
          <w:rFonts w:hint="eastAsia" w:ascii="方正仿宋_GBK" w:eastAsia="方正仿宋_GBK"/>
          <w:bCs/>
          <w:color w:val="auto"/>
          <w:sz w:val="28"/>
          <w:highlight w:val="none"/>
        </w:rPr>
        <w:t xml:space="preserve">（报价人名称）的法定代表人，现委托 </w:t>
      </w:r>
      <w:r>
        <w:rPr>
          <w:rFonts w:hint="eastAsia" w:ascii="方正仿宋_GBK" w:eastAsia="方正仿宋_GBK"/>
          <w:bCs/>
          <w:color w:val="auto"/>
          <w:sz w:val="28"/>
          <w:highlight w:val="none"/>
          <w:u w:val="single"/>
        </w:rPr>
        <w:t xml:space="preserve">           </w:t>
      </w:r>
      <w:r>
        <w:rPr>
          <w:rFonts w:hint="eastAsia" w:ascii="方正仿宋_GBK" w:eastAsia="方正仿宋_GBK"/>
          <w:bCs/>
          <w:color w:val="auto"/>
          <w:sz w:val="28"/>
          <w:highlight w:val="none"/>
        </w:rPr>
        <w:t>（姓名）为我方代理人，</w:t>
      </w:r>
      <w:r>
        <w:rPr>
          <w:rFonts w:hint="eastAsia" w:ascii="方正仿宋_GBK" w:eastAsia="方正仿宋_GBK"/>
          <w:bCs/>
          <w:color w:val="auto"/>
          <w:sz w:val="28"/>
          <w:szCs w:val="28"/>
          <w:highlight w:val="none"/>
        </w:rPr>
        <w:t>以本单位名义参加</w:t>
      </w:r>
      <w:r>
        <w:rPr>
          <w:rFonts w:hint="eastAsia" w:eastAsia="方正仿宋_GBK"/>
          <w:color w:val="auto"/>
          <w:sz w:val="28"/>
          <w:highlight w:val="none"/>
          <w:u w:val="none"/>
          <w:lang w:val="en-US" w:eastAsia="zh-CN"/>
        </w:rPr>
        <w:t>重庆市万州第二高级中学高峰校区学生宿舍建设项</w:t>
      </w:r>
      <w:r>
        <w:rPr>
          <w:rFonts w:hint="eastAsia" w:ascii="Times New Roman" w:hAnsi="Times New Roman" w:eastAsia="方正仿宋_GBK" w:cs="Times New Roman"/>
          <w:color w:val="auto"/>
          <w:sz w:val="28"/>
          <w:highlight w:val="none"/>
          <w:u w:val="none"/>
          <w:lang w:val="en-US" w:eastAsia="zh-CN"/>
        </w:rPr>
        <w:t>目采购防火门、成品木门扇、</w:t>
      </w:r>
      <w:r>
        <w:rPr>
          <w:rFonts w:hint="eastAsia" w:eastAsia="方正仿宋_GBK" w:cs="Times New Roman"/>
          <w:color w:val="auto"/>
          <w:sz w:val="28"/>
          <w:highlight w:val="none"/>
          <w:u w:val="none"/>
          <w:lang w:val="en-US" w:eastAsia="zh-CN"/>
        </w:rPr>
        <w:t>钢质门</w:t>
      </w:r>
      <w:r>
        <w:rPr>
          <w:rFonts w:hint="eastAsia" w:ascii="Times New Roman" w:hAnsi="Times New Roman" w:eastAsia="方正仿宋_GBK" w:cs="Times New Roman"/>
          <w:color w:val="auto"/>
          <w:sz w:val="28"/>
          <w:highlight w:val="none"/>
          <w:u w:val="none"/>
          <w:lang w:val="en-US" w:eastAsia="zh-CN"/>
        </w:rPr>
        <w:t>比选。以我方名义签署</w:t>
      </w:r>
      <w:r>
        <w:rPr>
          <w:rFonts w:hint="eastAsia" w:ascii="方正仿宋_GBK" w:eastAsia="方正仿宋_GBK"/>
          <w:bCs/>
          <w:color w:val="auto"/>
          <w:sz w:val="28"/>
          <w:szCs w:val="28"/>
          <w:highlight w:val="none"/>
        </w:rPr>
        <w:t>、澄清、递交、撤</w:t>
      </w:r>
      <w:r>
        <w:rPr>
          <w:rFonts w:hint="eastAsia" w:ascii="方正仿宋_GBK" w:eastAsia="方正仿宋_GBK"/>
          <w:bCs/>
          <w:color w:val="auto"/>
          <w:sz w:val="28"/>
          <w:highlight w:val="none"/>
        </w:rPr>
        <w:t>回、修改</w:t>
      </w:r>
      <w:r>
        <w:rPr>
          <w:rFonts w:hint="eastAsia" w:ascii="方正仿宋_GBK" w:eastAsia="方正仿宋_GBK"/>
          <w:bCs/>
          <w:color w:val="auto"/>
          <w:sz w:val="28"/>
          <w:szCs w:val="28"/>
          <w:highlight w:val="none"/>
        </w:rPr>
        <w:t>比选</w:t>
      </w:r>
      <w:r>
        <w:rPr>
          <w:rFonts w:hint="eastAsia" w:ascii="方正仿宋_GBK" w:eastAsia="方正仿宋_GBK"/>
          <w:bCs/>
          <w:color w:val="auto"/>
          <w:sz w:val="28"/>
          <w:highlight w:val="none"/>
        </w:rPr>
        <w:t>文件，委托代理人在</w:t>
      </w:r>
      <w:r>
        <w:rPr>
          <w:rFonts w:hint="eastAsia" w:ascii="方正仿宋_GBK" w:eastAsia="方正仿宋_GBK"/>
          <w:bCs/>
          <w:color w:val="auto"/>
          <w:sz w:val="28"/>
          <w:szCs w:val="28"/>
          <w:highlight w:val="none"/>
        </w:rPr>
        <w:t>询价</w:t>
      </w:r>
      <w:r>
        <w:rPr>
          <w:rFonts w:hint="eastAsia" w:ascii="方正仿宋_GBK" w:eastAsia="方正仿宋_GBK"/>
          <w:bCs/>
          <w:color w:val="auto"/>
          <w:sz w:val="28"/>
          <w:highlight w:val="none"/>
        </w:rPr>
        <w:t>活动中所签署的文件、处理与之有关的一切事务，其法律后果由我方承担。</w:t>
      </w:r>
    </w:p>
    <w:p w14:paraId="54243CCC">
      <w:pPr>
        <w:tabs>
          <w:tab w:val="left" w:pos="0"/>
        </w:tabs>
        <w:adjustRightInd w:val="0"/>
        <w:ind w:firstLine="600"/>
        <w:rPr>
          <w:rFonts w:ascii="方正仿宋_GBK" w:eastAsia="方正仿宋_GBK"/>
          <w:bCs/>
          <w:color w:val="auto"/>
          <w:sz w:val="28"/>
          <w:highlight w:val="none"/>
        </w:rPr>
      </w:pPr>
      <w:r>
        <w:rPr>
          <w:rFonts w:hint="eastAsia" w:ascii="方正仿宋_GBK" w:eastAsia="方正仿宋_GBK"/>
          <w:bCs/>
          <w:color w:val="auto"/>
          <w:sz w:val="28"/>
          <w:highlight w:val="none"/>
        </w:rPr>
        <w:t>特此委托</w:t>
      </w:r>
    </w:p>
    <w:p w14:paraId="133031C8">
      <w:pPr>
        <w:tabs>
          <w:tab w:val="left" w:pos="0"/>
        </w:tabs>
        <w:adjustRightInd w:val="0"/>
        <w:ind w:firstLine="600"/>
        <w:rPr>
          <w:rFonts w:ascii="方正仿宋_GBK" w:eastAsia="方正仿宋_GBK"/>
          <w:bCs/>
          <w:color w:val="auto"/>
          <w:sz w:val="28"/>
          <w:highlight w:val="none"/>
        </w:rPr>
      </w:pPr>
    </w:p>
    <w:p w14:paraId="1C61C952">
      <w:pPr>
        <w:tabs>
          <w:tab w:val="left" w:pos="0"/>
        </w:tabs>
        <w:adjustRightInd w:val="0"/>
        <w:snapToGrid w:val="0"/>
        <w:spacing w:line="600" w:lineRule="auto"/>
        <w:ind w:firstLine="600"/>
        <w:rPr>
          <w:rFonts w:ascii="方正仿宋_GBK" w:eastAsia="方正仿宋_GBK"/>
          <w:bCs/>
          <w:color w:val="auto"/>
          <w:sz w:val="28"/>
          <w:highlight w:val="none"/>
        </w:rPr>
      </w:pPr>
      <w:r>
        <w:rPr>
          <w:rFonts w:hint="eastAsia" w:ascii="方正仿宋_GBK" w:eastAsia="方正仿宋_GBK"/>
          <w:bCs/>
          <w:color w:val="auto"/>
          <w:sz w:val="28"/>
          <w:highlight w:val="none"/>
        </w:rPr>
        <w:t xml:space="preserve">               竞选人：</w:t>
      </w:r>
      <w:r>
        <w:rPr>
          <w:rFonts w:hint="eastAsia" w:ascii="方正仿宋_GBK" w:eastAsia="方正仿宋_GBK"/>
          <w:bCs/>
          <w:color w:val="auto"/>
          <w:sz w:val="28"/>
          <w:highlight w:val="none"/>
          <w:u w:val="single"/>
        </w:rPr>
        <w:t xml:space="preserve">                    </w:t>
      </w:r>
      <w:r>
        <w:rPr>
          <w:rFonts w:hint="eastAsia" w:ascii="方正仿宋_GBK" w:eastAsia="方正仿宋_GBK"/>
          <w:bCs/>
          <w:color w:val="auto"/>
          <w:sz w:val="28"/>
          <w:highlight w:val="none"/>
        </w:rPr>
        <w:t>（单位盖章）</w:t>
      </w:r>
    </w:p>
    <w:p w14:paraId="0AE8EBCD">
      <w:pPr>
        <w:tabs>
          <w:tab w:val="left" w:pos="0"/>
        </w:tabs>
        <w:adjustRightInd w:val="0"/>
        <w:snapToGrid w:val="0"/>
        <w:spacing w:line="600" w:lineRule="auto"/>
        <w:ind w:firstLine="600"/>
        <w:rPr>
          <w:rFonts w:ascii="方正仿宋_GBK" w:eastAsia="方正仿宋_GBK"/>
          <w:bCs/>
          <w:color w:val="auto"/>
          <w:sz w:val="28"/>
          <w:highlight w:val="none"/>
        </w:rPr>
      </w:pPr>
      <w:r>
        <w:rPr>
          <w:rFonts w:hint="eastAsia" w:ascii="方正仿宋_GBK" w:eastAsia="方正仿宋_GBK"/>
          <w:bCs/>
          <w:color w:val="auto"/>
          <w:sz w:val="28"/>
          <w:highlight w:val="none"/>
        </w:rPr>
        <w:t xml:space="preserve">               法定代表人：</w:t>
      </w:r>
      <w:r>
        <w:rPr>
          <w:rFonts w:hint="eastAsia" w:ascii="方正仿宋_GBK" w:eastAsia="方正仿宋_GBK"/>
          <w:bCs/>
          <w:color w:val="auto"/>
          <w:sz w:val="28"/>
          <w:highlight w:val="none"/>
          <w:u w:val="single"/>
        </w:rPr>
        <w:t xml:space="preserve">                    </w:t>
      </w:r>
      <w:r>
        <w:rPr>
          <w:rFonts w:hint="eastAsia" w:ascii="方正仿宋_GBK" w:eastAsia="方正仿宋_GBK"/>
          <w:bCs/>
          <w:color w:val="auto"/>
          <w:sz w:val="28"/>
          <w:highlight w:val="none"/>
        </w:rPr>
        <w:t>（签字）</w:t>
      </w:r>
    </w:p>
    <w:p w14:paraId="091B1CFB">
      <w:pPr>
        <w:tabs>
          <w:tab w:val="left" w:pos="0"/>
        </w:tabs>
        <w:adjustRightInd w:val="0"/>
        <w:snapToGrid w:val="0"/>
        <w:spacing w:line="600" w:lineRule="auto"/>
        <w:ind w:firstLine="600"/>
        <w:rPr>
          <w:rFonts w:ascii="方正仿宋_GBK" w:eastAsia="方正仿宋_GBK"/>
          <w:bCs/>
          <w:color w:val="auto"/>
          <w:sz w:val="28"/>
          <w:highlight w:val="none"/>
          <w:u w:val="single"/>
        </w:rPr>
      </w:pPr>
      <w:r>
        <w:rPr>
          <w:rFonts w:hint="eastAsia" w:ascii="方正仿宋_GBK" w:eastAsia="方正仿宋_GBK"/>
          <w:bCs/>
          <w:color w:val="auto"/>
          <w:sz w:val="28"/>
          <w:highlight w:val="none"/>
        </w:rPr>
        <w:t xml:space="preserve">               身份证号码：</w:t>
      </w:r>
      <w:r>
        <w:rPr>
          <w:rFonts w:hint="eastAsia" w:ascii="方正仿宋_GBK" w:eastAsia="方正仿宋_GBK"/>
          <w:bCs/>
          <w:color w:val="auto"/>
          <w:sz w:val="28"/>
          <w:highlight w:val="none"/>
          <w:u w:val="single"/>
        </w:rPr>
        <w:t xml:space="preserve">                          </w:t>
      </w:r>
    </w:p>
    <w:p w14:paraId="6A9DA065">
      <w:pPr>
        <w:tabs>
          <w:tab w:val="left" w:pos="0"/>
        </w:tabs>
        <w:adjustRightInd w:val="0"/>
        <w:snapToGrid w:val="0"/>
        <w:spacing w:line="600" w:lineRule="auto"/>
        <w:ind w:firstLine="600"/>
        <w:rPr>
          <w:rFonts w:ascii="方正仿宋_GBK" w:eastAsia="方正仿宋_GBK"/>
          <w:bCs/>
          <w:color w:val="auto"/>
          <w:sz w:val="28"/>
          <w:highlight w:val="none"/>
        </w:rPr>
      </w:pPr>
      <w:r>
        <w:rPr>
          <w:rFonts w:hint="eastAsia" w:ascii="方正仿宋_GBK" w:eastAsia="方正仿宋_GBK"/>
          <w:bCs/>
          <w:color w:val="auto"/>
          <w:sz w:val="28"/>
          <w:highlight w:val="none"/>
        </w:rPr>
        <w:t xml:space="preserve">               委托代理人：</w:t>
      </w:r>
      <w:r>
        <w:rPr>
          <w:rFonts w:hint="eastAsia" w:ascii="方正仿宋_GBK" w:eastAsia="方正仿宋_GBK"/>
          <w:bCs/>
          <w:color w:val="auto"/>
          <w:sz w:val="28"/>
          <w:highlight w:val="none"/>
          <w:u w:val="single"/>
        </w:rPr>
        <w:t xml:space="preserve">                     </w:t>
      </w:r>
      <w:r>
        <w:rPr>
          <w:rFonts w:hint="eastAsia" w:ascii="方正仿宋_GBK" w:eastAsia="方正仿宋_GBK"/>
          <w:bCs/>
          <w:color w:val="auto"/>
          <w:sz w:val="28"/>
          <w:highlight w:val="none"/>
        </w:rPr>
        <w:t>（签字）</w:t>
      </w:r>
    </w:p>
    <w:p w14:paraId="0078E728">
      <w:pPr>
        <w:tabs>
          <w:tab w:val="left" w:pos="0"/>
        </w:tabs>
        <w:adjustRightInd w:val="0"/>
        <w:snapToGrid w:val="0"/>
        <w:spacing w:line="600" w:lineRule="auto"/>
        <w:ind w:firstLine="600"/>
        <w:rPr>
          <w:rFonts w:ascii="方正仿宋_GBK" w:eastAsia="方正仿宋_GBK"/>
          <w:bCs/>
          <w:color w:val="auto"/>
          <w:sz w:val="28"/>
          <w:highlight w:val="none"/>
          <w:u w:val="single"/>
        </w:rPr>
      </w:pPr>
      <w:r>
        <w:rPr>
          <w:rFonts w:hint="eastAsia" w:ascii="方正仿宋_GBK" w:eastAsia="方正仿宋_GBK"/>
          <w:bCs/>
          <w:color w:val="auto"/>
          <w:sz w:val="28"/>
          <w:highlight w:val="none"/>
        </w:rPr>
        <w:t xml:space="preserve">               身份证号码：</w:t>
      </w:r>
      <w:r>
        <w:rPr>
          <w:rFonts w:hint="eastAsia" w:ascii="方正仿宋_GBK" w:eastAsia="方正仿宋_GBK"/>
          <w:bCs/>
          <w:color w:val="auto"/>
          <w:sz w:val="28"/>
          <w:highlight w:val="none"/>
          <w:u w:val="single"/>
        </w:rPr>
        <w:t xml:space="preserve">                           </w:t>
      </w:r>
    </w:p>
    <w:p w14:paraId="7F780171">
      <w:pPr>
        <w:tabs>
          <w:tab w:val="left" w:pos="0"/>
        </w:tabs>
        <w:adjustRightInd w:val="0"/>
        <w:snapToGrid w:val="0"/>
        <w:spacing w:line="600" w:lineRule="auto"/>
        <w:ind w:firstLine="600"/>
        <w:rPr>
          <w:rFonts w:ascii="方正仿宋_GBK" w:eastAsia="方正仿宋_GBK"/>
          <w:bCs/>
          <w:color w:val="auto"/>
          <w:sz w:val="28"/>
          <w:highlight w:val="none"/>
        </w:rPr>
      </w:pPr>
      <w:r>
        <w:rPr>
          <w:rFonts w:hint="eastAsia" w:ascii="方正仿宋_GBK" w:eastAsia="方正仿宋_GBK"/>
          <w:bCs/>
          <w:color w:val="auto"/>
          <w:sz w:val="28"/>
          <w:highlight w:val="none"/>
        </w:rPr>
        <w:t xml:space="preserve">                           </w:t>
      </w:r>
      <w:r>
        <w:rPr>
          <w:rFonts w:hint="eastAsia" w:ascii="方正仿宋_GBK" w:eastAsia="方正仿宋_GBK"/>
          <w:bCs/>
          <w:color w:val="auto"/>
          <w:sz w:val="28"/>
          <w:highlight w:val="none"/>
          <w:u w:val="single"/>
        </w:rPr>
        <w:t xml:space="preserve">         </w:t>
      </w:r>
      <w:r>
        <w:rPr>
          <w:rFonts w:hint="eastAsia" w:ascii="方正仿宋_GBK" w:eastAsia="方正仿宋_GBK"/>
          <w:bCs/>
          <w:color w:val="auto"/>
          <w:sz w:val="28"/>
          <w:highlight w:val="none"/>
        </w:rPr>
        <w:t xml:space="preserve">年 </w:t>
      </w:r>
      <w:r>
        <w:rPr>
          <w:rFonts w:hint="eastAsia" w:ascii="方正仿宋_GBK" w:eastAsia="方正仿宋_GBK"/>
          <w:bCs/>
          <w:color w:val="auto"/>
          <w:sz w:val="28"/>
          <w:highlight w:val="none"/>
          <w:u w:val="single"/>
        </w:rPr>
        <w:t xml:space="preserve">    </w:t>
      </w:r>
      <w:r>
        <w:rPr>
          <w:rFonts w:hint="eastAsia" w:ascii="方正仿宋_GBK" w:eastAsia="方正仿宋_GBK"/>
          <w:bCs/>
          <w:color w:val="auto"/>
          <w:sz w:val="28"/>
          <w:highlight w:val="none"/>
        </w:rPr>
        <w:t>月</w:t>
      </w:r>
      <w:r>
        <w:rPr>
          <w:rFonts w:hint="eastAsia" w:ascii="方正仿宋_GBK" w:eastAsia="方正仿宋_GBK"/>
          <w:bCs/>
          <w:color w:val="auto"/>
          <w:sz w:val="28"/>
          <w:highlight w:val="none"/>
          <w:u w:val="single"/>
        </w:rPr>
        <w:t xml:space="preserve">    </w:t>
      </w:r>
      <w:r>
        <w:rPr>
          <w:rFonts w:hint="eastAsia" w:ascii="方正仿宋_GBK" w:eastAsia="方正仿宋_GBK"/>
          <w:bCs/>
          <w:color w:val="auto"/>
          <w:sz w:val="28"/>
          <w:highlight w:val="none"/>
        </w:rPr>
        <w:t>日</w:t>
      </w:r>
    </w:p>
    <w:p w14:paraId="5897B6EB">
      <w:pPr>
        <w:tabs>
          <w:tab w:val="left" w:pos="0"/>
        </w:tabs>
        <w:adjustRightInd w:val="0"/>
        <w:snapToGrid w:val="0"/>
        <w:spacing w:line="360" w:lineRule="auto"/>
        <w:jc w:val="center"/>
        <w:outlineLvl w:val="0"/>
        <w:rPr>
          <w:rFonts w:ascii="方正仿宋_GBK" w:eastAsia="方正仿宋_GBK"/>
          <w:b/>
          <w:color w:val="auto"/>
          <w:sz w:val="36"/>
          <w:highlight w:val="none"/>
        </w:rPr>
      </w:pPr>
    </w:p>
    <w:p w14:paraId="6B750814">
      <w:pPr>
        <w:tabs>
          <w:tab w:val="left" w:pos="0"/>
        </w:tabs>
        <w:adjustRightInd w:val="0"/>
        <w:snapToGrid w:val="0"/>
        <w:spacing w:line="360" w:lineRule="auto"/>
        <w:jc w:val="center"/>
        <w:outlineLvl w:val="0"/>
        <w:rPr>
          <w:rFonts w:ascii="方正仿宋_GBK" w:eastAsia="方正仿宋_GBK"/>
          <w:b/>
          <w:color w:val="auto"/>
          <w:sz w:val="36"/>
          <w:highlight w:val="none"/>
        </w:rPr>
      </w:pPr>
    </w:p>
    <w:p w14:paraId="3999BB99">
      <w:pPr>
        <w:tabs>
          <w:tab w:val="left" w:pos="0"/>
        </w:tabs>
        <w:adjustRightInd w:val="0"/>
        <w:snapToGrid w:val="0"/>
        <w:spacing w:line="500" w:lineRule="exact"/>
        <w:jc w:val="center"/>
        <w:rPr>
          <w:rFonts w:ascii="方正仿宋_GBK" w:eastAsia="方正仿宋_GBK"/>
          <w:b/>
          <w:bCs/>
          <w:color w:val="auto"/>
          <w:sz w:val="32"/>
          <w:szCs w:val="32"/>
          <w:highlight w:val="none"/>
        </w:rPr>
      </w:pPr>
      <w:r>
        <w:rPr>
          <w:rFonts w:eastAsia="方正仿宋_GBK"/>
          <w:b/>
          <w:color w:val="auto"/>
          <w:sz w:val="32"/>
          <w:szCs w:val="32"/>
          <w:highlight w:val="none"/>
        </w:rPr>
        <w:t>承诺书</w:t>
      </w:r>
    </w:p>
    <w:p w14:paraId="72140A5F">
      <w:pPr>
        <w:spacing w:line="480" w:lineRule="exact"/>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重庆市玉罗实业有限公司：</w:t>
      </w:r>
    </w:p>
    <w:p w14:paraId="6F780DB4">
      <w:pPr>
        <w:spacing w:line="480" w:lineRule="exact"/>
        <w:ind w:firstLine="560" w:firstLineChars="200"/>
        <w:jc w:val="left"/>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我司若中选</w:t>
      </w:r>
      <w:r>
        <w:rPr>
          <w:rFonts w:hint="eastAsia" w:eastAsia="方正仿宋_GBK"/>
          <w:color w:val="auto"/>
          <w:sz w:val="28"/>
          <w:highlight w:val="none"/>
          <w:u w:val="none"/>
          <w:lang w:val="en-US" w:eastAsia="zh-CN"/>
        </w:rPr>
        <w:t>重庆市万州第二高级中学高峰校区学生宿舍建设项</w:t>
      </w:r>
      <w:r>
        <w:rPr>
          <w:rFonts w:hint="eastAsia" w:ascii="Times New Roman" w:hAnsi="Times New Roman" w:eastAsia="方正仿宋_GBK" w:cs="Times New Roman"/>
          <w:color w:val="auto"/>
          <w:sz w:val="28"/>
          <w:highlight w:val="none"/>
          <w:u w:val="none"/>
          <w:lang w:val="en-US" w:eastAsia="zh-CN"/>
        </w:rPr>
        <w:t>目采购防火门、成品木门扇、</w:t>
      </w:r>
      <w:r>
        <w:rPr>
          <w:rFonts w:hint="eastAsia" w:eastAsia="方正仿宋_GBK" w:cs="Times New Roman"/>
          <w:color w:val="auto"/>
          <w:sz w:val="28"/>
          <w:highlight w:val="none"/>
          <w:u w:val="none"/>
          <w:lang w:val="en-US" w:eastAsia="zh-CN"/>
        </w:rPr>
        <w:t>钢质节能外门</w:t>
      </w:r>
      <w:r>
        <w:rPr>
          <w:rFonts w:hint="eastAsia" w:ascii="方正仿宋_GBK" w:hAnsi="宋体" w:eastAsia="方正仿宋_GBK"/>
          <w:color w:val="auto"/>
          <w:sz w:val="28"/>
          <w:szCs w:val="28"/>
          <w:highlight w:val="none"/>
        </w:rPr>
        <w:t>供应商，我司</w:t>
      </w:r>
      <w:r>
        <w:rPr>
          <w:rFonts w:hint="eastAsia" w:ascii="方正仿宋_GBK" w:hAnsi="宋体" w:eastAsia="方正仿宋_GBK"/>
          <w:color w:val="auto"/>
          <w:sz w:val="28"/>
          <w:szCs w:val="28"/>
          <w:highlight w:val="none"/>
          <w:lang w:eastAsia="zh-CN"/>
        </w:rPr>
        <w:t>作出</w:t>
      </w:r>
      <w:r>
        <w:rPr>
          <w:rFonts w:hint="eastAsia" w:ascii="方正仿宋_GBK" w:hAnsi="宋体" w:eastAsia="方正仿宋_GBK"/>
          <w:color w:val="auto"/>
          <w:sz w:val="28"/>
          <w:szCs w:val="28"/>
          <w:highlight w:val="none"/>
        </w:rPr>
        <w:t>如下承诺：</w:t>
      </w:r>
    </w:p>
    <w:p w14:paraId="11EB217B">
      <w:pPr>
        <w:wordWrap w:val="0"/>
        <w:spacing w:line="480" w:lineRule="exact"/>
        <w:ind w:firstLine="560" w:firstLineChars="200"/>
        <w:jc w:val="left"/>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一、供应数量、供货及时性、质保期承诺：</w:t>
      </w:r>
      <w:r>
        <w:rPr>
          <w:rFonts w:hint="eastAsia" w:ascii="方正仿宋_GBK" w:eastAsia="方正仿宋_GBK"/>
          <w:color w:val="auto"/>
          <w:sz w:val="28"/>
          <w:szCs w:val="24"/>
          <w:highlight w:val="none"/>
        </w:rPr>
        <w:t>签订合同之日起第15个日历天开始供货，供货周期120个日历天</w:t>
      </w:r>
      <w:r>
        <w:rPr>
          <w:rFonts w:hint="eastAsia" w:ascii="方正仿宋_GBK" w:hAnsi="宋体" w:eastAsia="方正仿宋_GBK"/>
          <w:bCs/>
          <w:color w:val="auto"/>
          <w:sz w:val="28"/>
          <w:szCs w:val="28"/>
          <w:highlight w:val="none"/>
        </w:rPr>
        <w:t>按照贵司施工现场要求供货安装完毕</w:t>
      </w:r>
      <w:r>
        <w:rPr>
          <w:rFonts w:hint="eastAsia" w:eastAsia="方正仿宋_GBK"/>
          <w:color w:val="auto"/>
          <w:sz w:val="28"/>
          <w:szCs w:val="28"/>
          <w:highlight w:val="none"/>
        </w:rPr>
        <w:t>，满足施工现场</w:t>
      </w:r>
      <w:r>
        <w:rPr>
          <w:rFonts w:hint="eastAsia" w:eastAsia="方正仿宋_GBK"/>
          <w:bCs/>
          <w:color w:val="auto"/>
          <w:sz w:val="28"/>
          <w:highlight w:val="none"/>
        </w:rPr>
        <w:t>用量。</w:t>
      </w:r>
      <w:r>
        <w:rPr>
          <w:rFonts w:eastAsia="方正仿宋_GBK"/>
          <w:bCs/>
          <w:color w:val="auto"/>
          <w:sz w:val="28"/>
          <w:highlight w:val="none"/>
        </w:rPr>
        <w:t>所供</w:t>
      </w:r>
      <w:r>
        <w:rPr>
          <w:rFonts w:hint="eastAsia" w:eastAsia="方正仿宋_GBK"/>
          <w:bCs/>
          <w:color w:val="auto"/>
          <w:sz w:val="28"/>
          <w:highlight w:val="none"/>
        </w:rPr>
        <w:t>产品</w:t>
      </w:r>
      <w:r>
        <w:rPr>
          <w:rFonts w:eastAsia="方正仿宋_GBK"/>
          <w:bCs/>
          <w:color w:val="auto"/>
          <w:sz w:val="28"/>
          <w:highlight w:val="none"/>
        </w:rPr>
        <w:t>质量</w:t>
      </w:r>
      <w:r>
        <w:rPr>
          <w:rFonts w:hint="eastAsia" w:eastAsia="方正仿宋_GBK"/>
          <w:bCs/>
          <w:color w:val="auto"/>
          <w:sz w:val="28"/>
          <w:highlight w:val="none"/>
        </w:rPr>
        <w:t>达到国家标准，质保期为</w:t>
      </w:r>
      <w:r>
        <w:rPr>
          <w:rFonts w:hint="eastAsia" w:eastAsia="方正仿宋_GBK"/>
          <w:bCs/>
          <w:color w:val="auto"/>
          <w:sz w:val="28"/>
          <w:highlight w:val="none"/>
          <w:u w:val="single"/>
        </w:rPr>
        <w:t xml:space="preserve">     </w:t>
      </w:r>
      <w:r>
        <w:rPr>
          <w:rFonts w:hint="eastAsia" w:eastAsia="方正仿宋_GBK"/>
          <w:bCs/>
          <w:color w:val="auto"/>
          <w:sz w:val="28"/>
          <w:highlight w:val="none"/>
        </w:rPr>
        <w:t>年。</w:t>
      </w:r>
      <w:r>
        <w:rPr>
          <w:rFonts w:hint="eastAsia" w:ascii="方正仿宋_GBK" w:hAnsi="宋体" w:eastAsia="方正仿宋_GBK"/>
          <w:color w:val="auto"/>
          <w:sz w:val="28"/>
          <w:szCs w:val="28"/>
          <w:highlight w:val="none"/>
        </w:rPr>
        <w:t>如因供货数量、供货时间等未满足采购方要求，从而影响工期等，</w:t>
      </w:r>
      <w:r>
        <w:rPr>
          <w:rFonts w:ascii="方正仿宋_GBK" w:hAnsi="宋体" w:eastAsia="方正仿宋_GBK"/>
          <w:color w:val="auto"/>
          <w:sz w:val="28"/>
          <w:szCs w:val="28"/>
          <w:highlight w:val="none"/>
        </w:rPr>
        <w:t>由此带来的损失由我司自行承担</w:t>
      </w:r>
      <w:r>
        <w:rPr>
          <w:rFonts w:hint="eastAsia" w:ascii="方正仿宋_GBK" w:hAnsi="宋体" w:eastAsia="方正仿宋_GBK"/>
          <w:color w:val="auto"/>
          <w:sz w:val="28"/>
          <w:szCs w:val="28"/>
          <w:highlight w:val="none"/>
        </w:rPr>
        <w:t>。</w:t>
      </w:r>
    </w:p>
    <w:p w14:paraId="0BE6708E">
      <w:pPr>
        <w:tabs>
          <w:tab w:val="left" w:pos="0"/>
        </w:tabs>
        <w:adjustRightInd w:val="0"/>
        <w:spacing w:line="48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二、质量承诺：</w:t>
      </w:r>
    </w:p>
    <w:p w14:paraId="73BD59AC">
      <w:pPr>
        <w:tabs>
          <w:tab w:val="left" w:pos="0"/>
        </w:tabs>
        <w:adjustRightInd w:val="0"/>
        <w:spacing w:line="480" w:lineRule="exact"/>
        <w:ind w:firstLine="560" w:firstLineChars="200"/>
        <w:rPr>
          <w:rFonts w:ascii="方正仿宋_GBK" w:eastAsia="方正仿宋_GBK"/>
          <w:color w:val="auto"/>
          <w:sz w:val="28"/>
          <w:szCs w:val="24"/>
          <w:highlight w:val="none"/>
        </w:rPr>
      </w:pPr>
      <w:r>
        <w:rPr>
          <w:rFonts w:hint="eastAsia" w:ascii="方正仿宋_GBK" w:hAnsi="宋体" w:eastAsia="方正仿宋_GBK"/>
          <w:color w:val="auto"/>
          <w:sz w:val="28"/>
          <w:szCs w:val="28"/>
          <w:highlight w:val="none"/>
        </w:rPr>
        <w:t>1、我司所供防火门品质达到国家相关消防验收规范标准，</w:t>
      </w:r>
      <w:r>
        <w:rPr>
          <w:rFonts w:hint="eastAsia" w:ascii="方正仿宋_GBK" w:eastAsia="方正仿宋_GBK"/>
          <w:color w:val="auto"/>
          <w:sz w:val="28"/>
          <w:szCs w:val="24"/>
          <w:highlight w:val="none"/>
        </w:rPr>
        <w:t>并经过公安消防验收为合格产品，满足贵司对防火门要求的等级，即甲级、乙级。若未能达到公安消防验收合格的，由我司负责整改直至消防验收合格。</w:t>
      </w:r>
    </w:p>
    <w:p w14:paraId="18692F7D">
      <w:pPr>
        <w:tabs>
          <w:tab w:val="left" w:pos="0"/>
        </w:tabs>
        <w:adjustRightInd w:val="0"/>
        <w:spacing w:line="480" w:lineRule="exact"/>
        <w:ind w:firstLine="560" w:firstLineChars="200"/>
        <w:rPr>
          <w:rFonts w:ascii="方正仿宋_GBK" w:eastAsia="方正仿宋_GBK"/>
          <w:color w:val="auto"/>
          <w:sz w:val="28"/>
          <w:szCs w:val="24"/>
          <w:highlight w:val="none"/>
        </w:rPr>
      </w:pPr>
      <w:r>
        <w:rPr>
          <w:rFonts w:hint="eastAsia" w:ascii="方正仿宋_GBK" w:eastAsia="方正仿宋_GBK"/>
          <w:color w:val="auto"/>
          <w:sz w:val="28"/>
          <w:szCs w:val="24"/>
          <w:highlight w:val="none"/>
        </w:rPr>
        <w:t>2、我司所供的</w:t>
      </w:r>
      <w:r>
        <w:rPr>
          <w:rFonts w:hint="eastAsia" w:ascii="方正仿宋_GBK" w:eastAsia="方正仿宋_GBK"/>
          <w:color w:val="auto"/>
          <w:sz w:val="28"/>
          <w:szCs w:val="24"/>
          <w:highlight w:val="none"/>
          <w:lang w:val="en-US" w:eastAsia="zh-CN"/>
        </w:rPr>
        <w:t>防火</w:t>
      </w:r>
      <w:r>
        <w:rPr>
          <w:rFonts w:hint="eastAsia" w:ascii="方正仿宋_GBK" w:eastAsia="方正仿宋_GBK"/>
          <w:color w:val="auto"/>
          <w:sz w:val="28"/>
          <w:szCs w:val="24"/>
          <w:highlight w:val="none"/>
        </w:rPr>
        <w:t>门、</w:t>
      </w:r>
      <w:r>
        <w:rPr>
          <w:rFonts w:hint="eastAsia" w:ascii="方正仿宋_GBK" w:eastAsia="方正仿宋_GBK"/>
          <w:color w:val="auto"/>
          <w:sz w:val="28"/>
          <w:szCs w:val="24"/>
          <w:highlight w:val="none"/>
          <w:lang w:val="en-US" w:eastAsia="zh-CN"/>
        </w:rPr>
        <w:t>木</w:t>
      </w:r>
      <w:r>
        <w:rPr>
          <w:rFonts w:hint="eastAsia" w:ascii="方正仿宋_GBK" w:eastAsia="方正仿宋_GBK"/>
          <w:color w:val="auto"/>
          <w:sz w:val="28"/>
          <w:szCs w:val="24"/>
          <w:highlight w:val="none"/>
        </w:rPr>
        <w:t>门</w:t>
      </w:r>
      <w:r>
        <w:rPr>
          <w:rFonts w:hint="eastAsia" w:ascii="方正仿宋_GBK" w:eastAsia="方正仿宋_GBK"/>
          <w:color w:val="auto"/>
          <w:sz w:val="28"/>
          <w:szCs w:val="24"/>
          <w:highlight w:val="none"/>
          <w:lang w:eastAsia="zh-CN"/>
        </w:rPr>
        <w:t>、</w:t>
      </w:r>
      <w:r>
        <w:rPr>
          <w:rFonts w:hint="eastAsia" w:ascii="方正仿宋_GBK" w:eastAsia="方正仿宋_GBK"/>
          <w:color w:val="auto"/>
          <w:sz w:val="28"/>
          <w:szCs w:val="24"/>
          <w:highlight w:val="none"/>
          <w:lang w:val="en-US" w:eastAsia="zh-CN"/>
        </w:rPr>
        <w:t>钢质门</w:t>
      </w:r>
      <w:r>
        <w:rPr>
          <w:rFonts w:hint="eastAsia" w:ascii="方正仿宋_GBK" w:eastAsia="方正仿宋_GBK"/>
          <w:color w:val="auto"/>
          <w:sz w:val="28"/>
          <w:szCs w:val="24"/>
          <w:highlight w:val="none"/>
        </w:rPr>
        <w:t>等，品质满足贵司要求。</w:t>
      </w:r>
    </w:p>
    <w:p w14:paraId="58FDA9E8">
      <w:pPr>
        <w:tabs>
          <w:tab w:val="left" w:pos="0"/>
        </w:tabs>
        <w:adjustRightInd w:val="0"/>
        <w:spacing w:line="48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3、若因质量造成贵司损失的，我司应承担由此而造成的所有赔偿责任。</w:t>
      </w:r>
    </w:p>
    <w:p w14:paraId="19E1F434">
      <w:pPr>
        <w:spacing w:line="480" w:lineRule="exact"/>
        <w:ind w:firstLine="560" w:firstLineChars="200"/>
        <w:jc w:val="left"/>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三、税率承诺：结算时我司提供增值税专票，税率为</w:t>
      </w:r>
      <w:r>
        <w:rPr>
          <w:rFonts w:hint="eastAsia" w:ascii="方正仿宋_GBK" w:hAnsi="宋体" w:eastAsia="方正仿宋_GBK"/>
          <w:color w:val="auto"/>
          <w:sz w:val="28"/>
          <w:szCs w:val="28"/>
          <w:highlight w:val="none"/>
          <w:u w:val="single"/>
        </w:rPr>
        <w:t xml:space="preserve">     </w:t>
      </w:r>
      <w:r>
        <w:rPr>
          <w:rFonts w:hint="eastAsia" w:ascii="方正仿宋_GBK" w:hAnsi="宋体" w:eastAsia="方正仿宋_GBK"/>
          <w:color w:val="auto"/>
          <w:sz w:val="28"/>
          <w:szCs w:val="28"/>
          <w:highlight w:val="none"/>
        </w:rPr>
        <w:t>%，如我司在结算时未按照所承诺的税率提供增值税专票，采购方从货款中扣除相应税额。</w:t>
      </w:r>
    </w:p>
    <w:p w14:paraId="4DD84E62">
      <w:pPr>
        <w:tabs>
          <w:tab w:val="left" w:pos="0"/>
        </w:tabs>
        <w:adjustRightInd w:val="0"/>
        <w:spacing w:line="48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四、我司</w:t>
      </w:r>
      <w:r>
        <w:rPr>
          <w:rFonts w:hint="eastAsia" w:ascii="方正仿宋_GBK" w:hAnsi="宋体" w:eastAsia="方正仿宋_GBK"/>
          <w:bCs/>
          <w:color w:val="auto"/>
          <w:sz w:val="30"/>
          <w:szCs w:val="30"/>
          <w:highlight w:val="none"/>
        </w:rPr>
        <w:t>具有良好的商业信誉，有充分的供应保障能力，相应售后服务能力。</w:t>
      </w:r>
    </w:p>
    <w:p w14:paraId="4D73C9F3">
      <w:pPr>
        <w:spacing w:line="480" w:lineRule="exact"/>
        <w:rPr>
          <w:rFonts w:ascii="方正仿宋_GBK" w:eastAsia="方正仿宋_GBK"/>
          <w:bCs/>
          <w:color w:val="auto"/>
          <w:sz w:val="28"/>
          <w:szCs w:val="28"/>
          <w:highlight w:val="none"/>
          <w:u w:val="single"/>
        </w:rPr>
      </w:pPr>
      <w:r>
        <w:rPr>
          <w:rFonts w:hint="eastAsia" w:ascii="方正仿宋_GBK" w:eastAsia="方正仿宋_GBK"/>
          <w:bCs/>
          <w:color w:val="auto"/>
          <w:sz w:val="28"/>
          <w:szCs w:val="28"/>
          <w:highlight w:val="none"/>
          <w:u w:val="single"/>
        </w:rPr>
        <w:t xml:space="preserve">                                                                    </w:t>
      </w:r>
    </w:p>
    <w:p w14:paraId="7468EBB2">
      <w:pPr>
        <w:spacing w:line="480" w:lineRule="exact"/>
        <w:ind w:firstLine="4762" w:firstLineChars="1701"/>
        <w:rPr>
          <w:rFonts w:ascii="方正仿宋_GBK" w:eastAsia="方正仿宋_GBK"/>
          <w:bCs/>
          <w:color w:val="auto"/>
          <w:sz w:val="28"/>
          <w:szCs w:val="28"/>
          <w:highlight w:val="none"/>
          <w:u w:val="single"/>
        </w:rPr>
      </w:pPr>
      <w:r>
        <w:rPr>
          <w:rFonts w:hint="eastAsia" w:ascii="方正仿宋_GBK" w:hAnsi="宋体" w:eastAsia="方正仿宋_GBK"/>
          <w:color w:val="auto"/>
          <w:sz w:val="28"/>
          <w:szCs w:val="28"/>
          <w:highlight w:val="none"/>
        </w:rPr>
        <w:t>承诺人（章）</w:t>
      </w:r>
      <w:r>
        <w:rPr>
          <w:rFonts w:hint="eastAsia" w:ascii="方正仿宋_GBK" w:eastAsia="方正仿宋_GBK"/>
          <w:bCs/>
          <w:color w:val="auto"/>
          <w:sz w:val="28"/>
          <w:szCs w:val="28"/>
          <w:highlight w:val="none"/>
        </w:rPr>
        <w:t>：</w:t>
      </w:r>
      <w:r>
        <w:rPr>
          <w:rFonts w:hint="eastAsia" w:ascii="方正仿宋_GBK" w:eastAsia="方正仿宋_GBK"/>
          <w:bCs/>
          <w:color w:val="auto"/>
          <w:sz w:val="28"/>
          <w:szCs w:val="28"/>
          <w:highlight w:val="none"/>
          <w:u w:val="single"/>
        </w:rPr>
        <w:t xml:space="preserve">                   </w:t>
      </w:r>
    </w:p>
    <w:p w14:paraId="3D824717">
      <w:pPr>
        <w:spacing w:line="480" w:lineRule="exact"/>
        <w:rPr>
          <w:rFonts w:ascii="方正仿宋_GBK" w:eastAsia="方正仿宋_GBK"/>
          <w:bCs/>
          <w:color w:val="auto"/>
          <w:sz w:val="28"/>
          <w:szCs w:val="28"/>
          <w:highlight w:val="none"/>
          <w:u w:val="single"/>
        </w:rPr>
      </w:pPr>
      <w:r>
        <w:rPr>
          <w:rFonts w:hint="eastAsia" w:ascii="方正仿宋_GBK" w:eastAsia="方正仿宋_GBK"/>
          <w:bCs/>
          <w:color w:val="auto"/>
          <w:sz w:val="28"/>
          <w:szCs w:val="28"/>
          <w:highlight w:val="none"/>
        </w:rPr>
        <w:t xml:space="preserve">                                  </w:t>
      </w:r>
      <w:r>
        <w:rPr>
          <w:rFonts w:hint="eastAsia" w:ascii="方正仿宋_GBK" w:hAnsi="宋体" w:eastAsia="方正仿宋_GBK"/>
          <w:color w:val="auto"/>
          <w:sz w:val="28"/>
          <w:szCs w:val="28"/>
          <w:highlight w:val="none"/>
        </w:rPr>
        <w:t>承诺联系人</w:t>
      </w:r>
      <w:r>
        <w:rPr>
          <w:rFonts w:hint="eastAsia" w:ascii="方正仿宋_GBK" w:eastAsia="方正仿宋_GBK"/>
          <w:bCs/>
          <w:color w:val="auto"/>
          <w:sz w:val="28"/>
          <w:szCs w:val="28"/>
          <w:highlight w:val="none"/>
        </w:rPr>
        <w:t>：</w:t>
      </w:r>
      <w:r>
        <w:rPr>
          <w:rFonts w:hint="eastAsia" w:ascii="方正仿宋_GBK" w:eastAsia="方正仿宋_GBK"/>
          <w:bCs/>
          <w:color w:val="auto"/>
          <w:sz w:val="28"/>
          <w:szCs w:val="28"/>
          <w:highlight w:val="none"/>
          <w:u w:val="single"/>
        </w:rPr>
        <w:t xml:space="preserve">                     </w:t>
      </w:r>
    </w:p>
    <w:p w14:paraId="40B9EEBA">
      <w:pPr>
        <w:spacing w:line="480" w:lineRule="exact"/>
        <w:rPr>
          <w:rFonts w:ascii="方正仿宋_GBK" w:eastAsia="方正仿宋_GBK"/>
          <w:bCs/>
          <w:color w:val="auto"/>
          <w:sz w:val="28"/>
          <w:szCs w:val="28"/>
          <w:highlight w:val="none"/>
          <w:u w:val="single"/>
        </w:rPr>
      </w:pPr>
      <w:r>
        <w:rPr>
          <w:rFonts w:hint="eastAsia" w:ascii="方正仿宋_GBK" w:eastAsia="方正仿宋_GBK"/>
          <w:bCs/>
          <w:color w:val="auto"/>
          <w:sz w:val="28"/>
          <w:szCs w:val="28"/>
          <w:highlight w:val="none"/>
        </w:rPr>
        <w:t xml:space="preserve">                                  </w:t>
      </w:r>
      <w:r>
        <w:rPr>
          <w:rFonts w:hint="eastAsia" w:ascii="方正仿宋_GBK" w:hAnsi="宋体" w:eastAsia="方正仿宋_GBK"/>
          <w:color w:val="auto"/>
          <w:sz w:val="28"/>
          <w:szCs w:val="28"/>
          <w:highlight w:val="none"/>
        </w:rPr>
        <w:t>联系电话</w:t>
      </w:r>
      <w:r>
        <w:rPr>
          <w:rFonts w:hint="eastAsia" w:ascii="方正仿宋_GBK" w:eastAsia="方正仿宋_GBK"/>
          <w:bCs/>
          <w:color w:val="auto"/>
          <w:sz w:val="28"/>
          <w:szCs w:val="28"/>
          <w:highlight w:val="none"/>
        </w:rPr>
        <w:t>：</w:t>
      </w:r>
      <w:r>
        <w:rPr>
          <w:rFonts w:hint="eastAsia" w:ascii="方正仿宋_GBK" w:eastAsia="方正仿宋_GBK"/>
          <w:bCs/>
          <w:color w:val="auto"/>
          <w:sz w:val="28"/>
          <w:szCs w:val="28"/>
          <w:highlight w:val="none"/>
          <w:u w:val="single"/>
        </w:rPr>
        <w:t xml:space="preserve">                       </w:t>
      </w:r>
    </w:p>
    <w:p w14:paraId="59B34605">
      <w:pPr>
        <w:spacing w:line="480" w:lineRule="exact"/>
        <w:jc w:val="right"/>
        <w:rPr>
          <w:rFonts w:ascii="方正仿宋_GBK" w:eastAsia="方正仿宋_GBK"/>
          <w:bCs/>
          <w:color w:val="auto"/>
          <w:sz w:val="28"/>
          <w:szCs w:val="28"/>
          <w:highlight w:val="none"/>
        </w:rPr>
      </w:pPr>
      <w:r>
        <w:rPr>
          <w:rFonts w:hint="eastAsia" w:ascii="方正仿宋_GBK" w:eastAsia="方正仿宋_GBK"/>
          <w:bCs/>
          <w:color w:val="auto"/>
          <w:sz w:val="28"/>
          <w:szCs w:val="28"/>
          <w:highlight w:val="none"/>
        </w:rPr>
        <w:t xml:space="preserve">                                   </w:t>
      </w:r>
      <w:r>
        <w:rPr>
          <w:rFonts w:hint="eastAsia" w:ascii="方正仿宋_GBK" w:hAnsi="宋体" w:eastAsia="方正仿宋_GBK"/>
          <w:color w:val="auto"/>
          <w:sz w:val="28"/>
          <w:szCs w:val="28"/>
          <w:highlight w:val="none"/>
        </w:rPr>
        <w:t xml:space="preserve">    202</w:t>
      </w:r>
      <w:r>
        <w:rPr>
          <w:rFonts w:hint="eastAsia" w:ascii="方正仿宋_GBK" w:hAnsi="宋体" w:eastAsia="方正仿宋_GBK"/>
          <w:color w:val="auto"/>
          <w:sz w:val="28"/>
          <w:szCs w:val="28"/>
          <w:highlight w:val="none"/>
          <w:lang w:val="en-US" w:eastAsia="zh-CN"/>
        </w:rPr>
        <w:t>5</w:t>
      </w:r>
      <w:r>
        <w:rPr>
          <w:rFonts w:hint="eastAsia" w:ascii="方正仿宋_GBK" w:hAnsi="宋体" w:eastAsia="方正仿宋_GBK"/>
          <w:color w:val="auto"/>
          <w:sz w:val="28"/>
          <w:szCs w:val="28"/>
          <w:highlight w:val="none"/>
        </w:rPr>
        <w:t>年  月  日</w:t>
      </w:r>
    </w:p>
    <w:p w14:paraId="7566F449">
      <w:pPr>
        <w:spacing w:line="480" w:lineRule="exact"/>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注：1、以上供货时间和税率必填，如有其他承诺自行填写</w:t>
      </w:r>
    </w:p>
    <w:p w14:paraId="77878073">
      <w:pPr>
        <w:tabs>
          <w:tab w:val="left" w:pos="0"/>
        </w:tabs>
        <w:adjustRightInd w:val="0"/>
        <w:jc w:val="center"/>
        <w:rPr>
          <w:rFonts w:ascii="方正仿宋_GBK" w:hAnsi="宋体" w:eastAsia="方正仿宋_GBK" w:cs="宋体"/>
          <w:b/>
          <w:color w:val="auto"/>
          <w:sz w:val="36"/>
          <w:highlight w:val="none"/>
        </w:rPr>
      </w:pPr>
      <w:r>
        <w:rPr>
          <w:rFonts w:ascii="方正仿宋_GBK" w:eastAsia="方正仿宋_GBK"/>
          <w:b/>
          <w:color w:val="auto"/>
          <w:sz w:val="36"/>
          <w:highlight w:val="none"/>
        </w:rPr>
        <w:br w:type="page"/>
      </w:r>
      <w:r>
        <w:rPr>
          <w:rFonts w:hint="eastAsia" w:ascii="方正仿宋_GBK" w:hAnsi="宋体" w:eastAsia="方正仿宋_GBK" w:cs="宋体"/>
          <w:b/>
          <w:color w:val="auto"/>
          <w:sz w:val="36"/>
          <w:highlight w:val="none"/>
        </w:rPr>
        <w:t>退还竞选保证金函</w:t>
      </w:r>
    </w:p>
    <w:p w14:paraId="5102BE1C">
      <w:pPr>
        <w:spacing w:line="500" w:lineRule="exact"/>
        <w:rPr>
          <w:rFonts w:ascii="方正仿宋_GBK" w:eastAsia="方正仿宋_GBK"/>
          <w:bCs/>
          <w:color w:val="auto"/>
          <w:sz w:val="28"/>
          <w:highlight w:val="none"/>
        </w:rPr>
      </w:pPr>
      <w:r>
        <w:rPr>
          <w:rFonts w:hint="eastAsia" w:ascii="方正仿宋_GBK" w:eastAsia="方正仿宋_GBK"/>
          <w:bCs/>
          <w:color w:val="auto"/>
          <w:sz w:val="28"/>
          <w:highlight w:val="none"/>
          <w:u w:val="single"/>
        </w:rPr>
        <w:t>重庆市玉罗实业有限公司（比选人名称）</w:t>
      </w:r>
      <w:r>
        <w:rPr>
          <w:rFonts w:hint="eastAsia" w:ascii="方正仿宋_GBK" w:eastAsia="方正仿宋_GBK"/>
          <w:bCs/>
          <w:color w:val="auto"/>
          <w:sz w:val="28"/>
          <w:highlight w:val="none"/>
        </w:rPr>
        <w:t>：</w:t>
      </w:r>
    </w:p>
    <w:p w14:paraId="486E5ADB">
      <w:pPr>
        <w:widowControl/>
        <w:spacing w:line="500" w:lineRule="exact"/>
        <w:ind w:firstLine="560" w:firstLineChars="200"/>
        <w:jc w:val="left"/>
        <w:rPr>
          <w:rFonts w:ascii="方正仿宋_GBK" w:hAnsi="宋体" w:eastAsia="方正仿宋_GBK" w:cs="宋体"/>
          <w:color w:val="auto"/>
          <w:kern w:val="0"/>
          <w:sz w:val="30"/>
          <w:szCs w:val="30"/>
          <w:highlight w:val="none"/>
        </w:rPr>
      </w:pPr>
      <w:r>
        <w:rPr>
          <w:rFonts w:hint="eastAsia" w:ascii="方正仿宋_GBK" w:eastAsia="方正仿宋_GBK"/>
          <w:bCs/>
          <w:color w:val="auto"/>
          <w:sz w:val="28"/>
          <w:highlight w:val="none"/>
        </w:rPr>
        <w:t>兹有我方参加贵公司于年月日（比选时间）组织的</w:t>
      </w:r>
      <w:r>
        <w:rPr>
          <w:rFonts w:hint="eastAsia" w:eastAsia="方正仿宋_GBK"/>
          <w:color w:val="auto"/>
          <w:sz w:val="28"/>
          <w:highlight w:val="none"/>
          <w:u w:val="single"/>
          <w:lang w:val="en-US" w:eastAsia="zh-CN"/>
        </w:rPr>
        <w:t>重庆市万州第二高级中学高峰校区学生宿舍建设项</w:t>
      </w:r>
      <w:r>
        <w:rPr>
          <w:rFonts w:hint="eastAsia" w:ascii="Times New Roman" w:hAnsi="Times New Roman" w:eastAsia="方正仿宋_GBK" w:cs="Times New Roman"/>
          <w:color w:val="auto"/>
          <w:sz w:val="28"/>
          <w:highlight w:val="none"/>
          <w:u w:val="single"/>
          <w:lang w:val="en-US" w:eastAsia="zh-CN"/>
        </w:rPr>
        <w:t>目采购防火门、成品木门扇、</w:t>
      </w:r>
      <w:r>
        <w:rPr>
          <w:rFonts w:hint="eastAsia" w:eastAsia="方正仿宋_GBK" w:cs="Times New Roman"/>
          <w:color w:val="auto"/>
          <w:sz w:val="28"/>
          <w:highlight w:val="none"/>
          <w:u w:val="single"/>
          <w:lang w:val="en-US" w:eastAsia="zh-CN"/>
        </w:rPr>
        <w:t>钢质门</w:t>
      </w:r>
      <w:r>
        <w:rPr>
          <w:rFonts w:hint="eastAsia" w:ascii="方正仿宋_GBK" w:eastAsia="方正仿宋_GBK"/>
          <w:bCs/>
          <w:color w:val="auto"/>
          <w:sz w:val="28"/>
          <w:highlight w:val="none"/>
        </w:rPr>
        <w:t>比选，我方以</w:t>
      </w:r>
      <w:r>
        <w:rPr>
          <w:rFonts w:hint="eastAsia" w:ascii="方正仿宋_GBK" w:eastAsia="方正仿宋_GBK"/>
          <w:bCs/>
          <w:color w:val="auto"/>
          <w:sz w:val="28"/>
          <w:highlight w:val="none"/>
          <w:lang w:val="en-US" w:eastAsia="zh-CN"/>
        </w:rPr>
        <w:t>银行转账</w:t>
      </w:r>
      <w:r>
        <w:rPr>
          <w:rFonts w:hint="eastAsia" w:ascii="方正仿宋_GBK" w:eastAsia="方正仿宋_GBK"/>
          <w:bCs/>
          <w:color w:val="auto"/>
          <w:sz w:val="28"/>
          <w:highlight w:val="none"/>
        </w:rPr>
        <w:t>的形式</w:t>
      </w:r>
      <w:r>
        <w:rPr>
          <w:rFonts w:hint="eastAsia" w:ascii="方正仿宋_GBK" w:eastAsia="方正仿宋_GBK"/>
          <w:bCs/>
          <w:color w:val="auto"/>
          <w:sz w:val="28"/>
          <w:highlight w:val="none"/>
          <w:lang w:eastAsia="zh-CN"/>
        </w:rPr>
        <w:t>交纳竞选保证金</w:t>
      </w:r>
      <w:r>
        <w:rPr>
          <w:rFonts w:hint="eastAsia" w:ascii="方正仿宋_GBK" w:eastAsia="方正仿宋_GBK"/>
          <w:bCs/>
          <w:color w:val="auto"/>
          <w:sz w:val="28"/>
          <w:highlight w:val="none"/>
        </w:rPr>
        <w:t>人民币（大写</w:t>
      </w:r>
      <w:r>
        <w:rPr>
          <w:rFonts w:hint="eastAsia" w:ascii="方正仿宋_GBK" w:eastAsia="方正仿宋_GBK"/>
          <w:bCs/>
          <w:color w:val="auto"/>
          <w:sz w:val="28"/>
          <w:highlight w:val="none"/>
          <w:u w:val="single"/>
        </w:rPr>
        <w:t xml:space="preserve"> </w:t>
      </w:r>
      <w:r>
        <w:rPr>
          <w:rFonts w:hint="eastAsia" w:ascii="方正仿宋_GBK" w:eastAsia="方正仿宋_GBK"/>
          <w:bCs/>
          <w:color w:val="auto"/>
          <w:sz w:val="28"/>
          <w:highlight w:val="none"/>
          <w:u w:val="single"/>
          <w:lang w:val="en-US" w:eastAsia="zh-CN"/>
        </w:rPr>
        <w:t xml:space="preserve"> 贰万元整</w:t>
      </w:r>
      <w:r>
        <w:rPr>
          <w:rFonts w:hint="eastAsia" w:ascii="方正仿宋_GBK" w:eastAsia="方正仿宋_GBK"/>
          <w:bCs/>
          <w:color w:val="auto"/>
          <w:sz w:val="28"/>
          <w:highlight w:val="none"/>
          <w:u w:val="single"/>
        </w:rPr>
        <w:t xml:space="preserve"> </w:t>
      </w:r>
      <w:r>
        <w:rPr>
          <w:rFonts w:hint="eastAsia" w:ascii="方正仿宋_GBK" w:eastAsia="方正仿宋_GBK"/>
          <w:bCs/>
          <w:color w:val="auto"/>
          <w:sz w:val="28"/>
          <w:highlight w:val="none"/>
        </w:rPr>
        <w:t>）</w:t>
      </w:r>
      <w:r>
        <w:rPr>
          <w:rFonts w:hint="eastAsia" w:ascii="方正仿宋_GBK" w:eastAsia="方正仿宋_GBK"/>
          <w:bCs/>
          <w:color w:val="auto"/>
          <w:sz w:val="28"/>
          <w:highlight w:val="none"/>
          <w:u w:val="single"/>
        </w:rPr>
        <w:t xml:space="preserve"> </w:t>
      </w:r>
      <w:r>
        <w:rPr>
          <w:rFonts w:hint="eastAsia" w:ascii="方正仿宋_GBK" w:eastAsia="方正仿宋_GBK"/>
          <w:bCs/>
          <w:color w:val="auto"/>
          <w:sz w:val="28"/>
          <w:highlight w:val="none"/>
          <w:u w:val="single"/>
          <w:lang w:val="en-US" w:eastAsia="zh-CN"/>
        </w:rPr>
        <w:t xml:space="preserve">20000.00 </w:t>
      </w:r>
      <w:r>
        <w:rPr>
          <w:rFonts w:hint="eastAsia" w:ascii="方正仿宋_GBK" w:eastAsia="方正仿宋_GBK"/>
          <w:bCs/>
          <w:color w:val="auto"/>
          <w:sz w:val="28"/>
          <w:highlight w:val="none"/>
          <w:u w:val="single"/>
        </w:rPr>
        <w:t>元</w:t>
      </w:r>
      <w:r>
        <w:rPr>
          <w:rFonts w:hint="eastAsia" w:ascii="方正仿宋_GBK" w:eastAsia="方正仿宋_GBK"/>
          <w:bCs/>
          <w:color w:val="auto"/>
          <w:sz w:val="28"/>
          <w:highlight w:val="none"/>
        </w:rPr>
        <w:t>到我方以下</w:t>
      </w:r>
      <w:r>
        <w:rPr>
          <w:rFonts w:hint="eastAsia" w:ascii="方正仿宋_GBK" w:eastAsia="方正仿宋_GBK"/>
          <w:bCs/>
          <w:color w:val="auto"/>
          <w:sz w:val="28"/>
          <w:highlight w:val="none"/>
          <w:lang w:eastAsia="zh-CN"/>
        </w:rPr>
        <w:t>账户中</w:t>
      </w:r>
      <w:r>
        <w:rPr>
          <w:rFonts w:hint="eastAsia" w:ascii="方正仿宋_GBK" w:eastAsia="方正仿宋_GBK"/>
          <w:bCs/>
          <w:color w:val="auto"/>
          <w:sz w:val="28"/>
          <w:highlight w:val="none"/>
        </w:rPr>
        <w:t>：</w:t>
      </w:r>
    </w:p>
    <w:p w14:paraId="04735D72">
      <w:pPr>
        <w:spacing w:line="500" w:lineRule="exact"/>
        <w:ind w:firstLine="560" w:firstLineChars="200"/>
        <w:rPr>
          <w:rFonts w:ascii="方正仿宋_GBK" w:eastAsia="方正仿宋_GBK"/>
          <w:bCs/>
          <w:color w:val="auto"/>
          <w:sz w:val="28"/>
          <w:highlight w:val="none"/>
          <w:u w:val="single"/>
        </w:rPr>
      </w:pPr>
      <w:r>
        <w:rPr>
          <w:rFonts w:hint="eastAsia" w:eastAsia="方正仿宋_GBK"/>
          <w:bCs/>
          <w:color w:val="auto"/>
          <w:sz w:val="28"/>
          <w:highlight w:val="none"/>
        </w:rPr>
        <w:t> </w:t>
      </w:r>
      <w:r>
        <w:rPr>
          <w:rFonts w:hint="eastAsia" w:ascii="方正仿宋_GBK" w:eastAsia="方正仿宋_GBK"/>
          <w:bCs/>
          <w:color w:val="auto"/>
          <w:sz w:val="28"/>
          <w:highlight w:val="none"/>
        </w:rPr>
        <w:t>开户名全称：</w:t>
      </w:r>
      <w:r>
        <w:rPr>
          <w:rFonts w:hint="eastAsia" w:ascii="方正仿宋_GBK" w:eastAsia="方正仿宋_GBK"/>
          <w:bCs/>
          <w:color w:val="auto"/>
          <w:sz w:val="28"/>
          <w:highlight w:val="none"/>
          <w:u w:val="single"/>
        </w:rPr>
        <w:t xml:space="preserve">                          </w:t>
      </w:r>
    </w:p>
    <w:p w14:paraId="70AED8D1">
      <w:pPr>
        <w:spacing w:line="500" w:lineRule="exact"/>
        <w:ind w:firstLine="560" w:firstLineChars="200"/>
        <w:rPr>
          <w:rFonts w:ascii="方正仿宋_GBK" w:eastAsia="方正仿宋_GBK"/>
          <w:bCs/>
          <w:color w:val="auto"/>
          <w:sz w:val="28"/>
          <w:highlight w:val="none"/>
          <w:u w:val="single"/>
        </w:rPr>
      </w:pPr>
      <w:r>
        <w:rPr>
          <w:rFonts w:hint="eastAsia" w:ascii="方正仿宋_GBK" w:eastAsia="方正仿宋_GBK"/>
          <w:bCs/>
          <w:color w:val="auto"/>
          <w:sz w:val="28"/>
          <w:highlight w:val="none"/>
        </w:rPr>
        <w:t>开</w:t>
      </w:r>
      <w:r>
        <w:rPr>
          <w:rFonts w:hint="eastAsia" w:eastAsia="方正仿宋_GBK"/>
          <w:bCs/>
          <w:color w:val="auto"/>
          <w:sz w:val="28"/>
          <w:highlight w:val="none"/>
        </w:rPr>
        <w:t>  </w:t>
      </w:r>
      <w:r>
        <w:rPr>
          <w:rFonts w:hint="eastAsia" w:ascii="方正仿宋_GBK" w:eastAsia="方正仿宋_GBK"/>
          <w:bCs/>
          <w:color w:val="auto"/>
          <w:sz w:val="28"/>
          <w:highlight w:val="none"/>
        </w:rPr>
        <w:t xml:space="preserve"> 户</w:t>
      </w:r>
      <w:r>
        <w:rPr>
          <w:rFonts w:hint="eastAsia" w:eastAsia="方正仿宋_GBK"/>
          <w:bCs/>
          <w:color w:val="auto"/>
          <w:sz w:val="28"/>
          <w:highlight w:val="none"/>
        </w:rPr>
        <w:t>  </w:t>
      </w:r>
      <w:r>
        <w:rPr>
          <w:rFonts w:hint="eastAsia" w:ascii="方正仿宋_GBK" w:eastAsia="方正仿宋_GBK"/>
          <w:bCs/>
          <w:color w:val="auto"/>
          <w:sz w:val="28"/>
          <w:highlight w:val="none"/>
        </w:rPr>
        <w:t>行：</w:t>
      </w:r>
      <w:r>
        <w:rPr>
          <w:rFonts w:hint="eastAsia" w:ascii="方正仿宋_GBK" w:eastAsia="方正仿宋_GBK"/>
          <w:bCs/>
          <w:color w:val="auto"/>
          <w:sz w:val="28"/>
          <w:highlight w:val="none"/>
          <w:u w:val="single"/>
        </w:rPr>
        <w:t xml:space="preserve">                            </w:t>
      </w:r>
    </w:p>
    <w:p w14:paraId="480BCA6C">
      <w:pPr>
        <w:spacing w:line="500" w:lineRule="exact"/>
        <w:ind w:firstLine="560" w:firstLineChars="200"/>
        <w:rPr>
          <w:rFonts w:ascii="方正仿宋_GBK" w:eastAsia="方正仿宋_GBK"/>
          <w:bCs/>
          <w:color w:val="auto"/>
          <w:sz w:val="28"/>
          <w:highlight w:val="none"/>
          <w:u w:val="single"/>
        </w:rPr>
      </w:pPr>
      <w:r>
        <w:rPr>
          <w:rFonts w:hint="eastAsia" w:ascii="方正仿宋_GBK" w:eastAsia="方正仿宋_GBK"/>
          <w:bCs/>
          <w:color w:val="auto"/>
          <w:sz w:val="28"/>
          <w:highlight w:val="none"/>
          <w:lang w:eastAsia="zh-CN"/>
        </w:rPr>
        <w:t>账</w:t>
      </w:r>
      <w:r>
        <w:rPr>
          <w:rFonts w:hint="eastAsia" w:eastAsia="方正仿宋_GBK"/>
          <w:bCs/>
          <w:color w:val="auto"/>
          <w:sz w:val="28"/>
          <w:highlight w:val="none"/>
        </w:rPr>
        <w:t>       </w:t>
      </w:r>
      <w:r>
        <w:rPr>
          <w:rFonts w:hint="eastAsia" w:ascii="方正仿宋_GBK" w:eastAsia="方正仿宋_GBK"/>
          <w:bCs/>
          <w:color w:val="auto"/>
          <w:sz w:val="28"/>
          <w:highlight w:val="none"/>
        </w:rPr>
        <w:t xml:space="preserve"> 号：</w:t>
      </w:r>
      <w:r>
        <w:rPr>
          <w:rFonts w:hint="eastAsia" w:ascii="方正仿宋_GBK" w:eastAsia="方正仿宋_GBK"/>
          <w:bCs/>
          <w:color w:val="auto"/>
          <w:sz w:val="28"/>
          <w:highlight w:val="none"/>
          <w:u w:val="single"/>
        </w:rPr>
        <w:t xml:space="preserve">                               </w:t>
      </w:r>
    </w:p>
    <w:p w14:paraId="6A6B1044">
      <w:pPr>
        <w:spacing w:line="500" w:lineRule="exact"/>
        <w:ind w:firstLine="560" w:firstLineChars="200"/>
        <w:rPr>
          <w:rFonts w:ascii="方正仿宋_GBK" w:eastAsia="方正仿宋_GBK"/>
          <w:bCs/>
          <w:color w:val="auto"/>
          <w:sz w:val="28"/>
          <w:highlight w:val="none"/>
          <w:u w:val="single"/>
        </w:rPr>
      </w:pPr>
      <w:r>
        <w:rPr>
          <w:rFonts w:hint="eastAsia" w:ascii="方正仿宋_GBK" w:eastAsia="方正仿宋_GBK"/>
          <w:bCs/>
          <w:color w:val="auto"/>
          <w:sz w:val="28"/>
          <w:highlight w:val="none"/>
        </w:rPr>
        <w:t>开户行所属省份及市（县）：</w:t>
      </w:r>
      <w:r>
        <w:rPr>
          <w:rFonts w:hint="eastAsia" w:ascii="方正仿宋_GBK" w:eastAsia="方正仿宋_GBK"/>
          <w:bCs/>
          <w:color w:val="auto"/>
          <w:sz w:val="28"/>
          <w:highlight w:val="none"/>
          <w:u w:val="single"/>
        </w:rPr>
        <w:t xml:space="preserve">                     </w:t>
      </w:r>
    </w:p>
    <w:p w14:paraId="146C76E0">
      <w:pPr>
        <w:spacing w:line="500" w:lineRule="exact"/>
        <w:ind w:firstLine="560" w:firstLineChars="200"/>
        <w:rPr>
          <w:rFonts w:ascii="方正仿宋_GBK" w:eastAsia="方正仿宋_GBK"/>
          <w:bCs/>
          <w:color w:val="auto"/>
          <w:sz w:val="28"/>
          <w:highlight w:val="none"/>
          <w:u w:val="single"/>
        </w:rPr>
      </w:pPr>
      <w:r>
        <w:rPr>
          <w:rFonts w:hint="eastAsia" w:ascii="方正仿宋_GBK" w:eastAsia="方正仿宋_GBK"/>
          <w:bCs/>
          <w:color w:val="auto"/>
          <w:sz w:val="28"/>
          <w:highlight w:val="none"/>
        </w:rPr>
        <w:t>联系人：</w:t>
      </w:r>
      <w:r>
        <w:rPr>
          <w:rFonts w:hint="eastAsia" w:ascii="方正仿宋_GBK" w:eastAsia="方正仿宋_GBK"/>
          <w:bCs/>
          <w:color w:val="auto"/>
          <w:sz w:val="28"/>
          <w:highlight w:val="none"/>
          <w:u w:val="single"/>
        </w:rPr>
        <w:t xml:space="preserve">                </w:t>
      </w:r>
      <w:r>
        <w:rPr>
          <w:rFonts w:hint="eastAsia" w:ascii="方正仿宋_GBK" w:eastAsia="方正仿宋_GBK"/>
          <w:bCs/>
          <w:color w:val="auto"/>
          <w:sz w:val="28"/>
          <w:highlight w:val="none"/>
        </w:rPr>
        <w:t>，联系电话：</w:t>
      </w:r>
      <w:r>
        <w:rPr>
          <w:rFonts w:hint="eastAsia" w:ascii="方正仿宋_GBK" w:eastAsia="方正仿宋_GBK"/>
          <w:bCs/>
          <w:color w:val="auto"/>
          <w:sz w:val="28"/>
          <w:highlight w:val="none"/>
          <w:u w:val="single"/>
        </w:rPr>
        <w:t xml:space="preserve">                 </w:t>
      </w:r>
    </w:p>
    <w:p w14:paraId="31D726C8">
      <w:pPr>
        <w:spacing w:line="500" w:lineRule="exact"/>
        <w:ind w:firstLine="560" w:firstLineChars="200"/>
        <w:rPr>
          <w:rFonts w:ascii="方正仿宋_GBK" w:eastAsia="方正仿宋_GBK"/>
          <w:bCs/>
          <w:color w:val="auto"/>
          <w:sz w:val="28"/>
          <w:highlight w:val="none"/>
        </w:rPr>
      </w:pPr>
      <w:r>
        <w:rPr>
          <w:rFonts w:hint="eastAsia" w:ascii="方正仿宋_GBK" w:eastAsia="方正仿宋_GBK"/>
          <w:bCs/>
          <w:color w:val="auto"/>
          <w:sz w:val="28"/>
          <w:highlight w:val="none"/>
        </w:rPr>
        <w:t>（以上内容应详细填写，不可简化，公章不要覆盖在开户行、账号上）</w:t>
      </w:r>
    </w:p>
    <w:p w14:paraId="3071A3C0">
      <w:pPr>
        <w:spacing w:line="500" w:lineRule="exact"/>
        <w:ind w:firstLine="560" w:firstLineChars="200"/>
        <w:rPr>
          <w:rFonts w:ascii="方正仿宋_GBK" w:eastAsia="方正仿宋_GBK"/>
          <w:bCs/>
          <w:color w:val="auto"/>
          <w:sz w:val="28"/>
          <w:highlight w:val="none"/>
        </w:rPr>
      </w:pPr>
      <w:r>
        <w:rPr>
          <w:rFonts w:hint="eastAsia" w:eastAsia="方正仿宋_GBK"/>
          <w:bCs/>
          <w:color w:val="auto"/>
          <w:sz w:val="28"/>
          <w:highlight w:val="none"/>
        </w:rPr>
        <w:t>                                     </w:t>
      </w:r>
    </w:p>
    <w:p w14:paraId="2725D8F3">
      <w:pPr>
        <w:spacing w:line="500" w:lineRule="exact"/>
        <w:ind w:firstLine="560" w:firstLineChars="200"/>
        <w:jc w:val="left"/>
        <w:rPr>
          <w:rFonts w:ascii="方正仿宋_GBK" w:eastAsia="方正仿宋_GBK"/>
          <w:bCs/>
          <w:color w:val="auto"/>
          <w:sz w:val="28"/>
          <w:highlight w:val="none"/>
          <w:u w:val="single"/>
        </w:rPr>
      </w:pPr>
      <w:r>
        <w:rPr>
          <w:rFonts w:hint="eastAsia" w:ascii="方正仿宋_GBK" w:eastAsia="方正仿宋_GBK"/>
          <w:bCs/>
          <w:color w:val="auto"/>
          <w:sz w:val="28"/>
          <w:highlight w:val="none"/>
        </w:rPr>
        <w:t>　　　　　　　　</w:t>
      </w:r>
      <w:r>
        <w:rPr>
          <w:rFonts w:hint="eastAsia" w:eastAsia="方正仿宋_GBK"/>
          <w:bCs/>
          <w:color w:val="auto"/>
          <w:sz w:val="28"/>
          <w:highlight w:val="none"/>
        </w:rPr>
        <w:t>     </w:t>
      </w:r>
      <w:r>
        <w:rPr>
          <w:rFonts w:hint="eastAsia" w:ascii="方正仿宋_GBK" w:eastAsia="方正仿宋_GBK"/>
          <w:bCs/>
          <w:color w:val="auto"/>
          <w:sz w:val="28"/>
          <w:highlight w:val="none"/>
        </w:rPr>
        <w:t>竞选人名称：</w:t>
      </w:r>
      <w:r>
        <w:rPr>
          <w:rFonts w:hint="eastAsia" w:eastAsia="方正仿宋_GBK"/>
          <w:bCs/>
          <w:color w:val="auto"/>
          <w:sz w:val="28"/>
          <w:highlight w:val="none"/>
          <w:u w:val="single"/>
        </w:rPr>
        <w:t>                        </w:t>
      </w:r>
    </w:p>
    <w:p w14:paraId="412A6025">
      <w:pPr>
        <w:spacing w:line="500" w:lineRule="exact"/>
        <w:ind w:right="560" w:firstLine="2940" w:firstLineChars="1050"/>
        <w:rPr>
          <w:rFonts w:ascii="方正仿宋_GBK" w:eastAsia="方正仿宋_GBK"/>
          <w:bCs/>
          <w:color w:val="auto"/>
          <w:sz w:val="28"/>
          <w:highlight w:val="none"/>
        </w:rPr>
      </w:pPr>
      <w:r>
        <w:rPr>
          <w:rFonts w:hint="eastAsia" w:ascii="方正仿宋_GBK" w:eastAsia="方正仿宋_GBK"/>
          <w:bCs/>
          <w:color w:val="auto"/>
          <w:sz w:val="28"/>
          <w:highlight w:val="none"/>
        </w:rPr>
        <w:t>（盖公章）</w:t>
      </w:r>
    </w:p>
    <w:p w14:paraId="657AE236">
      <w:pPr>
        <w:spacing w:line="500" w:lineRule="exact"/>
        <w:ind w:firstLine="560" w:firstLineChars="200"/>
        <w:jc w:val="right"/>
        <w:rPr>
          <w:rFonts w:ascii="方正仿宋_GBK" w:eastAsia="方正仿宋_GBK"/>
          <w:bCs/>
          <w:color w:val="auto"/>
          <w:sz w:val="28"/>
          <w:highlight w:val="none"/>
        </w:rPr>
      </w:pPr>
    </w:p>
    <w:p w14:paraId="186DB084">
      <w:pPr>
        <w:spacing w:line="500" w:lineRule="exact"/>
        <w:ind w:firstLine="560" w:firstLineChars="200"/>
        <w:rPr>
          <w:rFonts w:ascii="方正仿宋_GBK" w:eastAsia="方正仿宋_GBK"/>
          <w:bCs/>
          <w:color w:val="auto"/>
          <w:sz w:val="28"/>
          <w:highlight w:val="none"/>
        </w:rPr>
      </w:pPr>
      <w:r>
        <w:rPr>
          <w:rFonts w:hint="eastAsia" w:ascii="方正仿宋_GBK" w:eastAsia="方正仿宋_GBK"/>
          <w:bCs/>
          <w:color w:val="auto"/>
          <w:sz w:val="28"/>
          <w:highlight w:val="none"/>
        </w:rPr>
        <w:t xml:space="preserve">            竞选人法定代表人或授权委托人签字：</w:t>
      </w:r>
    </w:p>
    <w:p w14:paraId="30165EB1">
      <w:pPr>
        <w:spacing w:line="500" w:lineRule="exact"/>
        <w:ind w:firstLine="560" w:firstLineChars="200"/>
        <w:rPr>
          <w:rFonts w:ascii="方正仿宋_GBK" w:eastAsia="方正仿宋_GBK"/>
          <w:bCs/>
          <w:color w:val="auto"/>
          <w:sz w:val="28"/>
          <w:highlight w:val="none"/>
        </w:rPr>
      </w:pPr>
    </w:p>
    <w:p w14:paraId="2B4501B2">
      <w:pPr>
        <w:ind w:firstLine="560" w:firstLineChars="200"/>
        <w:rPr>
          <w:rFonts w:ascii="方正仿宋_GBK" w:eastAsia="方正仿宋_GBK"/>
          <w:bCs/>
          <w:color w:val="auto"/>
          <w:sz w:val="28"/>
          <w:highlight w:val="none"/>
        </w:rPr>
      </w:pPr>
      <w:r>
        <w:rPr>
          <w:rFonts w:hint="eastAsia" w:eastAsia="方正仿宋_GBK"/>
          <w:bCs/>
          <w:color w:val="auto"/>
          <w:sz w:val="28"/>
          <w:highlight w:val="none"/>
        </w:rPr>
        <w:t>                           </w:t>
      </w:r>
      <w:r>
        <w:rPr>
          <w:rFonts w:hint="eastAsia" w:ascii="方正仿宋_GBK" w:eastAsia="方正仿宋_GBK"/>
          <w:bCs/>
          <w:color w:val="auto"/>
          <w:sz w:val="28"/>
          <w:highlight w:val="none"/>
        </w:rPr>
        <w:t xml:space="preserve">          </w:t>
      </w:r>
      <w:r>
        <w:rPr>
          <w:rFonts w:hint="eastAsia" w:ascii="方正仿宋_GBK" w:eastAsia="方正仿宋_GBK"/>
          <w:bCs/>
          <w:color w:val="auto"/>
          <w:sz w:val="28"/>
          <w:highlight w:val="none"/>
          <w:lang w:val="en-US" w:eastAsia="zh-CN"/>
        </w:rPr>
        <w:t>2025</w:t>
      </w:r>
      <w:r>
        <w:rPr>
          <w:rFonts w:hint="eastAsia" w:ascii="方正仿宋_GBK" w:eastAsia="方正仿宋_GBK"/>
          <w:bCs/>
          <w:color w:val="auto"/>
          <w:sz w:val="28"/>
          <w:highlight w:val="none"/>
        </w:rPr>
        <w:t xml:space="preserve"> 年</w:t>
      </w:r>
      <w:r>
        <w:rPr>
          <w:rFonts w:hint="eastAsia" w:eastAsia="方正仿宋_GBK"/>
          <w:bCs/>
          <w:color w:val="auto"/>
          <w:sz w:val="28"/>
          <w:highlight w:val="none"/>
        </w:rPr>
        <w:t>   </w:t>
      </w:r>
      <w:r>
        <w:rPr>
          <w:rFonts w:hint="eastAsia" w:eastAsia="方正仿宋_GBK"/>
          <w:bCs/>
          <w:color w:val="auto"/>
          <w:sz w:val="28"/>
          <w:highlight w:val="none"/>
          <w:lang w:val="en-US" w:eastAsia="zh-CN"/>
        </w:rPr>
        <w:t xml:space="preserve">  </w:t>
      </w:r>
      <w:r>
        <w:rPr>
          <w:rFonts w:hint="eastAsia" w:ascii="方正仿宋_GBK" w:eastAsia="方正仿宋_GBK"/>
          <w:bCs/>
          <w:color w:val="auto"/>
          <w:sz w:val="28"/>
          <w:highlight w:val="none"/>
        </w:rPr>
        <w:t>月</w:t>
      </w:r>
      <w:r>
        <w:rPr>
          <w:rFonts w:hint="eastAsia" w:eastAsia="方正仿宋_GBK"/>
          <w:bCs/>
          <w:color w:val="auto"/>
          <w:sz w:val="28"/>
          <w:highlight w:val="none"/>
        </w:rPr>
        <w:t>  </w:t>
      </w:r>
      <w:r>
        <w:rPr>
          <w:rFonts w:hint="eastAsia" w:eastAsia="方正仿宋_GBK"/>
          <w:bCs/>
          <w:color w:val="auto"/>
          <w:sz w:val="28"/>
          <w:highlight w:val="none"/>
          <w:lang w:val="en-US" w:eastAsia="zh-CN"/>
        </w:rPr>
        <w:t xml:space="preserve">  </w:t>
      </w:r>
      <w:r>
        <w:rPr>
          <w:rFonts w:hint="eastAsia" w:eastAsia="方正仿宋_GBK"/>
          <w:bCs/>
          <w:color w:val="auto"/>
          <w:sz w:val="28"/>
          <w:highlight w:val="none"/>
        </w:rPr>
        <w:t>  </w:t>
      </w:r>
      <w:r>
        <w:rPr>
          <w:rFonts w:hint="eastAsia" w:ascii="方正仿宋_GBK" w:eastAsia="方正仿宋_GBK"/>
          <w:bCs/>
          <w:color w:val="auto"/>
          <w:sz w:val="28"/>
          <w:highlight w:val="none"/>
        </w:rPr>
        <w:t>日</w:t>
      </w:r>
    </w:p>
    <w:p w14:paraId="21D6053F">
      <w:pPr>
        <w:widowControl/>
        <w:jc w:val="left"/>
        <w:rPr>
          <w:rFonts w:hint="eastAsia" w:ascii="方正仿宋_GBK" w:hAnsi="宋体" w:eastAsia="方正仿宋_GBK"/>
          <w:b/>
          <w:color w:val="auto"/>
          <w:sz w:val="36"/>
          <w:szCs w:val="32"/>
          <w:highlight w:val="none"/>
        </w:rPr>
      </w:pPr>
      <w:bookmarkStart w:id="54" w:name="_Toc130893343"/>
      <w:bookmarkStart w:id="55" w:name="_Toc130893048"/>
      <w:r>
        <w:rPr>
          <w:rFonts w:hint="eastAsia" w:ascii="方正仿宋_GBK" w:hAnsi="宋体" w:eastAsia="方正仿宋_GBK"/>
          <w:b/>
          <w:color w:val="auto"/>
          <w:sz w:val="36"/>
          <w:szCs w:val="32"/>
          <w:highlight w:val="none"/>
        </w:rPr>
        <w:t>注：竞选保证金仅退回竞选人公司账户</w:t>
      </w:r>
    </w:p>
    <w:p w14:paraId="5134A67B">
      <w:pPr>
        <w:widowControl/>
        <w:jc w:val="left"/>
        <w:rPr>
          <w:rFonts w:hint="eastAsia" w:ascii="方正仿宋_GBK" w:hAnsi="宋体" w:eastAsia="方正仿宋_GBK"/>
          <w:b/>
          <w:color w:val="auto"/>
          <w:sz w:val="36"/>
          <w:szCs w:val="32"/>
          <w:highlight w:val="none"/>
        </w:rPr>
      </w:pPr>
    </w:p>
    <w:p w14:paraId="1E05473B">
      <w:pPr>
        <w:rPr>
          <w:rFonts w:hint="eastAsia" w:ascii="方正仿宋_GBK" w:eastAsia="方正仿宋_GBK"/>
          <w:b/>
          <w:color w:val="auto"/>
          <w:sz w:val="36"/>
          <w:highlight w:val="none"/>
        </w:rPr>
      </w:pPr>
      <w:r>
        <w:rPr>
          <w:rFonts w:hint="eastAsia" w:ascii="方正仿宋_GBK" w:eastAsia="方正仿宋_GBK"/>
          <w:b/>
          <w:color w:val="auto"/>
          <w:sz w:val="36"/>
          <w:highlight w:val="none"/>
        </w:rPr>
        <w:br w:type="page"/>
      </w:r>
    </w:p>
    <w:p w14:paraId="4DCF38D2">
      <w:pPr>
        <w:tabs>
          <w:tab w:val="left" w:pos="0"/>
        </w:tabs>
        <w:adjustRightInd w:val="0"/>
        <w:snapToGrid w:val="0"/>
        <w:spacing w:line="500" w:lineRule="exact"/>
        <w:jc w:val="center"/>
        <w:outlineLvl w:val="0"/>
        <w:rPr>
          <w:rFonts w:ascii="方正仿宋_GBK" w:eastAsia="方正仿宋_GBK"/>
          <w:b/>
          <w:color w:val="auto"/>
          <w:sz w:val="36"/>
          <w:highlight w:val="none"/>
        </w:rPr>
      </w:pPr>
      <w:r>
        <w:rPr>
          <w:rFonts w:hint="eastAsia" w:ascii="方正仿宋_GBK" w:eastAsia="方正仿宋_GBK"/>
          <w:b/>
          <w:color w:val="auto"/>
          <w:sz w:val="36"/>
          <w:highlight w:val="none"/>
        </w:rPr>
        <w:t>报价函</w:t>
      </w:r>
      <w:bookmarkEnd w:id="54"/>
      <w:bookmarkEnd w:id="55"/>
    </w:p>
    <w:p w14:paraId="36EA1C3A">
      <w:pPr>
        <w:tabs>
          <w:tab w:val="left" w:pos="0"/>
        </w:tabs>
        <w:adjustRightInd w:val="0"/>
        <w:snapToGrid w:val="0"/>
        <w:spacing w:line="500" w:lineRule="exact"/>
        <w:rPr>
          <w:rFonts w:ascii="方正仿宋_GBK" w:hAnsi="宋体" w:eastAsia="方正仿宋_GBK"/>
          <w:color w:val="auto"/>
          <w:sz w:val="28"/>
          <w:szCs w:val="24"/>
          <w:highlight w:val="none"/>
          <w:u w:val="single"/>
        </w:rPr>
      </w:pPr>
      <w:r>
        <w:rPr>
          <w:rFonts w:hint="eastAsia" w:ascii="方正仿宋_GBK" w:hAnsi="宋体" w:eastAsia="方正仿宋_GBK"/>
          <w:color w:val="auto"/>
          <w:sz w:val="28"/>
          <w:szCs w:val="24"/>
          <w:highlight w:val="none"/>
          <w:u w:val="single"/>
        </w:rPr>
        <w:t>重庆市玉罗实业有限公司</w:t>
      </w:r>
      <w:r>
        <w:rPr>
          <w:rFonts w:hint="eastAsia" w:ascii="方正仿宋_GBK" w:hAnsi="宋体" w:eastAsia="方正仿宋_GBK"/>
          <w:color w:val="auto"/>
          <w:sz w:val="28"/>
          <w:szCs w:val="24"/>
          <w:highlight w:val="none"/>
        </w:rPr>
        <w:t>（采购人）：</w:t>
      </w:r>
    </w:p>
    <w:p w14:paraId="5BE0A89B">
      <w:pPr>
        <w:tabs>
          <w:tab w:val="left" w:pos="0"/>
        </w:tabs>
        <w:adjustRightInd w:val="0"/>
        <w:spacing w:line="500" w:lineRule="exact"/>
        <w:ind w:firstLine="560" w:firstLineChars="200"/>
        <w:rPr>
          <w:rFonts w:ascii="方正仿宋_GBK" w:hAnsi="宋体" w:eastAsia="方正仿宋_GBK"/>
          <w:bCs/>
          <w:color w:val="auto"/>
          <w:sz w:val="28"/>
          <w:szCs w:val="24"/>
          <w:highlight w:val="none"/>
        </w:rPr>
      </w:pPr>
      <w:r>
        <w:rPr>
          <w:rFonts w:hint="eastAsia" w:ascii="方正仿宋_GBK" w:hAnsi="宋体" w:eastAsia="方正仿宋_GBK"/>
          <w:bCs/>
          <w:color w:val="auto"/>
          <w:sz w:val="28"/>
          <w:szCs w:val="24"/>
          <w:highlight w:val="none"/>
        </w:rPr>
        <w:t>我方收到贵方批量采购</w:t>
      </w:r>
      <w:r>
        <w:rPr>
          <w:rFonts w:hint="eastAsia" w:ascii="Times New Roman" w:hAnsi="Times New Roman" w:eastAsia="方正仿宋_GBK" w:cs="Times New Roman"/>
          <w:color w:val="auto"/>
          <w:sz w:val="28"/>
          <w:highlight w:val="none"/>
          <w:u w:val="none"/>
          <w:lang w:val="en-US" w:eastAsia="zh-CN"/>
        </w:rPr>
        <w:t>防火门、成品木门扇、</w:t>
      </w:r>
      <w:r>
        <w:rPr>
          <w:rFonts w:hint="eastAsia" w:eastAsia="方正仿宋_GBK" w:cs="Times New Roman"/>
          <w:color w:val="auto"/>
          <w:sz w:val="28"/>
          <w:highlight w:val="none"/>
          <w:u w:val="none"/>
          <w:lang w:val="en-US" w:eastAsia="zh-CN"/>
        </w:rPr>
        <w:t>钢质门</w:t>
      </w:r>
      <w:r>
        <w:rPr>
          <w:rFonts w:hint="eastAsia" w:ascii="方正仿宋_GBK" w:hAnsi="宋体" w:eastAsia="方正仿宋_GBK"/>
          <w:bCs/>
          <w:color w:val="auto"/>
          <w:sz w:val="28"/>
          <w:szCs w:val="24"/>
          <w:highlight w:val="none"/>
          <w:u w:val="none"/>
        </w:rPr>
        <w:t>比选文件后，全面研究了该比选文件，决定自愿参加</w:t>
      </w:r>
      <w:r>
        <w:rPr>
          <w:rFonts w:hint="eastAsia" w:eastAsia="方正仿宋_GBK"/>
          <w:color w:val="auto"/>
          <w:sz w:val="28"/>
          <w:highlight w:val="none"/>
          <w:u w:val="none"/>
          <w:lang w:val="en-US" w:eastAsia="zh-CN"/>
        </w:rPr>
        <w:t>重庆市万州第二高级中学高峰校区学生宿舍建设项</w:t>
      </w:r>
      <w:r>
        <w:rPr>
          <w:rFonts w:hint="eastAsia" w:ascii="Times New Roman" w:hAnsi="Times New Roman" w:eastAsia="方正仿宋_GBK" w:cs="Times New Roman"/>
          <w:color w:val="auto"/>
          <w:sz w:val="28"/>
          <w:highlight w:val="none"/>
          <w:u w:val="none"/>
          <w:lang w:val="en-US" w:eastAsia="zh-CN"/>
        </w:rPr>
        <w:t>目</w:t>
      </w:r>
      <w:r>
        <w:rPr>
          <w:rFonts w:hint="eastAsia" w:ascii="方正仿宋_GBK" w:hAnsi="宋体" w:eastAsia="方正仿宋_GBK"/>
          <w:color w:val="auto"/>
          <w:sz w:val="28"/>
          <w:szCs w:val="28"/>
          <w:highlight w:val="none"/>
          <w:u w:val="none"/>
        </w:rPr>
        <w:t>采购</w:t>
      </w:r>
      <w:r>
        <w:rPr>
          <w:rFonts w:hint="eastAsia" w:ascii="Times New Roman" w:hAnsi="Times New Roman" w:eastAsia="方正仿宋_GBK" w:cs="Times New Roman"/>
          <w:color w:val="auto"/>
          <w:sz w:val="28"/>
          <w:highlight w:val="none"/>
          <w:u w:val="none"/>
          <w:lang w:val="en-US" w:eastAsia="zh-CN"/>
        </w:rPr>
        <w:t>防火门、成品木门扇、</w:t>
      </w:r>
      <w:r>
        <w:rPr>
          <w:rFonts w:hint="eastAsia" w:eastAsia="方正仿宋_GBK" w:cs="Times New Roman"/>
          <w:color w:val="auto"/>
          <w:sz w:val="28"/>
          <w:highlight w:val="none"/>
          <w:u w:val="none"/>
          <w:lang w:val="en-US" w:eastAsia="zh-CN"/>
        </w:rPr>
        <w:t>钢质门</w:t>
      </w:r>
      <w:r>
        <w:rPr>
          <w:rFonts w:hint="eastAsia" w:ascii="方正仿宋_GBK" w:hAnsi="宋体" w:eastAsia="方正仿宋_GBK"/>
          <w:bCs/>
          <w:color w:val="auto"/>
          <w:sz w:val="28"/>
          <w:szCs w:val="24"/>
          <w:highlight w:val="none"/>
        </w:rPr>
        <w:t>比选，愿意本着互惠互利的原则与贵方友好合作。我方具备贵方所需</w:t>
      </w:r>
      <w:r>
        <w:rPr>
          <w:rFonts w:hint="eastAsia" w:ascii="Times New Roman" w:hAnsi="Times New Roman" w:eastAsia="方正仿宋_GBK" w:cs="Times New Roman"/>
          <w:color w:val="auto"/>
          <w:sz w:val="28"/>
          <w:highlight w:val="none"/>
          <w:u w:val="none"/>
          <w:lang w:val="en-US" w:eastAsia="zh-CN"/>
        </w:rPr>
        <w:t>防火门、成品木门扇、</w:t>
      </w:r>
      <w:r>
        <w:rPr>
          <w:rFonts w:hint="eastAsia" w:eastAsia="方正仿宋_GBK" w:cs="Times New Roman"/>
          <w:color w:val="auto"/>
          <w:sz w:val="28"/>
          <w:highlight w:val="none"/>
          <w:u w:val="none"/>
          <w:lang w:val="en-US" w:eastAsia="zh-CN"/>
        </w:rPr>
        <w:t>钢质门</w:t>
      </w:r>
      <w:r>
        <w:rPr>
          <w:rFonts w:hint="eastAsia" w:ascii="方正仿宋_GBK" w:hAnsi="宋体" w:eastAsia="方正仿宋_GBK"/>
          <w:bCs/>
          <w:color w:val="auto"/>
          <w:sz w:val="28"/>
          <w:szCs w:val="24"/>
          <w:highlight w:val="none"/>
        </w:rPr>
        <w:t>充分的供应保障能力，承诺保证</w:t>
      </w:r>
      <w:r>
        <w:rPr>
          <w:rFonts w:hint="eastAsia" w:ascii="Times New Roman" w:hAnsi="Times New Roman" w:eastAsia="方正仿宋_GBK" w:cs="Times New Roman"/>
          <w:color w:val="auto"/>
          <w:sz w:val="28"/>
          <w:highlight w:val="none"/>
          <w:u w:val="none"/>
          <w:lang w:val="en-US" w:eastAsia="zh-CN"/>
        </w:rPr>
        <w:t>防火门、成品木门扇、</w:t>
      </w:r>
      <w:r>
        <w:rPr>
          <w:rFonts w:hint="eastAsia" w:eastAsia="方正仿宋_GBK" w:cs="Times New Roman"/>
          <w:color w:val="auto"/>
          <w:sz w:val="28"/>
          <w:highlight w:val="none"/>
          <w:u w:val="none"/>
          <w:lang w:val="en-US" w:eastAsia="zh-CN"/>
        </w:rPr>
        <w:t>钢质门</w:t>
      </w:r>
      <w:r>
        <w:rPr>
          <w:rFonts w:hint="eastAsia" w:ascii="方正仿宋_GBK" w:hAnsi="宋体" w:eastAsia="方正仿宋_GBK"/>
          <w:bCs/>
          <w:color w:val="auto"/>
          <w:sz w:val="28"/>
          <w:szCs w:val="24"/>
          <w:highlight w:val="none"/>
        </w:rPr>
        <w:t>供应的及时性和不间断性，保证满足贵方生产所需。同意采取批量</w:t>
      </w:r>
      <w:r>
        <w:rPr>
          <w:rFonts w:hint="eastAsia" w:ascii="方正仿宋_GBK" w:hAnsi="宋体" w:eastAsia="方正仿宋_GBK"/>
          <w:bCs/>
          <w:color w:val="auto"/>
          <w:sz w:val="28"/>
          <w:szCs w:val="24"/>
          <w:highlight w:val="none"/>
          <w:lang w:eastAsia="zh-CN"/>
        </w:rPr>
        <w:t>订货</w:t>
      </w:r>
      <w:r>
        <w:rPr>
          <w:rFonts w:hint="eastAsia" w:ascii="方正仿宋_GBK" w:hAnsi="宋体" w:eastAsia="方正仿宋_GBK"/>
          <w:bCs/>
          <w:color w:val="auto"/>
          <w:sz w:val="28"/>
          <w:szCs w:val="24"/>
          <w:highlight w:val="none"/>
        </w:rPr>
        <w:t>安装，按合同约定的条款执行。现报价如下：</w:t>
      </w:r>
    </w:p>
    <w:tbl>
      <w:tblPr>
        <w:tblStyle w:val="12"/>
        <w:tblW w:w="9640" w:type="dxa"/>
        <w:tblInd w:w="-34" w:type="dxa"/>
        <w:tblLayout w:type="fixed"/>
        <w:tblCellMar>
          <w:top w:w="0" w:type="dxa"/>
          <w:left w:w="108" w:type="dxa"/>
          <w:bottom w:w="0" w:type="dxa"/>
          <w:right w:w="108" w:type="dxa"/>
        </w:tblCellMar>
      </w:tblPr>
      <w:tblGrid>
        <w:gridCol w:w="1135"/>
        <w:gridCol w:w="567"/>
        <w:gridCol w:w="850"/>
        <w:gridCol w:w="887"/>
        <w:gridCol w:w="975"/>
        <w:gridCol w:w="1398"/>
        <w:gridCol w:w="851"/>
        <w:gridCol w:w="1134"/>
        <w:gridCol w:w="1843"/>
      </w:tblGrid>
      <w:tr w14:paraId="681D92A6">
        <w:tblPrEx>
          <w:tblCellMar>
            <w:top w:w="0" w:type="dxa"/>
            <w:left w:w="108" w:type="dxa"/>
            <w:bottom w:w="0" w:type="dxa"/>
            <w:right w:w="108" w:type="dxa"/>
          </w:tblCellMar>
        </w:tblPrEx>
        <w:trPr>
          <w:trHeight w:val="951" w:hRule="atLeast"/>
        </w:trPr>
        <w:tc>
          <w:tcPr>
            <w:tcW w:w="1135" w:type="dxa"/>
            <w:tcBorders>
              <w:top w:val="single" w:color="auto" w:sz="4" w:space="0"/>
              <w:left w:val="single" w:color="auto" w:sz="4" w:space="0"/>
              <w:bottom w:val="single" w:color="auto" w:sz="4" w:space="0"/>
              <w:right w:val="single" w:color="auto" w:sz="4" w:space="0"/>
            </w:tcBorders>
            <w:vAlign w:val="center"/>
          </w:tcPr>
          <w:p w14:paraId="4A1C42D3">
            <w:pPr>
              <w:tabs>
                <w:tab w:val="left" w:pos="0"/>
                <w:tab w:val="left" w:pos="2324"/>
              </w:tabs>
              <w:adjustRightInd w:val="0"/>
              <w:spacing w:line="360" w:lineRule="exact"/>
              <w:jc w:val="center"/>
              <w:rPr>
                <w:rFonts w:ascii="方正仿宋_GBK" w:hAnsi="宋体" w:eastAsia="方正仿宋_GBK"/>
                <w:color w:val="auto"/>
                <w:sz w:val="24"/>
                <w:highlight w:val="none"/>
              </w:rPr>
            </w:pPr>
            <w:r>
              <w:rPr>
                <w:rFonts w:hint="eastAsia" w:ascii="方正仿宋_GBK" w:hAnsi="宋体" w:eastAsia="方正仿宋_GBK"/>
                <w:color w:val="auto"/>
                <w:sz w:val="24"/>
                <w:highlight w:val="none"/>
              </w:rPr>
              <w:t>货物名称</w:t>
            </w:r>
          </w:p>
        </w:tc>
        <w:tc>
          <w:tcPr>
            <w:tcW w:w="567" w:type="dxa"/>
            <w:tcBorders>
              <w:top w:val="single" w:color="auto" w:sz="4" w:space="0"/>
              <w:left w:val="nil"/>
              <w:bottom w:val="single" w:color="auto" w:sz="4" w:space="0"/>
              <w:right w:val="single" w:color="auto" w:sz="4" w:space="0"/>
            </w:tcBorders>
            <w:vAlign w:val="center"/>
          </w:tcPr>
          <w:p w14:paraId="26A69CC2">
            <w:pPr>
              <w:tabs>
                <w:tab w:val="left" w:pos="0"/>
                <w:tab w:val="left" w:pos="2324"/>
              </w:tabs>
              <w:adjustRightInd w:val="0"/>
              <w:spacing w:line="360" w:lineRule="exact"/>
              <w:jc w:val="center"/>
              <w:rPr>
                <w:rFonts w:ascii="方正仿宋_GBK" w:hAnsi="宋体" w:eastAsia="方正仿宋_GBK"/>
                <w:color w:val="auto"/>
                <w:sz w:val="24"/>
                <w:highlight w:val="none"/>
              </w:rPr>
            </w:pPr>
            <w:r>
              <w:rPr>
                <w:rFonts w:hint="eastAsia" w:ascii="方正仿宋_GBK" w:hAnsi="宋体" w:eastAsia="方正仿宋_GBK"/>
                <w:color w:val="auto"/>
                <w:sz w:val="24"/>
                <w:highlight w:val="none"/>
              </w:rPr>
              <w:t>单位</w:t>
            </w:r>
          </w:p>
        </w:tc>
        <w:tc>
          <w:tcPr>
            <w:tcW w:w="850" w:type="dxa"/>
            <w:tcBorders>
              <w:top w:val="single" w:color="auto" w:sz="4" w:space="0"/>
              <w:left w:val="nil"/>
              <w:bottom w:val="single" w:color="auto" w:sz="4" w:space="0"/>
              <w:right w:val="single" w:color="auto" w:sz="4" w:space="0"/>
            </w:tcBorders>
            <w:vAlign w:val="center"/>
          </w:tcPr>
          <w:p w14:paraId="28E682F5">
            <w:pPr>
              <w:tabs>
                <w:tab w:val="left" w:pos="0"/>
                <w:tab w:val="left" w:pos="2324"/>
              </w:tabs>
              <w:adjustRightInd w:val="0"/>
              <w:spacing w:line="360" w:lineRule="exact"/>
              <w:jc w:val="center"/>
              <w:rPr>
                <w:rFonts w:ascii="方正仿宋_GBK" w:hAnsi="宋体" w:eastAsia="方正仿宋_GBK"/>
                <w:color w:val="auto"/>
                <w:sz w:val="24"/>
                <w:highlight w:val="none"/>
              </w:rPr>
            </w:pPr>
            <w:r>
              <w:rPr>
                <w:rFonts w:hint="eastAsia" w:ascii="方正仿宋_GBK" w:hAnsi="宋体" w:eastAsia="方正仿宋_GBK"/>
                <w:color w:val="auto"/>
                <w:sz w:val="24"/>
                <w:highlight w:val="none"/>
              </w:rPr>
              <w:t>暂定采购数量</w:t>
            </w:r>
          </w:p>
        </w:tc>
        <w:tc>
          <w:tcPr>
            <w:tcW w:w="887" w:type="dxa"/>
            <w:tcBorders>
              <w:top w:val="single" w:color="auto" w:sz="4" w:space="0"/>
              <w:left w:val="nil"/>
              <w:bottom w:val="single" w:color="auto" w:sz="4" w:space="0"/>
              <w:right w:val="single" w:color="auto" w:sz="4" w:space="0"/>
            </w:tcBorders>
            <w:vAlign w:val="center"/>
          </w:tcPr>
          <w:p w14:paraId="52F4C570">
            <w:pPr>
              <w:tabs>
                <w:tab w:val="left" w:pos="0"/>
                <w:tab w:val="left" w:pos="2324"/>
              </w:tabs>
              <w:adjustRightInd w:val="0"/>
              <w:spacing w:line="360" w:lineRule="exact"/>
              <w:jc w:val="center"/>
              <w:rPr>
                <w:rFonts w:ascii="方正仿宋_GBK" w:hAnsi="宋体" w:eastAsia="方正仿宋_GBK"/>
                <w:color w:val="auto"/>
                <w:sz w:val="24"/>
                <w:highlight w:val="none"/>
              </w:rPr>
            </w:pPr>
            <w:r>
              <w:rPr>
                <w:rFonts w:hint="eastAsia" w:ascii="方正仿宋_GBK" w:hAnsi="宋体" w:eastAsia="方正仿宋_GBK"/>
                <w:color w:val="auto"/>
                <w:sz w:val="24"/>
                <w:highlight w:val="none"/>
              </w:rPr>
              <w:t>品牌或生产厂家</w:t>
            </w:r>
          </w:p>
        </w:tc>
        <w:tc>
          <w:tcPr>
            <w:tcW w:w="975" w:type="dxa"/>
            <w:tcBorders>
              <w:top w:val="single" w:color="auto" w:sz="4" w:space="0"/>
              <w:left w:val="nil"/>
              <w:bottom w:val="single" w:color="auto" w:sz="4" w:space="0"/>
              <w:right w:val="single" w:color="auto" w:sz="4" w:space="0"/>
            </w:tcBorders>
            <w:vAlign w:val="center"/>
          </w:tcPr>
          <w:p w14:paraId="09166B1A">
            <w:pPr>
              <w:tabs>
                <w:tab w:val="left" w:pos="0"/>
                <w:tab w:val="left" w:pos="2324"/>
              </w:tabs>
              <w:adjustRightInd w:val="0"/>
              <w:spacing w:line="360" w:lineRule="exact"/>
              <w:jc w:val="center"/>
              <w:rPr>
                <w:rFonts w:ascii="方正仿宋_GBK" w:hAnsi="宋体" w:eastAsia="方正仿宋_GBK"/>
                <w:color w:val="auto"/>
                <w:sz w:val="24"/>
                <w:highlight w:val="none"/>
              </w:rPr>
            </w:pPr>
            <w:r>
              <w:rPr>
                <w:rFonts w:hint="eastAsia" w:ascii="方正仿宋_GBK" w:hAnsi="宋体" w:eastAsia="方正仿宋_GBK"/>
                <w:color w:val="auto"/>
                <w:sz w:val="24"/>
                <w:highlight w:val="none"/>
              </w:rPr>
              <w:t>单价限价（元）</w:t>
            </w:r>
          </w:p>
        </w:tc>
        <w:tc>
          <w:tcPr>
            <w:tcW w:w="1398" w:type="dxa"/>
            <w:tcBorders>
              <w:top w:val="single" w:color="auto" w:sz="4" w:space="0"/>
              <w:left w:val="nil"/>
              <w:bottom w:val="single" w:color="auto" w:sz="4" w:space="0"/>
              <w:right w:val="single" w:color="auto" w:sz="4" w:space="0"/>
            </w:tcBorders>
            <w:vAlign w:val="center"/>
          </w:tcPr>
          <w:p w14:paraId="1F03E93C">
            <w:pPr>
              <w:tabs>
                <w:tab w:val="left" w:pos="0"/>
                <w:tab w:val="left" w:pos="2324"/>
              </w:tabs>
              <w:adjustRightInd w:val="0"/>
              <w:spacing w:line="360" w:lineRule="exact"/>
              <w:jc w:val="center"/>
              <w:rPr>
                <w:rFonts w:ascii="方正仿宋_GBK" w:hAnsi="宋体" w:eastAsia="方正仿宋_GBK"/>
                <w:color w:val="auto"/>
                <w:sz w:val="24"/>
                <w:highlight w:val="none"/>
              </w:rPr>
            </w:pPr>
            <w:r>
              <w:rPr>
                <w:rFonts w:hint="eastAsia" w:ascii="方正仿宋_GBK" w:hAnsi="宋体" w:eastAsia="方正仿宋_GBK"/>
                <w:color w:val="auto"/>
                <w:sz w:val="24"/>
                <w:highlight w:val="none"/>
              </w:rPr>
              <w:t>合计限价（元）</w:t>
            </w:r>
          </w:p>
        </w:tc>
        <w:tc>
          <w:tcPr>
            <w:tcW w:w="851" w:type="dxa"/>
            <w:tcBorders>
              <w:top w:val="single" w:color="auto" w:sz="4" w:space="0"/>
              <w:left w:val="nil"/>
              <w:bottom w:val="single" w:color="auto" w:sz="4" w:space="0"/>
              <w:right w:val="single" w:color="auto" w:sz="4" w:space="0"/>
            </w:tcBorders>
            <w:vAlign w:val="center"/>
          </w:tcPr>
          <w:p w14:paraId="4AC1938C">
            <w:pPr>
              <w:tabs>
                <w:tab w:val="left" w:pos="0"/>
                <w:tab w:val="left" w:pos="2324"/>
              </w:tabs>
              <w:adjustRightInd w:val="0"/>
              <w:spacing w:line="360" w:lineRule="exact"/>
              <w:jc w:val="center"/>
              <w:rPr>
                <w:rFonts w:ascii="方正仿宋_GBK" w:hAnsi="宋体" w:eastAsia="方正仿宋_GBK"/>
                <w:color w:val="auto"/>
                <w:sz w:val="24"/>
                <w:highlight w:val="none"/>
              </w:rPr>
            </w:pPr>
            <w:r>
              <w:rPr>
                <w:rFonts w:hint="eastAsia" w:ascii="方正仿宋_GBK" w:hAnsi="宋体" w:eastAsia="方正仿宋_GBK"/>
                <w:color w:val="auto"/>
                <w:sz w:val="24"/>
                <w:highlight w:val="none"/>
              </w:rPr>
              <w:t>单价报价（元）</w:t>
            </w:r>
          </w:p>
        </w:tc>
        <w:tc>
          <w:tcPr>
            <w:tcW w:w="1134" w:type="dxa"/>
            <w:tcBorders>
              <w:top w:val="single" w:color="auto" w:sz="4" w:space="0"/>
              <w:left w:val="nil"/>
              <w:bottom w:val="single" w:color="auto" w:sz="4" w:space="0"/>
              <w:right w:val="single" w:color="auto" w:sz="4" w:space="0"/>
            </w:tcBorders>
            <w:vAlign w:val="center"/>
          </w:tcPr>
          <w:p w14:paraId="391F4985">
            <w:pPr>
              <w:tabs>
                <w:tab w:val="left" w:pos="0"/>
                <w:tab w:val="left" w:pos="2324"/>
              </w:tabs>
              <w:adjustRightInd w:val="0"/>
              <w:spacing w:line="360" w:lineRule="exact"/>
              <w:jc w:val="center"/>
              <w:rPr>
                <w:rFonts w:ascii="方正仿宋_GBK" w:hAnsi="宋体" w:eastAsia="方正仿宋_GBK"/>
                <w:color w:val="auto"/>
                <w:sz w:val="24"/>
                <w:highlight w:val="none"/>
              </w:rPr>
            </w:pPr>
            <w:r>
              <w:rPr>
                <w:rFonts w:hint="eastAsia" w:ascii="方正仿宋_GBK" w:hAnsi="宋体" w:eastAsia="方正仿宋_GBK"/>
                <w:color w:val="auto"/>
                <w:sz w:val="24"/>
                <w:highlight w:val="none"/>
              </w:rPr>
              <w:t>合计报价（元）</w:t>
            </w:r>
          </w:p>
        </w:tc>
        <w:tc>
          <w:tcPr>
            <w:tcW w:w="1843" w:type="dxa"/>
            <w:tcBorders>
              <w:top w:val="single" w:color="auto" w:sz="4" w:space="0"/>
              <w:left w:val="nil"/>
              <w:bottom w:val="single" w:color="auto" w:sz="4" w:space="0"/>
              <w:right w:val="single" w:color="auto" w:sz="4" w:space="0"/>
            </w:tcBorders>
            <w:vAlign w:val="center"/>
          </w:tcPr>
          <w:p w14:paraId="69C62395">
            <w:pPr>
              <w:tabs>
                <w:tab w:val="left" w:pos="0"/>
                <w:tab w:val="left" w:pos="2324"/>
              </w:tabs>
              <w:adjustRightInd w:val="0"/>
              <w:spacing w:line="360" w:lineRule="exact"/>
              <w:jc w:val="center"/>
              <w:rPr>
                <w:rFonts w:ascii="方正仿宋_GBK" w:hAnsi="宋体" w:eastAsia="方正仿宋_GBK"/>
                <w:color w:val="auto"/>
                <w:sz w:val="24"/>
                <w:highlight w:val="none"/>
              </w:rPr>
            </w:pPr>
            <w:r>
              <w:rPr>
                <w:rFonts w:hint="eastAsia" w:ascii="方正仿宋_GBK" w:hAnsi="宋体" w:eastAsia="方正仿宋_GBK"/>
                <w:color w:val="auto"/>
                <w:sz w:val="24"/>
                <w:highlight w:val="none"/>
              </w:rPr>
              <w:t>备注</w:t>
            </w:r>
          </w:p>
        </w:tc>
      </w:tr>
      <w:tr w14:paraId="556DD276">
        <w:tblPrEx>
          <w:tblCellMar>
            <w:top w:w="0" w:type="dxa"/>
            <w:left w:w="108" w:type="dxa"/>
            <w:bottom w:w="0" w:type="dxa"/>
            <w:right w:w="108" w:type="dxa"/>
          </w:tblCellMar>
        </w:tblPrEx>
        <w:trPr>
          <w:trHeight w:val="991" w:hRule="atLeast"/>
        </w:trPr>
        <w:tc>
          <w:tcPr>
            <w:tcW w:w="1135" w:type="dxa"/>
            <w:tcBorders>
              <w:top w:val="single" w:color="auto" w:sz="4" w:space="0"/>
              <w:left w:val="single" w:color="auto" w:sz="4" w:space="0"/>
              <w:bottom w:val="single" w:color="auto" w:sz="4" w:space="0"/>
              <w:right w:val="single" w:color="auto" w:sz="4" w:space="0"/>
            </w:tcBorders>
            <w:vAlign w:val="center"/>
          </w:tcPr>
          <w:p w14:paraId="030F0BA7">
            <w:pPr>
              <w:tabs>
                <w:tab w:val="left" w:pos="0"/>
                <w:tab w:val="left" w:pos="2324"/>
              </w:tabs>
              <w:adjustRightInd w:val="0"/>
              <w:spacing w:line="360" w:lineRule="exact"/>
              <w:jc w:val="center"/>
              <w:rPr>
                <w:rFonts w:ascii="宋体" w:hAnsi="宋体"/>
                <w:color w:val="auto"/>
                <w:sz w:val="22"/>
                <w:highlight w:val="none"/>
              </w:rPr>
            </w:pPr>
            <w:r>
              <w:rPr>
                <w:rFonts w:hint="eastAsia" w:ascii="宋体" w:hAnsi="宋体"/>
                <w:color w:val="auto"/>
                <w:sz w:val="24"/>
                <w:highlight w:val="none"/>
                <w:lang w:val="en-US" w:eastAsia="zh-CN"/>
              </w:rPr>
              <w:t>甲级木质防火门</w:t>
            </w:r>
          </w:p>
        </w:tc>
        <w:tc>
          <w:tcPr>
            <w:tcW w:w="567" w:type="dxa"/>
            <w:tcBorders>
              <w:top w:val="single" w:color="auto" w:sz="4" w:space="0"/>
              <w:left w:val="nil"/>
              <w:bottom w:val="single" w:color="auto" w:sz="4" w:space="0"/>
              <w:right w:val="single" w:color="auto" w:sz="4" w:space="0"/>
            </w:tcBorders>
            <w:vAlign w:val="center"/>
          </w:tcPr>
          <w:p w14:paraId="20CCB447">
            <w:pPr>
              <w:tabs>
                <w:tab w:val="left" w:pos="0"/>
                <w:tab w:val="left" w:pos="2324"/>
              </w:tabs>
              <w:adjustRightInd w:val="0"/>
              <w:spacing w:line="360" w:lineRule="exact"/>
              <w:jc w:val="center"/>
              <w:rPr>
                <w:rFonts w:ascii="宋体" w:hAnsi="宋体"/>
                <w:color w:val="auto"/>
                <w:sz w:val="22"/>
                <w:highlight w:val="none"/>
              </w:rPr>
            </w:pPr>
            <w:r>
              <w:rPr>
                <w:rFonts w:hint="eastAsia" w:ascii="宋体" w:hAnsi="宋体" w:eastAsia="宋体" w:cs="宋体"/>
                <w:color w:val="auto"/>
                <w:sz w:val="24"/>
                <w:highlight w:val="none"/>
              </w:rPr>
              <w:t>㎡</w:t>
            </w:r>
          </w:p>
        </w:tc>
        <w:tc>
          <w:tcPr>
            <w:tcW w:w="850" w:type="dxa"/>
            <w:tcBorders>
              <w:top w:val="single" w:color="auto" w:sz="4" w:space="0"/>
              <w:left w:val="nil"/>
              <w:bottom w:val="single" w:color="auto" w:sz="4" w:space="0"/>
              <w:right w:val="single" w:color="auto" w:sz="4" w:space="0"/>
            </w:tcBorders>
            <w:vAlign w:val="center"/>
          </w:tcPr>
          <w:p w14:paraId="54F735AF">
            <w:pPr>
              <w:tabs>
                <w:tab w:val="left" w:pos="0"/>
                <w:tab w:val="left" w:pos="2324"/>
              </w:tabs>
              <w:adjustRightInd w:val="0"/>
              <w:spacing w:line="360" w:lineRule="exact"/>
              <w:jc w:val="center"/>
              <w:rPr>
                <w:rFonts w:ascii="宋体" w:hAnsi="宋体"/>
                <w:color w:val="auto"/>
                <w:sz w:val="22"/>
                <w:highlight w:val="none"/>
              </w:rPr>
            </w:pPr>
            <w:r>
              <w:rPr>
                <w:rFonts w:hint="eastAsia" w:ascii="宋体" w:hAnsi="宋体"/>
                <w:color w:val="auto"/>
                <w:sz w:val="24"/>
                <w:highlight w:val="none"/>
                <w:lang w:val="en-US" w:eastAsia="zh-CN"/>
              </w:rPr>
              <w:t>33</w:t>
            </w:r>
          </w:p>
        </w:tc>
        <w:tc>
          <w:tcPr>
            <w:tcW w:w="887" w:type="dxa"/>
            <w:tcBorders>
              <w:top w:val="single" w:color="auto" w:sz="4" w:space="0"/>
              <w:left w:val="nil"/>
              <w:bottom w:val="single" w:color="auto" w:sz="4" w:space="0"/>
              <w:right w:val="single" w:color="auto" w:sz="4" w:space="0"/>
            </w:tcBorders>
            <w:vAlign w:val="center"/>
          </w:tcPr>
          <w:p w14:paraId="091063C4">
            <w:pPr>
              <w:tabs>
                <w:tab w:val="left" w:pos="0"/>
                <w:tab w:val="left" w:pos="2324"/>
              </w:tabs>
              <w:adjustRightInd w:val="0"/>
              <w:spacing w:line="360" w:lineRule="exact"/>
              <w:jc w:val="center"/>
              <w:rPr>
                <w:rFonts w:ascii="宋体" w:hAnsi="宋体"/>
                <w:color w:val="auto"/>
                <w:sz w:val="22"/>
                <w:highlight w:val="none"/>
              </w:rPr>
            </w:pPr>
          </w:p>
        </w:tc>
        <w:tc>
          <w:tcPr>
            <w:tcW w:w="975" w:type="dxa"/>
            <w:tcBorders>
              <w:top w:val="single" w:color="auto" w:sz="4" w:space="0"/>
              <w:left w:val="nil"/>
              <w:bottom w:val="single" w:color="auto" w:sz="4" w:space="0"/>
              <w:right w:val="single" w:color="auto" w:sz="4" w:space="0"/>
            </w:tcBorders>
            <w:vAlign w:val="center"/>
          </w:tcPr>
          <w:p w14:paraId="57B8C0FF">
            <w:pPr>
              <w:keepNext w:val="0"/>
              <w:keepLines w:val="0"/>
              <w:widowControl/>
              <w:suppressLineNumbers w:val="0"/>
              <w:jc w:val="center"/>
              <w:textAlignment w:val="center"/>
              <w:rPr>
                <w:rFonts w:ascii="宋体" w:hAnsi="宋体"/>
                <w:color w:val="auto"/>
                <w:sz w:val="22"/>
                <w:highlight w:val="none"/>
              </w:rPr>
            </w:pPr>
            <w:r>
              <w:rPr>
                <w:rFonts w:hint="eastAsia" w:ascii="宋体" w:hAnsi="宋体" w:eastAsia="宋体" w:cs="宋体"/>
                <w:i w:val="0"/>
                <w:iCs w:val="0"/>
                <w:color w:val="auto"/>
                <w:kern w:val="0"/>
                <w:sz w:val="24"/>
                <w:szCs w:val="24"/>
                <w:highlight w:val="none"/>
                <w:u w:val="none"/>
                <w:lang w:val="en-US" w:eastAsia="zh-CN" w:bidi="ar"/>
              </w:rPr>
              <w:t>247</w:t>
            </w:r>
          </w:p>
        </w:tc>
        <w:tc>
          <w:tcPr>
            <w:tcW w:w="1398" w:type="dxa"/>
            <w:tcBorders>
              <w:top w:val="single" w:color="auto" w:sz="4" w:space="0"/>
              <w:left w:val="nil"/>
              <w:bottom w:val="single" w:color="auto" w:sz="4" w:space="0"/>
              <w:right w:val="single" w:color="auto" w:sz="4" w:space="0"/>
            </w:tcBorders>
            <w:vAlign w:val="center"/>
          </w:tcPr>
          <w:p w14:paraId="7010EEA7">
            <w:pPr>
              <w:keepNext w:val="0"/>
              <w:keepLines w:val="0"/>
              <w:widowControl/>
              <w:suppressLineNumbers w:val="0"/>
              <w:jc w:val="center"/>
              <w:textAlignment w:val="center"/>
              <w:rPr>
                <w:rFonts w:ascii="宋体" w:hAnsi="宋体"/>
                <w:color w:val="auto"/>
                <w:sz w:val="22"/>
                <w:highlight w:val="none"/>
              </w:rPr>
            </w:pPr>
            <w:r>
              <w:rPr>
                <w:rFonts w:hint="eastAsia" w:ascii="宋体" w:hAnsi="宋体" w:eastAsia="宋体" w:cs="宋体"/>
                <w:i w:val="0"/>
                <w:iCs w:val="0"/>
                <w:color w:val="auto"/>
                <w:kern w:val="0"/>
                <w:sz w:val="24"/>
                <w:szCs w:val="24"/>
                <w:highlight w:val="none"/>
                <w:u w:val="none"/>
                <w:lang w:val="en-US" w:eastAsia="zh-CN" w:bidi="ar"/>
              </w:rPr>
              <w:t>8151</w:t>
            </w:r>
          </w:p>
        </w:tc>
        <w:tc>
          <w:tcPr>
            <w:tcW w:w="851" w:type="dxa"/>
            <w:tcBorders>
              <w:top w:val="single" w:color="auto" w:sz="4" w:space="0"/>
              <w:left w:val="nil"/>
              <w:bottom w:val="single" w:color="auto" w:sz="4" w:space="0"/>
              <w:right w:val="single" w:color="auto" w:sz="4" w:space="0"/>
            </w:tcBorders>
            <w:vAlign w:val="center"/>
          </w:tcPr>
          <w:p w14:paraId="77ABA67F">
            <w:pPr>
              <w:tabs>
                <w:tab w:val="left" w:pos="0"/>
                <w:tab w:val="left" w:pos="2324"/>
              </w:tabs>
              <w:adjustRightInd w:val="0"/>
              <w:spacing w:line="360" w:lineRule="exact"/>
              <w:jc w:val="center"/>
              <w:rPr>
                <w:rFonts w:ascii="方正仿宋_GBK" w:hAnsi="宋体" w:eastAsia="方正仿宋_GBK"/>
                <w:color w:val="auto"/>
                <w:sz w:val="22"/>
                <w:highlight w:val="none"/>
              </w:rPr>
            </w:pPr>
          </w:p>
        </w:tc>
        <w:tc>
          <w:tcPr>
            <w:tcW w:w="1134" w:type="dxa"/>
            <w:tcBorders>
              <w:top w:val="single" w:color="auto" w:sz="4" w:space="0"/>
              <w:left w:val="nil"/>
              <w:bottom w:val="single" w:color="auto" w:sz="4" w:space="0"/>
              <w:right w:val="single" w:color="auto" w:sz="4" w:space="0"/>
            </w:tcBorders>
            <w:vAlign w:val="center"/>
          </w:tcPr>
          <w:p w14:paraId="3833BDA8">
            <w:pPr>
              <w:tabs>
                <w:tab w:val="left" w:pos="0"/>
                <w:tab w:val="left" w:pos="2324"/>
              </w:tabs>
              <w:adjustRightInd w:val="0"/>
              <w:spacing w:line="360" w:lineRule="exact"/>
              <w:jc w:val="center"/>
              <w:rPr>
                <w:rFonts w:ascii="方正仿宋_GBK" w:hAnsi="宋体" w:eastAsia="方正仿宋_GBK"/>
                <w:color w:val="auto"/>
                <w:sz w:val="22"/>
                <w:highlight w:val="none"/>
              </w:rPr>
            </w:pPr>
          </w:p>
        </w:tc>
        <w:tc>
          <w:tcPr>
            <w:tcW w:w="1843" w:type="dxa"/>
            <w:tcBorders>
              <w:top w:val="single" w:color="auto" w:sz="4" w:space="0"/>
              <w:left w:val="nil"/>
              <w:bottom w:val="single" w:color="auto" w:sz="4" w:space="0"/>
              <w:right w:val="single" w:color="auto" w:sz="4" w:space="0"/>
            </w:tcBorders>
            <w:vAlign w:val="center"/>
          </w:tcPr>
          <w:p w14:paraId="3EC1AE8B">
            <w:pPr>
              <w:tabs>
                <w:tab w:val="left" w:pos="0"/>
                <w:tab w:val="left" w:pos="2324"/>
              </w:tabs>
              <w:adjustRightInd w:val="0"/>
              <w:spacing w:line="360" w:lineRule="exact"/>
              <w:jc w:val="center"/>
              <w:rPr>
                <w:rFonts w:ascii="宋体" w:hAnsi="宋体"/>
                <w:color w:val="auto"/>
                <w:sz w:val="22"/>
                <w:highlight w:val="none"/>
              </w:rPr>
            </w:pPr>
            <w:r>
              <w:rPr>
                <w:rFonts w:hint="eastAsia" w:ascii="宋体" w:hAnsi="宋体"/>
                <w:color w:val="auto"/>
                <w:sz w:val="24"/>
                <w:highlight w:val="none"/>
                <w:lang w:val="en-US" w:eastAsia="zh-CN"/>
              </w:rPr>
              <w:t>含门框套、五金配件、门锁</w:t>
            </w:r>
          </w:p>
        </w:tc>
      </w:tr>
      <w:tr w14:paraId="4DB58459">
        <w:tblPrEx>
          <w:tblCellMar>
            <w:top w:w="0" w:type="dxa"/>
            <w:left w:w="108" w:type="dxa"/>
            <w:bottom w:w="0" w:type="dxa"/>
            <w:right w:w="108" w:type="dxa"/>
          </w:tblCellMar>
        </w:tblPrEx>
        <w:trPr>
          <w:trHeight w:val="977" w:hRule="atLeast"/>
        </w:trPr>
        <w:tc>
          <w:tcPr>
            <w:tcW w:w="1135" w:type="dxa"/>
            <w:tcBorders>
              <w:top w:val="single" w:color="auto" w:sz="4" w:space="0"/>
              <w:left w:val="single" w:color="auto" w:sz="4" w:space="0"/>
              <w:bottom w:val="single" w:color="auto" w:sz="4" w:space="0"/>
              <w:right w:val="single" w:color="auto" w:sz="4" w:space="0"/>
            </w:tcBorders>
            <w:vAlign w:val="center"/>
          </w:tcPr>
          <w:p w14:paraId="31F200AB">
            <w:pPr>
              <w:tabs>
                <w:tab w:val="left" w:pos="0"/>
                <w:tab w:val="left" w:pos="2324"/>
              </w:tabs>
              <w:adjustRightInd w:val="0"/>
              <w:spacing w:line="360" w:lineRule="exact"/>
              <w:jc w:val="center"/>
              <w:rPr>
                <w:rFonts w:ascii="宋体" w:hAnsi="宋体"/>
                <w:color w:val="auto"/>
                <w:sz w:val="22"/>
                <w:highlight w:val="none"/>
              </w:rPr>
            </w:pPr>
            <w:r>
              <w:rPr>
                <w:rFonts w:hint="eastAsia" w:ascii="宋体" w:hAnsi="宋体"/>
                <w:color w:val="auto"/>
                <w:sz w:val="24"/>
                <w:highlight w:val="none"/>
                <w:lang w:val="en-US" w:eastAsia="zh-CN"/>
              </w:rPr>
              <w:t>乙级木质防火门</w:t>
            </w:r>
          </w:p>
        </w:tc>
        <w:tc>
          <w:tcPr>
            <w:tcW w:w="567" w:type="dxa"/>
            <w:tcBorders>
              <w:top w:val="single" w:color="auto" w:sz="4" w:space="0"/>
              <w:left w:val="nil"/>
              <w:bottom w:val="single" w:color="auto" w:sz="4" w:space="0"/>
              <w:right w:val="single" w:color="auto" w:sz="4" w:space="0"/>
            </w:tcBorders>
            <w:vAlign w:val="center"/>
          </w:tcPr>
          <w:p w14:paraId="412A353D">
            <w:pPr>
              <w:tabs>
                <w:tab w:val="left" w:pos="0"/>
                <w:tab w:val="left" w:pos="2324"/>
              </w:tabs>
              <w:adjustRightInd w:val="0"/>
              <w:spacing w:line="360" w:lineRule="exact"/>
              <w:jc w:val="center"/>
              <w:rPr>
                <w:rFonts w:ascii="宋体" w:hAnsi="宋体"/>
                <w:color w:val="auto"/>
                <w:sz w:val="22"/>
                <w:highlight w:val="none"/>
              </w:rPr>
            </w:pPr>
            <w:r>
              <w:rPr>
                <w:rFonts w:hint="eastAsia" w:ascii="宋体" w:hAnsi="宋体" w:eastAsia="宋体" w:cs="宋体"/>
                <w:color w:val="auto"/>
                <w:sz w:val="24"/>
                <w:highlight w:val="none"/>
              </w:rPr>
              <w:t>㎡</w:t>
            </w:r>
          </w:p>
        </w:tc>
        <w:tc>
          <w:tcPr>
            <w:tcW w:w="850" w:type="dxa"/>
            <w:tcBorders>
              <w:top w:val="single" w:color="auto" w:sz="4" w:space="0"/>
              <w:left w:val="nil"/>
              <w:bottom w:val="single" w:color="auto" w:sz="4" w:space="0"/>
              <w:right w:val="single" w:color="auto" w:sz="4" w:space="0"/>
            </w:tcBorders>
            <w:vAlign w:val="center"/>
          </w:tcPr>
          <w:p w14:paraId="027962A9">
            <w:pPr>
              <w:tabs>
                <w:tab w:val="left" w:pos="0"/>
                <w:tab w:val="left" w:pos="2324"/>
              </w:tabs>
              <w:adjustRightInd w:val="0"/>
              <w:spacing w:line="360" w:lineRule="exact"/>
              <w:jc w:val="center"/>
              <w:rPr>
                <w:rFonts w:ascii="宋体" w:hAnsi="宋体"/>
                <w:color w:val="auto"/>
                <w:sz w:val="22"/>
                <w:highlight w:val="none"/>
              </w:rPr>
            </w:pPr>
            <w:r>
              <w:rPr>
                <w:rFonts w:hint="eastAsia" w:ascii="宋体" w:hAnsi="宋体"/>
                <w:color w:val="auto"/>
                <w:sz w:val="24"/>
                <w:highlight w:val="none"/>
                <w:lang w:val="en-US" w:eastAsia="zh-CN"/>
              </w:rPr>
              <w:t>236.5</w:t>
            </w:r>
          </w:p>
        </w:tc>
        <w:tc>
          <w:tcPr>
            <w:tcW w:w="887" w:type="dxa"/>
            <w:tcBorders>
              <w:top w:val="single" w:color="auto" w:sz="4" w:space="0"/>
              <w:left w:val="nil"/>
              <w:bottom w:val="single" w:color="auto" w:sz="4" w:space="0"/>
              <w:right w:val="single" w:color="auto" w:sz="4" w:space="0"/>
            </w:tcBorders>
            <w:vAlign w:val="center"/>
          </w:tcPr>
          <w:p w14:paraId="36D16150">
            <w:pPr>
              <w:tabs>
                <w:tab w:val="left" w:pos="0"/>
                <w:tab w:val="left" w:pos="2324"/>
              </w:tabs>
              <w:adjustRightInd w:val="0"/>
              <w:spacing w:line="360" w:lineRule="exact"/>
              <w:jc w:val="center"/>
              <w:rPr>
                <w:rFonts w:ascii="宋体" w:hAnsi="宋体"/>
                <w:color w:val="auto"/>
                <w:sz w:val="22"/>
                <w:highlight w:val="none"/>
              </w:rPr>
            </w:pPr>
          </w:p>
        </w:tc>
        <w:tc>
          <w:tcPr>
            <w:tcW w:w="975" w:type="dxa"/>
            <w:tcBorders>
              <w:top w:val="single" w:color="auto" w:sz="4" w:space="0"/>
              <w:left w:val="nil"/>
              <w:bottom w:val="single" w:color="auto" w:sz="4" w:space="0"/>
              <w:right w:val="single" w:color="auto" w:sz="4" w:space="0"/>
            </w:tcBorders>
            <w:vAlign w:val="center"/>
          </w:tcPr>
          <w:p w14:paraId="671BD417">
            <w:pPr>
              <w:keepNext w:val="0"/>
              <w:keepLines w:val="0"/>
              <w:widowControl/>
              <w:suppressLineNumbers w:val="0"/>
              <w:jc w:val="center"/>
              <w:textAlignment w:val="center"/>
              <w:rPr>
                <w:rFonts w:ascii="宋体" w:hAnsi="宋体"/>
                <w:color w:val="auto"/>
                <w:sz w:val="22"/>
                <w:highlight w:val="none"/>
              </w:rPr>
            </w:pPr>
            <w:r>
              <w:rPr>
                <w:rFonts w:hint="eastAsia" w:ascii="宋体" w:hAnsi="宋体" w:eastAsia="宋体" w:cs="宋体"/>
                <w:i w:val="0"/>
                <w:iCs w:val="0"/>
                <w:color w:val="auto"/>
                <w:kern w:val="0"/>
                <w:sz w:val="24"/>
                <w:szCs w:val="24"/>
                <w:highlight w:val="none"/>
                <w:u w:val="none"/>
                <w:lang w:val="en-US" w:eastAsia="zh-CN" w:bidi="ar"/>
              </w:rPr>
              <w:t>241</w:t>
            </w:r>
          </w:p>
        </w:tc>
        <w:tc>
          <w:tcPr>
            <w:tcW w:w="1398" w:type="dxa"/>
            <w:tcBorders>
              <w:top w:val="single" w:color="auto" w:sz="4" w:space="0"/>
              <w:left w:val="nil"/>
              <w:bottom w:val="single" w:color="auto" w:sz="4" w:space="0"/>
              <w:right w:val="single" w:color="auto" w:sz="4" w:space="0"/>
            </w:tcBorders>
            <w:vAlign w:val="center"/>
          </w:tcPr>
          <w:p w14:paraId="5E25F077">
            <w:pPr>
              <w:keepNext w:val="0"/>
              <w:keepLines w:val="0"/>
              <w:widowControl/>
              <w:suppressLineNumbers w:val="0"/>
              <w:jc w:val="center"/>
              <w:textAlignment w:val="center"/>
              <w:rPr>
                <w:rFonts w:ascii="宋体" w:hAnsi="宋体"/>
                <w:color w:val="auto"/>
                <w:sz w:val="22"/>
                <w:highlight w:val="none"/>
              </w:rPr>
            </w:pPr>
            <w:r>
              <w:rPr>
                <w:rFonts w:hint="eastAsia" w:ascii="宋体" w:hAnsi="宋体" w:eastAsia="宋体" w:cs="宋体"/>
                <w:i w:val="0"/>
                <w:iCs w:val="0"/>
                <w:color w:val="auto"/>
                <w:kern w:val="0"/>
                <w:sz w:val="24"/>
                <w:szCs w:val="24"/>
                <w:highlight w:val="none"/>
                <w:u w:val="none"/>
                <w:lang w:val="en-US" w:eastAsia="zh-CN" w:bidi="ar"/>
              </w:rPr>
              <w:t>56996.5</w:t>
            </w:r>
          </w:p>
        </w:tc>
        <w:tc>
          <w:tcPr>
            <w:tcW w:w="851" w:type="dxa"/>
            <w:tcBorders>
              <w:top w:val="single" w:color="auto" w:sz="4" w:space="0"/>
              <w:left w:val="nil"/>
              <w:bottom w:val="single" w:color="auto" w:sz="4" w:space="0"/>
              <w:right w:val="single" w:color="auto" w:sz="4" w:space="0"/>
            </w:tcBorders>
            <w:vAlign w:val="center"/>
          </w:tcPr>
          <w:p w14:paraId="034231E8">
            <w:pPr>
              <w:tabs>
                <w:tab w:val="left" w:pos="0"/>
                <w:tab w:val="left" w:pos="2324"/>
              </w:tabs>
              <w:adjustRightInd w:val="0"/>
              <w:spacing w:line="360" w:lineRule="exact"/>
              <w:jc w:val="center"/>
              <w:rPr>
                <w:rFonts w:ascii="方正仿宋_GBK" w:hAnsi="宋体" w:eastAsia="方正仿宋_GBK"/>
                <w:color w:val="auto"/>
                <w:sz w:val="22"/>
                <w:highlight w:val="none"/>
              </w:rPr>
            </w:pPr>
          </w:p>
        </w:tc>
        <w:tc>
          <w:tcPr>
            <w:tcW w:w="1134" w:type="dxa"/>
            <w:tcBorders>
              <w:top w:val="single" w:color="auto" w:sz="4" w:space="0"/>
              <w:left w:val="nil"/>
              <w:bottom w:val="single" w:color="auto" w:sz="4" w:space="0"/>
              <w:right w:val="single" w:color="auto" w:sz="4" w:space="0"/>
            </w:tcBorders>
            <w:vAlign w:val="center"/>
          </w:tcPr>
          <w:p w14:paraId="63B9A396">
            <w:pPr>
              <w:tabs>
                <w:tab w:val="left" w:pos="0"/>
                <w:tab w:val="left" w:pos="2324"/>
              </w:tabs>
              <w:adjustRightInd w:val="0"/>
              <w:spacing w:line="360" w:lineRule="exact"/>
              <w:jc w:val="center"/>
              <w:rPr>
                <w:rFonts w:ascii="方正仿宋_GBK" w:hAnsi="宋体" w:eastAsia="方正仿宋_GBK"/>
                <w:color w:val="auto"/>
                <w:sz w:val="22"/>
                <w:highlight w:val="none"/>
              </w:rPr>
            </w:pPr>
          </w:p>
        </w:tc>
        <w:tc>
          <w:tcPr>
            <w:tcW w:w="1843" w:type="dxa"/>
            <w:tcBorders>
              <w:top w:val="single" w:color="auto" w:sz="4" w:space="0"/>
              <w:left w:val="nil"/>
              <w:bottom w:val="single" w:color="auto" w:sz="4" w:space="0"/>
              <w:right w:val="single" w:color="auto" w:sz="4" w:space="0"/>
            </w:tcBorders>
            <w:vAlign w:val="center"/>
          </w:tcPr>
          <w:p w14:paraId="73CE87EC">
            <w:pPr>
              <w:tabs>
                <w:tab w:val="left" w:pos="0"/>
                <w:tab w:val="left" w:pos="2324"/>
              </w:tabs>
              <w:adjustRightInd w:val="0"/>
              <w:spacing w:line="360" w:lineRule="exact"/>
              <w:jc w:val="center"/>
              <w:rPr>
                <w:rFonts w:ascii="宋体" w:hAnsi="宋体"/>
                <w:color w:val="auto"/>
                <w:sz w:val="22"/>
                <w:highlight w:val="none"/>
              </w:rPr>
            </w:pPr>
            <w:r>
              <w:rPr>
                <w:rFonts w:hint="eastAsia" w:ascii="宋体" w:hAnsi="宋体"/>
                <w:color w:val="auto"/>
                <w:sz w:val="24"/>
                <w:highlight w:val="none"/>
                <w:lang w:val="en-US" w:eastAsia="zh-CN"/>
              </w:rPr>
              <w:t>含门框套、五金配件、门锁</w:t>
            </w:r>
          </w:p>
        </w:tc>
      </w:tr>
      <w:tr w14:paraId="03C85B7A">
        <w:tblPrEx>
          <w:tblCellMar>
            <w:top w:w="0" w:type="dxa"/>
            <w:left w:w="108" w:type="dxa"/>
            <w:bottom w:w="0" w:type="dxa"/>
            <w:right w:w="108" w:type="dxa"/>
          </w:tblCellMar>
        </w:tblPrEx>
        <w:trPr>
          <w:trHeight w:val="835" w:hRule="atLeast"/>
        </w:trPr>
        <w:tc>
          <w:tcPr>
            <w:tcW w:w="1135" w:type="dxa"/>
            <w:tcBorders>
              <w:top w:val="single" w:color="auto" w:sz="4" w:space="0"/>
              <w:left w:val="single" w:color="auto" w:sz="4" w:space="0"/>
              <w:bottom w:val="single" w:color="auto" w:sz="4" w:space="0"/>
              <w:right w:val="single" w:color="auto" w:sz="4" w:space="0"/>
            </w:tcBorders>
            <w:vAlign w:val="center"/>
          </w:tcPr>
          <w:p w14:paraId="101620D8">
            <w:pPr>
              <w:tabs>
                <w:tab w:val="left" w:pos="0"/>
                <w:tab w:val="left" w:pos="2324"/>
              </w:tabs>
              <w:adjustRightInd w:val="0"/>
              <w:spacing w:line="360" w:lineRule="exact"/>
              <w:jc w:val="center"/>
              <w:rPr>
                <w:rFonts w:ascii="宋体" w:hAnsi="宋体"/>
                <w:color w:val="auto"/>
                <w:sz w:val="22"/>
                <w:highlight w:val="none"/>
              </w:rPr>
            </w:pPr>
            <w:r>
              <w:rPr>
                <w:rFonts w:hint="eastAsia" w:ascii="宋体" w:hAnsi="宋体"/>
                <w:color w:val="auto"/>
                <w:sz w:val="24"/>
                <w:highlight w:val="none"/>
                <w:lang w:val="en-US" w:eastAsia="zh-CN"/>
              </w:rPr>
              <w:t>成品木门扇</w:t>
            </w:r>
          </w:p>
        </w:tc>
        <w:tc>
          <w:tcPr>
            <w:tcW w:w="567" w:type="dxa"/>
            <w:tcBorders>
              <w:top w:val="single" w:color="auto" w:sz="4" w:space="0"/>
              <w:left w:val="nil"/>
              <w:bottom w:val="single" w:color="auto" w:sz="4" w:space="0"/>
              <w:right w:val="single" w:color="auto" w:sz="4" w:space="0"/>
            </w:tcBorders>
            <w:vAlign w:val="center"/>
          </w:tcPr>
          <w:p w14:paraId="3C71ED4F">
            <w:pPr>
              <w:tabs>
                <w:tab w:val="left" w:pos="0"/>
                <w:tab w:val="left" w:pos="2324"/>
              </w:tabs>
              <w:adjustRightInd w:val="0"/>
              <w:spacing w:line="360" w:lineRule="exact"/>
              <w:jc w:val="center"/>
              <w:rPr>
                <w:rFonts w:ascii="宋体" w:hAnsi="宋体"/>
                <w:color w:val="auto"/>
                <w:sz w:val="22"/>
                <w:highlight w:val="none"/>
              </w:rPr>
            </w:pPr>
            <w:r>
              <w:rPr>
                <w:rFonts w:hint="eastAsia" w:ascii="宋体" w:hAnsi="宋体" w:eastAsia="宋体" w:cs="宋体"/>
                <w:color w:val="auto"/>
                <w:sz w:val="24"/>
                <w:highlight w:val="none"/>
              </w:rPr>
              <w:t>㎡</w:t>
            </w:r>
          </w:p>
        </w:tc>
        <w:tc>
          <w:tcPr>
            <w:tcW w:w="850" w:type="dxa"/>
            <w:tcBorders>
              <w:top w:val="single" w:color="auto" w:sz="4" w:space="0"/>
              <w:left w:val="nil"/>
              <w:bottom w:val="single" w:color="auto" w:sz="4" w:space="0"/>
              <w:right w:val="single" w:color="auto" w:sz="4" w:space="0"/>
            </w:tcBorders>
            <w:vAlign w:val="center"/>
          </w:tcPr>
          <w:p w14:paraId="7C5202CB">
            <w:pPr>
              <w:tabs>
                <w:tab w:val="left" w:pos="0"/>
                <w:tab w:val="left" w:pos="2324"/>
              </w:tabs>
              <w:adjustRightInd w:val="0"/>
              <w:spacing w:line="360" w:lineRule="exact"/>
              <w:jc w:val="center"/>
              <w:rPr>
                <w:rFonts w:ascii="宋体" w:hAnsi="宋体"/>
                <w:color w:val="auto"/>
                <w:sz w:val="22"/>
                <w:highlight w:val="none"/>
              </w:rPr>
            </w:pPr>
            <w:r>
              <w:rPr>
                <w:rFonts w:hint="eastAsia" w:ascii="宋体" w:hAnsi="宋体"/>
                <w:color w:val="auto"/>
                <w:sz w:val="24"/>
                <w:highlight w:val="none"/>
                <w:lang w:val="en-US" w:eastAsia="zh-CN"/>
              </w:rPr>
              <w:t>1549</w:t>
            </w:r>
          </w:p>
        </w:tc>
        <w:tc>
          <w:tcPr>
            <w:tcW w:w="887" w:type="dxa"/>
            <w:tcBorders>
              <w:top w:val="single" w:color="auto" w:sz="4" w:space="0"/>
              <w:left w:val="nil"/>
              <w:bottom w:val="single" w:color="auto" w:sz="4" w:space="0"/>
              <w:right w:val="single" w:color="auto" w:sz="4" w:space="0"/>
            </w:tcBorders>
            <w:vAlign w:val="center"/>
          </w:tcPr>
          <w:p w14:paraId="074C64FF">
            <w:pPr>
              <w:tabs>
                <w:tab w:val="left" w:pos="0"/>
                <w:tab w:val="left" w:pos="2324"/>
              </w:tabs>
              <w:adjustRightInd w:val="0"/>
              <w:spacing w:line="360" w:lineRule="exact"/>
              <w:jc w:val="center"/>
              <w:rPr>
                <w:rFonts w:ascii="宋体" w:hAnsi="宋体"/>
                <w:color w:val="auto"/>
                <w:sz w:val="22"/>
                <w:highlight w:val="none"/>
              </w:rPr>
            </w:pPr>
          </w:p>
        </w:tc>
        <w:tc>
          <w:tcPr>
            <w:tcW w:w="975" w:type="dxa"/>
            <w:tcBorders>
              <w:top w:val="single" w:color="auto" w:sz="4" w:space="0"/>
              <w:left w:val="nil"/>
              <w:bottom w:val="single" w:color="auto" w:sz="4" w:space="0"/>
              <w:right w:val="single" w:color="auto" w:sz="4" w:space="0"/>
            </w:tcBorders>
            <w:vAlign w:val="center"/>
          </w:tcPr>
          <w:p w14:paraId="521DABB2">
            <w:pPr>
              <w:keepNext w:val="0"/>
              <w:keepLines w:val="0"/>
              <w:widowControl/>
              <w:suppressLineNumbers w:val="0"/>
              <w:jc w:val="center"/>
              <w:textAlignment w:val="center"/>
              <w:rPr>
                <w:rFonts w:ascii="宋体" w:hAnsi="宋体"/>
                <w:color w:val="auto"/>
                <w:sz w:val="22"/>
                <w:highlight w:val="none"/>
              </w:rPr>
            </w:pPr>
            <w:r>
              <w:rPr>
                <w:rFonts w:hint="eastAsia" w:ascii="宋体" w:hAnsi="宋体" w:eastAsia="宋体" w:cs="宋体"/>
                <w:i w:val="0"/>
                <w:iCs w:val="0"/>
                <w:color w:val="auto"/>
                <w:kern w:val="0"/>
                <w:sz w:val="24"/>
                <w:szCs w:val="24"/>
                <w:highlight w:val="none"/>
                <w:u w:val="none"/>
                <w:lang w:val="en-US" w:eastAsia="zh-CN" w:bidi="ar"/>
              </w:rPr>
              <w:t>270</w:t>
            </w:r>
          </w:p>
        </w:tc>
        <w:tc>
          <w:tcPr>
            <w:tcW w:w="1398" w:type="dxa"/>
            <w:tcBorders>
              <w:top w:val="single" w:color="auto" w:sz="4" w:space="0"/>
              <w:left w:val="nil"/>
              <w:bottom w:val="single" w:color="auto" w:sz="4" w:space="0"/>
              <w:right w:val="single" w:color="auto" w:sz="4" w:space="0"/>
            </w:tcBorders>
            <w:vAlign w:val="center"/>
          </w:tcPr>
          <w:p w14:paraId="5205A22F">
            <w:pPr>
              <w:keepNext w:val="0"/>
              <w:keepLines w:val="0"/>
              <w:widowControl/>
              <w:suppressLineNumbers w:val="0"/>
              <w:jc w:val="center"/>
              <w:textAlignment w:val="center"/>
              <w:rPr>
                <w:rFonts w:ascii="宋体" w:hAnsi="宋体"/>
                <w:color w:val="auto"/>
                <w:sz w:val="22"/>
                <w:highlight w:val="none"/>
              </w:rPr>
            </w:pPr>
            <w:r>
              <w:rPr>
                <w:rFonts w:hint="eastAsia" w:ascii="宋体" w:hAnsi="宋体" w:eastAsia="宋体" w:cs="宋体"/>
                <w:i w:val="0"/>
                <w:iCs w:val="0"/>
                <w:color w:val="auto"/>
                <w:kern w:val="0"/>
                <w:sz w:val="24"/>
                <w:szCs w:val="24"/>
                <w:highlight w:val="none"/>
                <w:u w:val="none"/>
                <w:lang w:val="en-US" w:eastAsia="zh-CN" w:bidi="ar"/>
              </w:rPr>
              <w:t>418230</w:t>
            </w:r>
          </w:p>
        </w:tc>
        <w:tc>
          <w:tcPr>
            <w:tcW w:w="851" w:type="dxa"/>
            <w:tcBorders>
              <w:top w:val="single" w:color="auto" w:sz="4" w:space="0"/>
              <w:left w:val="nil"/>
              <w:bottom w:val="single" w:color="auto" w:sz="4" w:space="0"/>
              <w:right w:val="single" w:color="auto" w:sz="4" w:space="0"/>
            </w:tcBorders>
            <w:vAlign w:val="center"/>
          </w:tcPr>
          <w:p w14:paraId="02DC5FC4">
            <w:pPr>
              <w:tabs>
                <w:tab w:val="left" w:pos="0"/>
                <w:tab w:val="left" w:pos="2324"/>
              </w:tabs>
              <w:adjustRightInd w:val="0"/>
              <w:spacing w:line="360" w:lineRule="exact"/>
              <w:jc w:val="center"/>
              <w:rPr>
                <w:rFonts w:ascii="方正仿宋_GBK" w:hAnsi="宋体" w:eastAsia="方正仿宋_GBK"/>
                <w:color w:val="auto"/>
                <w:sz w:val="22"/>
                <w:highlight w:val="none"/>
              </w:rPr>
            </w:pPr>
          </w:p>
        </w:tc>
        <w:tc>
          <w:tcPr>
            <w:tcW w:w="1134" w:type="dxa"/>
            <w:tcBorders>
              <w:top w:val="single" w:color="auto" w:sz="4" w:space="0"/>
              <w:left w:val="nil"/>
              <w:bottom w:val="single" w:color="auto" w:sz="4" w:space="0"/>
              <w:right w:val="single" w:color="auto" w:sz="4" w:space="0"/>
            </w:tcBorders>
            <w:vAlign w:val="center"/>
          </w:tcPr>
          <w:p w14:paraId="5205225E">
            <w:pPr>
              <w:tabs>
                <w:tab w:val="left" w:pos="0"/>
                <w:tab w:val="left" w:pos="2324"/>
              </w:tabs>
              <w:adjustRightInd w:val="0"/>
              <w:spacing w:line="360" w:lineRule="exact"/>
              <w:jc w:val="center"/>
              <w:rPr>
                <w:rFonts w:ascii="宋体" w:hAnsi="宋体"/>
                <w:color w:val="auto"/>
                <w:sz w:val="22"/>
                <w:highlight w:val="none"/>
              </w:rPr>
            </w:pPr>
          </w:p>
        </w:tc>
        <w:tc>
          <w:tcPr>
            <w:tcW w:w="1843" w:type="dxa"/>
            <w:tcBorders>
              <w:top w:val="single" w:color="auto" w:sz="4" w:space="0"/>
              <w:left w:val="nil"/>
              <w:bottom w:val="single" w:color="auto" w:sz="4" w:space="0"/>
              <w:right w:val="single" w:color="auto" w:sz="4" w:space="0"/>
            </w:tcBorders>
            <w:vAlign w:val="center"/>
          </w:tcPr>
          <w:p w14:paraId="18D1E032">
            <w:pPr>
              <w:tabs>
                <w:tab w:val="left" w:pos="0"/>
                <w:tab w:val="left" w:pos="2324"/>
              </w:tabs>
              <w:adjustRightInd w:val="0"/>
              <w:spacing w:line="360" w:lineRule="exact"/>
              <w:jc w:val="center"/>
              <w:rPr>
                <w:rFonts w:ascii="宋体" w:hAnsi="宋体"/>
                <w:color w:val="auto"/>
                <w:sz w:val="22"/>
                <w:highlight w:val="none"/>
              </w:rPr>
            </w:pPr>
          </w:p>
        </w:tc>
      </w:tr>
      <w:tr w14:paraId="0F2DEEF1">
        <w:tblPrEx>
          <w:tblCellMar>
            <w:top w:w="0" w:type="dxa"/>
            <w:left w:w="108" w:type="dxa"/>
            <w:bottom w:w="0" w:type="dxa"/>
            <w:right w:w="108" w:type="dxa"/>
          </w:tblCellMar>
        </w:tblPrEx>
        <w:trPr>
          <w:trHeight w:val="835" w:hRule="atLeast"/>
        </w:trPr>
        <w:tc>
          <w:tcPr>
            <w:tcW w:w="1135" w:type="dxa"/>
            <w:tcBorders>
              <w:top w:val="single" w:color="auto" w:sz="4" w:space="0"/>
              <w:left w:val="single" w:color="auto" w:sz="4" w:space="0"/>
              <w:bottom w:val="single" w:color="auto" w:sz="4" w:space="0"/>
              <w:right w:val="single" w:color="auto" w:sz="4" w:space="0"/>
            </w:tcBorders>
            <w:vAlign w:val="center"/>
          </w:tcPr>
          <w:p w14:paraId="409ED43C">
            <w:pPr>
              <w:tabs>
                <w:tab w:val="left" w:pos="0"/>
                <w:tab w:val="left" w:pos="2324"/>
              </w:tabs>
              <w:adjustRightInd w:val="0"/>
              <w:spacing w:line="360" w:lineRule="exact"/>
              <w:jc w:val="center"/>
              <w:rPr>
                <w:rFonts w:ascii="宋体" w:hAnsi="宋体"/>
                <w:color w:val="auto"/>
                <w:sz w:val="22"/>
                <w:highlight w:val="none"/>
              </w:rPr>
            </w:pPr>
            <w:r>
              <w:rPr>
                <w:rFonts w:hint="eastAsia" w:ascii="宋体" w:hAnsi="宋体"/>
                <w:color w:val="auto"/>
                <w:sz w:val="24"/>
                <w:highlight w:val="none"/>
                <w:lang w:val="en-US" w:eastAsia="zh-CN"/>
              </w:rPr>
              <w:t>钢质节能外门</w:t>
            </w:r>
          </w:p>
        </w:tc>
        <w:tc>
          <w:tcPr>
            <w:tcW w:w="567" w:type="dxa"/>
            <w:tcBorders>
              <w:top w:val="single" w:color="auto" w:sz="4" w:space="0"/>
              <w:left w:val="nil"/>
              <w:bottom w:val="single" w:color="auto" w:sz="4" w:space="0"/>
              <w:right w:val="single" w:color="auto" w:sz="4" w:space="0"/>
            </w:tcBorders>
            <w:vAlign w:val="center"/>
          </w:tcPr>
          <w:p w14:paraId="11B3CFB4">
            <w:pPr>
              <w:tabs>
                <w:tab w:val="left" w:pos="0"/>
                <w:tab w:val="left" w:pos="2324"/>
              </w:tabs>
              <w:adjustRightInd w:val="0"/>
              <w:spacing w:line="360" w:lineRule="exact"/>
              <w:jc w:val="center"/>
              <w:rPr>
                <w:rFonts w:ascii="宋体" w:hAnsi="宋体"/>
                <w:color w:val="auto"/>
                <w:sz w:val="22"/>
                <w:highlight w:val="none"/>
              </w:rPr>
            </w:pPr>
            <w:r>
              <w:rPr>
                <w:rFonts w:hint="eastAsia" w:ascii="宋体" w:hAnsi="宋体" w:eastAsia="宋体" w:cs="宋体"/>
                <w:color w:val="auto"/>
                <w:sz w:val="24"/>
                <w:highlight w:val="none"/>
              </w:rPr>
              <w:t>㎡</w:t>
            </w:r>
          </w:p>
        </w:tc>
        <w:tc>
          <w:tcPr>
            <w:tcW w:w="850" w:type="dxa"/>
            <w:tcBorders>
              <w:top w:val="single" w:color="auto" w:sz="4" w:space="0"/>
              <w:left w:val="nil"/>
              <w:bottom w:val="single" w:color="auto" w:sz="4" w:space="0"/>
              <w:right w:val="single" w:color="auto" w:sz="4" w:space="0"/>
            </w:tcBorders>
            <w:vAlign w:val="center"/>
          </w:tcPr>
          <w:p w14:paraId="34A3802A">
            <w:pPr>
              <w:tabs>
                <w:tab w:val="left" w:pos="0"/>
                <w:tab w:val="left" w:pos="2324"/>
              </w:tabs>
              <w:adjustRightInd w:val="0"/>
              <w:spacing w:line="360" w:lineRule="exact"/>
              <w:jc w:val="center"/>
              <w:rPr>
                <w:rFonts w:ascii="宋体" w:hAnsi="宋体"/>
                <w:color w:val="auto"/>
                <w:sz w:val="22"/>
                <w:highlight w:val="none"/>
              </w:rPr>
            </w:pPr>
            <w:r>
              <w:rPr>
                <w:rFonts w:hint="eastAsia" w:ascii="宋体" w:hAnsi="宋体"/>
                <w:color w:val="auto"/>
                <w:sz w:val="24"/>
                <w:highlight w:val="none"/>
                <w:lang w:val="en-US" w:eastAsia="zh-CN"/>
              </w:rPr>
              <w:t>1983</w:t>
            </w:r>
          </w:p>
        </w:tc>
        <w:tc>
          <w:tcPr>
            <w:tcW w:w="887" w:type="dxa"/>
            <w:tcBorders>
              <w:top w:val="single" w:color="auto" w:sz="4" w:space="0"/>
              <w:left w:val="nil"/>
              <w:bottom w:val="single" w:color="auto" w:sz="4" w:space="0"/>
              <w:right w:val="single" w:color="auto" w:sz="4" w:space="0"/>
            </w:tcBorders>
            <w:vAlign w:val="center"/>
          </w:tcPr>
          <w:p w14:paraId="3385C784">
            <w:pPr>
              <w:tabs>
                <w:tab w:val="left" w:pos="0"/>
                <w:tab w:val="left" w:pos="2324"/>
              </w:tabs>
              <w:adjustRightInd w:val="0"/>
              <w:spacing w:line="360" w:lineRule="exact"/>
              <w:jc w:val="center"/>
              <w:rPr>
                <w:rFonts w:ascii="宋体" w:hAnsi="宋体"/>
                <w:color w:val="auto"/>
                <w:sz w:val="22"/>
                <w:highlight w:val="none"/>
              </w:rPr>
            </w:pPr>
          </w:p>
        </w:tc>
        <w:tc>
          <w:tcPr>
            <w:tcW w:w="975" w:type="dxa"/>
            <w:tcBorders>
              <w:top w:val="single" w:color="auto" w:sz="4" w:space="0"/>
              <w:left w:val="nil"/>
              <w:bottom w:val="single" w:color="auto" w:sz="4" w:space="0"/>
              <w:right w:val="single" w:color="auto" w:sz="4" w:space="0"/>
            </w:tcBorders>
            <w:vAlign w:val="center"/>
          </w:tcPr>
          <w:p w14:paraId="6616C268">
            <w:pPr>
              <w:keepNext w:val="0"/>
              <w:keepLines w:val="0"/>
              <w:widowControl/>
              <w:suppressLineNumbers w:val="0"/>
              <w:jc w:val="center"/>
              <w:textAlignment w:val="center"/>
              <w:rPr>
                <w:rFonts w:ascii="宋体" w:hAnsi="宋体"/>
                <w:color w:val="auto"/>
                <w:sz w:val="22"/>
                <w:highlight w:val="none"/>
              </w:rPr>
            </w:pPr>
            <w:r>
              <w:rPr>
                <w:rFonts w:hint="eastAsia" w:ascii="宋体" w:hAnsi="宋体" w:eastAsia="宋体" w:cs="宋体"/>
                <w:i w:val="0"/>
                <w:iCs w:val="0"/>
                <w:color w:val="auto"/>
                <w:kern w:val="0"/>
                <w:sz w:val="24"/>
                <w:szCs w:val="24"/>
                <w:highlight w:val="none"/>
                <w:u w:val="none"/>
                <w:lang w:val="en-US" w:eastAsia="zh-CN" w:bidi="ar"/>
              </w:rPr>
              <w:t>314</w:t>
            </w:r>
          </w:p>
        </w:tc>
        <w:tc>
          <w:tcPr>
            <w:tcW w:w="1398" w:type="dxa"/>
            <w:tcBorders>
              <w:top w:val="single" w:color="auto" w:sz="4" w:space="0"/>
              <w:left w:val="nil"/>
              <w:bottom w:val="single" w:color="auto" w:sz="4" w:space="0"/>
              <w:right w:val="single" w:color="auto" w:sz="4" w:space="0"/>
            </w:tcBorders>
            <w:vAlign w:val="center"/>
          </w:tcPr>
          <w:p w14:paraId="4350F55C">
            <w:pPr>
              <w:keepNext w:val="0"/>
              <w:keepLines w:val="0"/>
              <w:widowControl/>
              <w:suppressLineNumbers w:val="0"/>
              <w:jc w:val="center"/>
              <w:textAlignment w:val="center"/>
              <w:rPr>
                <w:rFonts w:ascii="宋体" w:hAnsi="宋体"/>
                <w:color w:val="auto"/>
                <w:sz w:val="22"/>
                <w:highlight w:val="none"/>
              </w:rPr>
            </w:pPr>
            <w:r>
              <w:rPr>
                <w:rFonts w:hint="eastAsia" w:ascii="宋体" w:hAnsi="宋体" w:eastAsia="宋体" w:cs="宋体"/>
                <w:i w:val="0"/>
                <w:iCs w:val="0"/>
                <w:color w:val="auto"/>
                <w:kern w:val="0"/>
                <w:sz w:val="24"/>
                <w:szCs w:val="24"/>
                <w:highlight w:val="none"/>
                <w:u w:val="none"/>
                <w:lang w:val="en-US" w:eastAsia="zh-CN" w:bidi="ar"/>
              </w:rPr>
              <w:t>622662</w:t>
            </w:r>
          </w:p>
        </w:tc>
        <w:tc>
          <w:tcPr>
            <w:tcW w:w="851" w:type="dxa"/>
            <w:tcBorders>
              <w:top w:val="single" w:color="auto" w:sz="4" w:space="0"/>
              <w:left w:val="nil"/>
              <w:bottom w:val="single" w:color="auto" w:sz="4" w:space="0"/>
              <w:right w:val="single" w:color="auto" w:sz="4" w:space="0"/>
            </w:tcBorders>
            <w:vAlign w:val="center"/>
          </w:tcPr>
          <w:p w14:paraId="68819C34">
            <w:pPr>
              <w:tabs>
                <w:tab w:val="left" w:pos="0"/>
                <w:tab w:val="left" w:pos="2324"/>
              </w:tabs>
              <w:adjustRightInd w:val="0"/>
              <w:spacing w:line="360" w:lineRule="exact"/>
              <w:jc w:val="center"/>
              <w:rPr>
                <w:rFonts w:ascii="方正仿宋_GBK" w:hAnsi="宋体" w:eastAsia="方正仿宋_GBK"/>
                <w:color w:val="auto"/>
                <w:sz w:val="22"/>
                <w:highlight w:val="none"/>
              </w:rPr>
            </w:pPr>
          </w:p>
        </w:tc>
        <w:tc>
          <w:tcPr>
            <w:tcW w:w="1134" w:type="dxa"/>
            <w:tcBorders>
              <w:top w:val="single" w:color="auto" w:sz="4" w:space="0"/>
              <w:left w:val="nil"/>
              <w:bottom w:val="single" w:color="auto" w:sz="4" w:space="0"/>
              <w:right w:val="single" w:color="auto" w:sz="4" w:space="0"/>
            </w:tcBorders>
            <w:vAlign w:val="center"/>
          </w:tcPr>
          <w:p w14:paraId="29A14ED6">
            <w:pPr>
              <w:tabs>
                <w:tab w:val="left" w:pos="0"/>
                <w:tab w:val="left" w:pos="2324"/>
              </w:tabs>
              <w:adjustRightInd w:val="0"/>
              <w:spacing w:line="360" w:lineRule="exact"/>
              <w:jc w:val="center"/>
              <w:rPr>
                <w:rFonts w:ascii="宋体" w:hAnsi="宋体"/>
                <w:color w:val="auto"/>
                <w:sz w:val="22"/>
                <w:highlight w:val="none"/>
              </w:rPr>
            </w:pPr>
          </w:p>
        </w:tc>
        <w:tc>
          <w:tcPr>
            <w:tcW w:w="1843" w:type="dxa"/>
            <w:tcBorders>
              <w:top w:val="single" w:color="auto" w:sz="4" w:space="0"/>
              <w:left w:val="nil"/>
              <w:bottom w:val="single" w:color="auto" w:sz="4" w:space="0"/>
              <w:right w:val="single" w:color="auto" w:sz="4" w:space="0"/>
            </w:tcBorders>
            <w:vAlign w:val="center"/>
          </w:tcPr>
          <w:p w14:paraId="69936189">
            <w:pPr>
              <w:tabs>
                <w:tab w:val="left" w:pos="0"/>
                <w:tab w:val="left" w:pos="2324"/>
              </w:tabs>
              <w:adjustRightInd w:val="0"/>
              <w:spacing w:line="360" w:lineRule="exact"/>
              <w:jc w:val="center"/>
              <w:rPr>
                <w:rFonts w:ascii="宋体" w:hAnsi="宋体"/>
                <w:color w:val="auto"/>
                <w:sz w:val="22"/>
                <w:highlight w:val="none"/>
              </w:rPr>
            </w:pPr>
            <w:r>
              <w:rPr>
                <w:rFonts w:hint="eastAsia" w:ascii="宋体" w:hAnsi="宋体"/>
                <w:color w:val="auto"/>
                <w:sz w:val="24"/>
                <w:highlight w:val="none"/>
                <w:lang w:val="en-US" w:eastAsia="zh-CN"/>
              </w:rPr>
              <w:t>材质厚度框1.2mm，扇0.8mm，中间为节能材料，外带边，颜色棕色，满足节能要求</w:t>
            </w:r>
          </w:p>
        </w:tc>
      </w:tr>
      <w:tr w14:paraId="0B8AD138">
        <w:tblPrEx>
          <w:tblCellMar>
            <w:top w:w="0" w:type="dxa"/>
            <w:left w:w="108" w:type="dxa"/>
            <w:bottom w:w="0" w:type="dxa"/>
            <w:right w:w="108" w:type="dxa"/>
          </w:tblCellMar>
        </w:tblPrEx>
        <w:trPr>
          <w:trHeight w:val="848" w:hRule="atLeast"/>
        </w:trPr>
        <w:tc>
          <w:tcPr>
            <w:tcW w:w="1135" w:type="dxa"/>
            <w:tcBorders>
              <w:top w:val="single" w:color="auto" w:sz="4" w:space="0"/>
              <w:left w:val="single" w:color="auto" w:sz="4" w:space="0"/>
              <w:bottom w:val="single" w:color="auto" w:sz="4" w:space="0"/>
              <w:right w:val="single" w:color="auto" w:sz="4" w:space="0"/>
            </w:tcBorders>
            <w:vAlign w:val="center"/>
          </w:tcPr>
          <w:p w14:paraId="14237B22">
            <w:pPr>
              <w:tabs>
                <w:tab w:val="left" w:pos="0"/>
                <w:tab w:val="left" w:pos="2324"/>
              </w:tabs>
              <w:adjustRightInd w:val="0"/>
              <w:spacing w:line="360" w:lineRule="exact"/>
              <w:jc w:val="center"/>
              <w:rPr>
                <w:rFonts w:ascii="方正仿宋_GBK" w:hAnsi="宋体" w:eastAsia="方正仿宋_GBK"/>
                <w:color w:val="auto"/>
                <w:sz w:val="22"/>
                <w:highlight w:val="none"/>
              </w:rPr>
            </w:pPr>
            <w:r>
              <w:rPr>
                <w:rFonts w:hint="eastAsia" w:ascii="方正仿宋_GBK" w:hAnsi="宋体" w:eastAsia="方正仿宋_GBK"/>
                <w:color w:val="auto"/>
                <w:sz w:val="22"/>
                <w:highlight w:val="none"/>
              </w:rPr>
              <w:t>总计</w:t>
            </w:r>
          </w:p>
        </w:tc>
        <w:tc>
          <w:tcPr>
            <w:tcW w:w="567" w:type="dxa"/>
            <w:tcBorders>
              <w:top w:val="single" w:color="auto" w:sz="4" w:space="0"/>
              <w:left w:val="nil"/>
              <w:bottom w:val="single" w:color="auto" w:sz="4" w:space="0"/>
              <w:right w:val="single" w:color="auto" w:sz="4" w:space="0"/>
            </w:tcBorders>
            <w:vAlign w:val="center"/>
          </w:tcPr>
          <w:p w14:paraId="0A4553EF">
            <w:pPr>
              <w:tabs>
                <w:tab w:val="left" w:pos="0"/>
                <w:tab w:val="left" w:pos="2324"/>
              </w:tabs>
              <w:adjustRightInd w:val="0"/>
              <w:spacing w:line="360" w:lineRule="exact"/>
              <w:jc w:val="center"/>
              <w:rPr>
                <w:rFonts w:ascii="方正仿宋_GBK" w:hAnsi="宋体" w:eastAsia="方正仿宋_GBK"/>
                <w:color w:val="auto"/>
                <w:sz w:val="22"/>
                <w:highlight w:val="none"/>
              </w:rPr>
            </w:pPr>
          </w:p>
        </w:tc>
        <w:tc>
          <w:tcPr>
            <w:tcW w:w="850" w:type="dxa"/>
            <w:tcBorders>
              <w:top w:val="single" w:color="auto" w:sz="4" w:space="0"/>
              <w:left w:val="nil"/>
              <w:bottom w:val="single" w:color="auto" w:sz="4" w:space="0"/>
              <w:right w:val="single" w:color="auto" w:sz="4" w:space="0"/>
            </w:tcBorders>
            <w:vAlign w:val="center"/>
          </w:tcPr>
          <w:p w14:paraId="13EDCC58">
            <w:pPr>
              <w:tabs>
                <w:tab w:val="left" w:pos="0"/>
                <w:tab w:val="left" w:pos="2324"/>
              </w:tabs>
              <w:adjustRightInd w:val="0"/>
              <w:spacing w:line="360" w:lineRule="exact"/>
              <w:jc w:val="center"/>
              <w:rPr>
                <w:rFonts w:ascii="方正仿宋_GBK" w:hAnsi="宋体" w:eastAsia="方正仿宋_GBK"/>
                <w:color w:val="auto"/>
                <w:sz w:val="22"/>
                <w:highlight w:val="none"/>
              </w:rPr>
            </w:pPr>
          </w:p>
        </w:tc>
        <w:tc>
          <w:tcPr>
            <w:tcW w:w="887" w:type="dxa"/>
            <w:tcBorders>
              <w:top w:val="single" w:color="auto" w:sz="4" w:space="0"/>
              <w:left w:val="nil"/>
              <w:bottom w:val="single" w:color="auto" w:sz="4" w:space="0"/>
              <w:right w:val="single" w:color="auto" w:sz="4" w:space="0"/>
            </w:tcBorders>
            <w:vAlign w:val="center"/>
          </w:tcPr>
          <w:p w14:paraId="4D9FB25A">
            <w:pPr>
              <w:tabs>
                <w:tab w:val="left" w:pos="0"/>
                <w:tab w:val="left" w:pos="2324"/>
              </w:tabs>
              <w:adjustRightInd w:val="0"/>
              <w:spacing w:line="360" w:lineRule="exact"/>
              <w:jc w:val="center"/>
              <w:rPr>
                <w:rFonts w:ascii="方正仿宋_GBK" w:hAnsi="宋体" w:eastAsia="方正仿宋_GBK"/>
                <w:color w:val="auto"/>
                <w:sz w:val="22"/>
                <w:highlight w:val="none"/>
              </w:rPr>
            </w:pPr>
          </w:p>
        </w:tc>
        <w:tc>
          <w:tcPr>
            <w:tcW w:w="975" w:type="dxa"/>
            <w:tcBorders>
              <w:top w:val="single" w:color="auto" w:sz="4" w:space="0"/>
              <w:left w:val="nil"/>
              <w:bottom w:val="single" w:color="auto" w:sz="4" w:space="0"/>
              <w:right w:val="single" w:color="auto" w:sz="4" w:space="0"/>
            </w:tcBorders>
            <w:vAlign w:val="center"/>
          </w:tcPr>
          <w:p w14:paraId="3C9071A8">
            <w:pPr>
              <w:jc w:val="center"/>
              <w:rPr>
                <w:rFonts w:ascii="宋体" w:hAnsi="宋体"/>
                <w:color w:val="auto"/>
                <w:sz w:val="22"/>
                <w:highlight w:val="none"/>
              </w:rPr>
            </w:pPr>
          </w:p>
        </w:tc>
        <w:tc>
          <w:tcPr>
            <w:tcW w:w="1398" w:type="dxa"/>
            <w:tcBorders>
              <w:top w:val="single" w:color="auto" w:sz="4" w:space="0"/>
              <w:bottom w:val="single" w:color="auto" w:sz="4" w:space="0"/>
              <w:right w:val="single" w:color="auto" w:sz="4" w:space="0"/>
            </w:tcBorders>
            <w:vAlign w:val="center"/>
          </w:tcPr>
          <w:p w14:paraId="6D15F923">
            <w:pPr>
              <w:keepNext w:val="0"/>
              <w:keepLines w:val="0"/>
              <w:widowControl/>
              <w:suppressLineNumbers w:val="0"/>
              <w:jc w:val="center"/>
              <w:textAlignment w:val="center"/>
              <w:rPr>
                <w:rFonts w:ascii="宋体" w:hAnsi="宋体"/>
                <w:color w:val="auto"/>
                <w:sz w:val="22"/>
                <w:highlight w:val="none"/>
              </w:rPr>
            </w:pPr>
            <w:r>
              <w:rPr>
                <w:rFonts w:hint="eastAsia" w:ascii="宋体" w:hAnsi="宋体" w:eastAsia="宋体" w:cs="宋体"/>
                <w:i w:val="0"/>
                <w:iCs w:val="0"/>
                <w:color w:val="auto"/>
                <w:kern w:val="0"/>
                <w:sz w:val="24"/>
                <w:szCs w:val="24"/>
                <w:highlight w:val="none"/>
                <w:u w:val="none"/>
                <w:lang w:val="en-US" w:eastAsia="zh-CN" w:bidi="ar"/>
              </w:rPr>
              <w:t>1106039.5</w:t>
            </w:r>
          </w:p>
        </w:tc>
        <w:tc>
          <w:tcPr>
            <w:tcW w:w="851" w:type="dxa"/>
            <w:tcBorders>
              <w:top w:val="single" w:color="auto" w:sz="4" w:space="0"/>
              <w:bottom w:val="single" w:color="auto" w:sz="4" w:space="0"/>
              <w:right w:val="single" w:color="auto" w:sz="4" w:space="0"/>
            </w:tcBorders>
            <w:vAlign w:val="center"/>
          </w:tcPr>
          <w:p w14:paraId="38193A85">
            <w:pPr>
              <w:tabs>
                <w:tab w:val="left" w:pos="0"/>
                <w:tab w:val="left" w:pos="2324"/>
              </w:tabs>
              <w:adjustRightInd w:val="0"/>
              <w:spacing w:line="360" w:lineRule="exact"/>
              <w:jc w:val="center"/>
              <w:rPr>
                <w:rFonts w:ascii="方正仿宋_GBK" w:hAnsi="宋体" w:eastAsia="方正仿宋_GBK"/>
                <w:color w:val="auto"/>
                <w:sz w:val="22"/>
                <w:highlight w:val="none"/>
              </w:rPr>
            </w:pPr>
          </w:p>
        </w:tc>
        <w:tc>
          <w:tcPr>
            <w:tcW w:w="1134" w:type="dxa"/>
            <w:tcBorders>
              <w:top w:val="single" w:color="auto" w:sz="4" w:space="0"/>
              <w:bottom w:val="single" w:color="auto" w:sz="4" w:space="0"/>
              <w:right w:val="single" w:color="auto" w:sz="4" w:space="0"/>
            </w:tcBorders>
            <w:vAlign w:val="center"/>
          </w:tcPr>
          <w:p w14:paraId="720B1B43">
            <w:pPr>
              <w:tabs>
                <w:tab w:val="left" w:pos="0"/>
                <w:tab w:val="left" w:pos="2324"/>
              </w:tabs>
              <w:adjustRightInd w:val="0"/>
              <w:spacing w:line="360" w:lineRule="exact"/>
              <w:jc w:val="center"/>
              <w:rPr>
                <w:rFonts w:ascii="方正仿宋_GBK" w:hAnsi="宋体" w:eastAsia="方正仿宋_GBK"/>
                <w:color w:val="auto"/>
                <w:sz w:val="22"/>
                <w:highlight w:val="none"/>
              </w:rPr>
            </w:pPr>
          </w:p>
        </w:tc>
        <w:tc>
          <w:tcPr>
            <w:tcW w:w="1843" w:type="dxa"/>
            <w:tcBorders>
              <w:top w:val="single" w:color="auto" w:sz="4" w:space="0"/>
              <w:bottom w:val="single" w:color="auto" w:sz="4" w:space="0"/>
              <w:right w:val="single" w:color="auto" w:sz="4" w:space="0"/>
            </w:tcBorders>
            <w:vAlign w:val="center"/>
          </w:tcPr>
          <w:p w14:paraId="6D6AFCDF">
            <w:pPr>
              <w:tabs>
                <w:tab w:val="left" w:pos="0"/>
                <w:tab w:val="left" w:pos="2324"/>
              </w:tabs>
              <w:adjustRightInd w:val="0"/>
              <w:spacing w:line="360" w:lineRule="exact"/>
              <w:jc w:val="center"/>
              <w:rPr>
                <w:rFonts w:ascii="方正仿宋_GBK" w:hAnsi="宋体" w:eastAsia="方正仿宋_GBK"/>
                <w:color w:val="auto"/>
                <w:sz w:val="22"/>
                <w:highlight w:val="none"/>
              </w:rPr>
            </w:pPr>
          </w:p>
        </w:tc>
      </w:tr>
      <w:tr w14:paraId="7556736C">
        <w:tblPrEx>
          <w:tblCellMar>
            <w:top w:w="0" w:type="dxa"/>
            <w:left w:w="108" w:type="dxa"/>
            <w:bottom w:w="0" w:type="dxa"/>
            <w:right w:w="108" w:type="dxa"/>
          </w:tblCellMar>
        </w:tblPrEx>
        <w:trPr>
          <w:trHeight w:val="548" w:hRule="atLeast"/>
        </w:trPr>
        <w:tc>
          <w:tcPr>
            <w:tcW w:w="1135" w:type="dxa"/>
            <w:tcBorders>
              <w:top w:val="single" w:color="auto" w:sz="4" w:space="0"/>
              <w:left w:val="single" w:color="auto" w:sz="4" w:space="0"/>
              <w:bottom w:val="single" w:color="auto" w:sz="4" w:space="0"/>
              <w:right w:val="single" w:color="auto" w:sz="4" w:space="0"/>
            </w:tcBorders>
            <w:vAlign w:val="center"/>
          </w:tcPr>
          <w:p w14:paraId="11B7473C">
            <w:pPr>
              <w:tabs>
                <w:tab w:val="left" w:pos="0"/>
                <w:tab w:val="left" w:pos="2324"/>
              </w:tabs>
              <w:adjustRightInd w:val="0"/>
              <w:spacing w:line="360" w:lineRule="exact"/>
              <w:jc w:val="center"/>
              <w:rPr>
                <w:rFonts w:ascii="方正仿宋_GBK" w:hAnsi="宋体" w:eastAsia="方正仿宋_GBK"/>
                <w:color w:val="auto"/>
                <w:sz w:val="24"/>
                <w:highlight w:val="none"/>
              </w:rPr>
            </w:pPr>
            <w:r>
              <w:rPr>
                <w:rFonts w:hint="eastAsia" w:ascii="方正仿宋_GBK" w:hAnsi="宋体" w:eastAsia="方正仿宋_GBK"/>
                <w:color w:val="auto"/>
                <w:sz w:val="24"/>
                <w:highlight w:val="none"/>
              </w:rPr>
              <w:t>大写</w:t>
            </w:r>
          </w:p>
          <w:p w14:paraId="48B9FCFA">
            <w:pPr>
              <w:tabs>
                <w:tab w:val="left" w:pos="0"/>
                <w:tab w:val="left" w:pos="2324"/>
              </w:tabs>
              <w:adjustRightInd w:val="0"/>
              <w:spacing w:line="360" w:lineRule="exact"/>
              <w:jc w:val="center"/>
              <w:rPr>
                <w:rFonts w:ascii="方正仿宋_GBK" w:hAnsi="宋体" w:eastAsia="方正仿宋_GBK"/>
                <w:color w:val="auto"/>
                <w:sz w:val="24"/>
                <w:highlight w:val="none"/>
              </w:rPr>
            </w:pPr>
            <w:r>
              <w:rPr>
                <w:rFonts w:hint="eastAsia" w:ascii="方正仿宋_GBK" w:hAnsi="宋体" w:eastAsia="方正仿宋_GBK"/>
                <w:color w:val="auto"/>
                <w:sz w:val="24"/>
                <w:highlight w:val="none"/>
              </w:rPr>
              <w:t>（人民币）</w:t>
            </w:r>
          </w:p>
        </w:tc>
        <w:tc>
          <w:tcPr>
            <w:tcW w:w="8505" w:type="dxa"/>
            <w:gridSpan w:val="8"/>
            <w:tcBorders>
              <w:top w:val="single" w:color="auto" w:sz="4" w:space="0"/>
              <w:bottom w:val="single" w:color="auto" w:sz="4" w:space="0"/>
              <w:right w:val="single" w:color="auto" w:sz="4" w:space="0"/>
            </w:tcBorders>
            <w:vAlign w:val="center"/>
          </w:tcPr>
          <w:p w14:paraId="0CC28BD3">
            <w:pPr>
              <w:tabs>
                <w:tab w:val="left" w:pos="0"/>
                <w:tab w:val="left" w:pos="2324"/>
              </w:tabs>
              <w:adjustRightInd w:val="0"/>
              <w:spacing w:line="360" w:lineRule="exact"/>
              <w:jc w:val="center"/>
              <w:rPr>
                <w:rFonts w:ascii="方正仿宋_GBK" w:hAnsi="宋体" w:eastAsia="方正仿宋_GBK"/>
                <w:color w:val="auto"/>
                <w:sz w:val="24"/>
                <w:highlight w:val="none"/>
              </w:rPr>
            </w:pPr>
          </w:p>
        </w:tc>
      </w:tr>
    </w:tbl>
    <w:p w14:paraId="64E84FD7">
      <w:pPr>
        <w:spacing w:line="500" w:lineRule="exact"/>
        <w:rPr>
          <w:rFonts w:ascii="方正仿宋_GBK" w:hAnsi="宋体" w:eastAsia="方正仿宋_GBK"/>
          <w:bCs/>
          <w:color w:val="auto"/>
          <w:sz w:val="28"/>
          <w:szCs w:val="24"/>
          <w:highlight w:val="none"/>
        </w:rPr>
      </w:pPr>
      <w:r>
        <w:rPr>
          <w:rFonts w:hint="eastAsia" w:ascii="方正仿宋_GBK" w:hAnsi="宋体" w:eastAsia="方正仿宋_GBK"/>
          <w:bCs/>
          <w:color w:val="auto"/>
          <w:sz w:val="28"/>
          <w:szCs w:val="24"/>
          <w:highlight w:val="none"/>
        </w:rPr>
        <w:t>报价要求：</w:t>
      </w:r>
    </w:p>
    <w:p w14:paraId="5C0B1FFD">
      <w:pPr>
        <w:tabs>
          <w:tab w:val="left" w:pos="5250"/>
        </w:tabs>
        <w:spacing w:line="500" w:lineRule="exact"/>
        <w:ind w:firstLine="560" w:firstLineChars="200"/>
        <w:rPr>
          <w:rFonts w:ascii="方正仿宋_GBK" w:eastAsia="方正仿宋_GBK"/>
          <w:color w:val="auto"/>
          <w:sz w:val="28"/>
          <w:szCs w:val="24"/>
          <w:highlight w:val="none"/>
        </w:rPr>
      </w:pPr>
      <w:r>
        <w:rPr>
          <w:rFonts w:hint="eastAsia" w:ascii="方正仿宋_GBK" w:hAnsi="宋体" w:eastAsia="方正仿宋_GBK"/>
          <w:color w:val="auto"/>
          <w:sz w:val="28"/>
          <w:highlight w:val="none"/>
        </w:rPr>
        <w:t>1、以上报价要求：</w:t>
      </w:r>
      <w:r>
        <w:rPr>
          <w:rFonts w:hint="eastAsia" w:ascii="方正仿宋_GBK" w:eastAsia="方正仿宋_GBK"/>
          <w:color w:val="auto"/>
          <w:sz w:val="28"/>
          <w:szCs w:val="24"/>
          <w:highlight w:val="none"/>
        </w:rPr>
        <w:t>人工费、安装费、材料费、辅材费、水泥砂浆灌浆费、产品运输费、机械费、税金及五金件、装卸费、安装过程中的第二次转运费等所用费用；</w:t>
      </w:r>
    </w:p>
    <w:p w14:paraId="1A659982">
      <w:pPr>
        <w:tabs>
          <w:tab w:val="left" w:pos="0"/>
          <w:tab w:val="left" w:pos="2324"/>
        </w:tabs>
        <w:adjustRightInd w:val="0"/>
        <w:spacing w:line="500" w:lineRule="exact"/>
        <w:ind w:firstLine="719" w:firstLineChars="257"/>
        <w:rPr>
          <w:rFonts w:ascii="方正仿宋_GBK" w:hAnsi="宋体" w:eastAsia="方正仿宋_GBK"/>
          <w:color w:val="auto"/>
          <w:sz w:val="28"/>
          <w:highlight w:val="none"/>
        </w:rPr>
      </w:pPr>
      <w:r>
        <w:rPr>
          <w:rFonts w:hint="eastAsia" w:ascii="方正仿宋_GBK" w:hAnsi="宋体" w:eastAsia="方正仿宋_GBK"/>
          <w:color w:val="auto"/>
          <w:sz w:val="28"/>
          <w:highlight w:val="none"/>
        </w:rPr>
        <w:t>2、报价表要求填写所供品牌或生产厂家、单价、大小写合计。</w:t>
      </w:r>
    </w:p>
    <w:p w14:paraId="39E3CDF9">
      <w:pPr>
        <w:tabs>
          <w:tab w:val="left" w:pos="0"/>
          <w:tab w:val="left" w:pos="2324"/>
        </w:tabs>
        <w:adjustRightInd w:val="0"/>
        <w:spacing w:line="500" w:lineRule="exact"/>
        <w:ind w:firstLine="719" w:firstLineChars="257"/>
        <w:rPr>
          <w:rFonts w:ascii="方正仿宋_GBK" w:hAnsi="宋体" w:eastAsia="方正仿宋_GBK"/>
          <w:color w:val="auto"/>
          <w:sz w:val="28"/>
          <w:highlight w:val="none"/>
        </w:rPr>
      </w:pPr>
      <w:r>
        <w:rPr>
          <w:rFonts w:hint="eastAsia" w:ascii="方正仿宋_GBK" w:hAnsi="宋体" w:eastAsia="方正仿宋_GBK"/>
          <w:color w:val="auto"/>
          <w:sz w:val="28"/>
          <w:highlight w:val="none"/>
        </w:rPr>
        <w:t>3、报价表上要求盖上报价单位公章、法定代表人或委托代理人签字，并填写联系人及联系电话。</w:t>
      </w:r>
    </w:p>
    <w:p w14:paraId="3B048B58">
      <w:pPr>
        <w:spacing w:line="500" w:lineRule="exact"/>
        <w:ind w:firstLine="4620" w:firstLineChars="1650"/>
        <w:rPr>
          <w:rFonts w:ascii="方正仿宋_GBK" w:hAnsi="宋体" w:eastAsia="方正仿宋_GBK"/>
          <w:bCs/>
          <w:color w:val="auto"/>
          <w:sz w:val="28"/>
          <w:highlight w:val="none"/>
        </w:rPr>
      </w:pPr>
      <w:r>
        <w:rPr>
          <w:rFonts w:hint="eastAsia" w:ascii="方正仿宋_GBK" w:hAnsi="宋体" w:eastAsia="方正仿宋_GBK"/>
          <w:bCs/>
          <w:color w:val="auto"/>
          <w:sz w:val="28"/>
          <w:highlight w:val="none"/>
        </w:rPr>
        <w:t>竞选人盖章：</w:t>
      </w:r>
      <w:r>
        <w:rPr>
          <w:rFonts w:hint="eastAsia" w:ascii="方正仿宋_GBK" w:hAnsi="宋体" w:eastAsia="方正仿宋_GBK"/>
          <w:bCs/>
          <w:color w:val="auto"/>
          <w:sz w:val="28"/>
          <w:highlight w:val="none"/>
          <w:u w:val="single"/>
        </w:rPr>
        <w:t xml:space="preserve">                    </w:t>
      </w:r>
    </w:p>
    <w:p w14:paraId="6136DBB6">
      <w:pPr>
        <w:spacing w:line="500" w:lineRule="exact"/>
        <w:ind w:firstLine="4620" w:firstLineChars="1650"/>
        <w:rPr>
          <w:rFonts w:ascii="方正仿宋_GBK" w:hAnsi="宋体" w:eastAsia="方正仿宋_GBK"/>
          <w:bCs/>
          <w:color w:val="auto"/>
          <w:sz w:val="28"/>
          <w:highlight w:val="none"/>
        </w:rPr>
      </w:pPr>
      <w:r>
        <w:rPr>
          <w:rFonts w:hint="eastAsia" w:ascii="方正仿宋_GBK" w:hAnsi="宋体" w:eastAsia="方正仿宋_GBK"/>
          <w:bCs/>
          <w:color w:val="auto"/>
          <w:sz w:val="28"/>
          <w:highlight w:val="none"/>
        </w:rPr>
        <w:t>法定代表人</w:t>
      </w:r>
    </w:p>
    <w:p w14:paraId="45718A36">
      <w:pPr>
        <w:spacing w:line="500" w:lineRule="exact"/>
        <w:ind w:firstLine="4620" w:firstLineChars="1650"/>
        <w:rPr>
          <w:rFonts w:ascii="方正仿宋_GBK" w:hAnsi="宋体" w:eastAsia="方正仿宋_GBK"/>
          <w:bCs/>
          <w:color w:val="auto"/>
          <w:sz w:val="28"/>
          <w:highlight w:val="none"/>
        </w:rPr>
      </w:pPr>
      <w:r>
        <w:rPr>
          <w:rFonts w:hint="eastAsia" w:ascii="方正仿宋_GBK" w:hAnsi="宋体" w:eastAsia="方正仿宋_GBK"/>
          <w:bCs/>
          <w:color w:val="auto"/>
          <w:sz w:val="28"/>
          <w:highlight w:val="none"/>
        </w:rPr>
        <w:t>或委托代理人（签字）</w:t>
      </w:r>
      <w:r>
        <w:rPr>
          <w:rFonts w:hint="eastAsia" w:ascii="方正仿宋_GBK" w:hAnsi="宋体" w:eastAsia="方正仿宋_GBK"/>
          <w:bCs/>
          <w:color w:val="auto"/>
          <w:sz w:val="28"/>
          <w:highlight w:val="none"/>
          <w:u w:val="single"/>
        </w:rPr>
        <w:t xml:space="preserve">           </w:t>
      </w:r>
    </w:p>
    <w:p w14:paraId="1C809F8A">
      <w:pPr>
        <w:spacing w:line="500" w:lineRule="exact"/>
        <w:ind w:firstLine="4620" w:firstLineChars="1650"/>
        <w:rPr>
          <w:rFonts w:ascii="方正仿宋_GBK" w:hAnsi="宋体" w:eastAsia="方正仿宋_GBK"/>
          <w:bCs/>
          <w:color w:val="auto"/>
          <w:sz w:val="28"/>
          <w:highlight w:val="none"/>
        </w:rPr>
      </w:pPr>
      <w:r>
        <w:rPr>
          <w:rFonts w:hint="eastAsia" w:ascii="方正仿宋_GBK" w:hAnsi="宋体" w:eastAsia="方正仿宋_GBK"/>
          <w:bCs/>
          <w:color w:val="auto"/>
          <w:sz w:val="28"/>
          <w:highlight w:val="none"/>
        </w:rPr>
        <w:t>联系电话：</w:t>
      </w:r>
      <w:r>
        <w:rPr>
          <w:rFonts w:hint="eastAsia" w:ascii="方正仿宋_GBK" w:hAnsi="宋体" w:eastAsia="方正仿宋_GBK"/>
          <w:bCs/>
          <w:color w:val="auto"/>
          <w:sz w:val="28"/>
          <w:highlight w:val="none"/>
          <w:u w:val="single"/>
        </w:rPr>
        <w:t xml:space="preserve">                     </w:t>
      </w:r>
    </w:p>
    <w:p w14:paraId="4FACAFC5">
      <w:pPr>
        <w:tabs>
          <w:tab w:val="left" w:pos="900"/>
        </w:tabs>
        <w:spacing w:line="500" w:lineRule="exact"/>
        <w:jc w:val="center"/>
        <w:rPr>
          <w:rFonts w:ascii="方正仿宋_GBK" w:hAnsi="宋体" w:eastAsia="方正仿宋_GBK"/>
          <w:b/>
          <w:bCs/>
          <w:color w:val="auto"/>
          <w:sz w:val="32"/>
          <w:szCs w:val="36"/>
          <w:highlight w:val="none"/>
        </w:rPr>
      </w:pPr>
      <w:r>
        <w:rPr>
          <w:rFonts w:hint="eastAsia" w:ascii="方正仿宋_GBK" w:hAnsi="宋体" w:eastAsia="方正仿宋_GBK"/>
          <w:bCs/>
          <w:color w:val="auto"/>
          <w:sz w:val="28"/>
          <w:highlight w:val="none"/>
        </w:rPr>
        <w:t xml:space="preserve">                            年    月    日</w:t>
      </w:r>
    </w:p>
    <w:p w14:paraId="0FBBB755">
      <w:pPr>
        <w:tabs>
          <w:tab w:val="left" w:pos="0"/>
        </w:tabs>
        <w:adjustRightInd w:val="0"/>
        <w:snapToGrid w:val="0"/>
        <w:spacing w:line="500" w:lineRule="exact"/>
        <w:rPr>
          <w:rFonts w:ascii="方正仿宋_GBK" w:hAnsi="宋体" w:eastAsia="方正仿宋_GBK"/>
          <w:b/>
          <w:bCs/>
          <w:color w:val="auto"/>
          <w:sz w:val="32"/>
          <w:szCs w:val="36"/>
          <w:highlight w:val="none"/>
        </w:rPr>
      </w:pPr>
    </w:p>
    <w:sectPr>
      <w:footerReference r:id="rId3" w:type="default"/>
      <w:pgSz w:w="11906" w:h="16838"/>
      <w:pgMar w:top="1247" w:right="1531" w:bottom="992"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F00C6">
    <w:pPr>
      <w:pStyle w:val="8"/>
      <w:framePr w:wrap="around" w:vAnchor="text" w:hAnchor="margin" w:xAlign="center" w:yAlign="top"/>
      <w:pBdr>
        <w:between w:val="none" w:color="auto" w:sz="0" w:space="0"/>
      </w:pBdr>
    </w:pPr>
    <w:r>
      <w:fldChar w:fldCharType="begin"/>
    </w:r>
    <w:r>
      <w:rPr>
        <w:rStyle w:val="15"/>
      </w:rPr>
      <w:instrText xml:space="preserve"> PAGE  </w:instrText>
    </w:r>
    <w:r>
      <w:fldChar w:fldCharType="separate"/>
    </w:r>
    <w:r>
      <w:rPr>
        <w:rStyle w:val="15"/>
      </w:rPr>
      <w:t>6</w:t>
    </w:r>
    <w:r>
      <w:fldChar w:fldCharType="end"/>
    </w:r>
  </w:p>
  <w:p w14:paraId="1ACB53A1">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lNjVjMzI0YzQ1MTZkMTkxMmZjY2I4N2I5YWRkZTYifQ=="/>
  </w:docVars>
  <w:rsids>
    <w:rsidRoot w:val="00172A27"/>
    <w:rsid w:val="0000067D"/>
    <w:rsid w:val="00003405"/>
    <w:rsid w:val="00006983"/>
    <w:rsid w:val="000104E3"/>
    <w:rsid w:val="00014CEC"/>
    <w:rsid w:val="000155D3"/>
    <w:rsid w:val="000177A7"/>
    <w:rsid w:val="00020AB0"/>
    <w:rsid w:val="00023B3E"/>
    <w:rsid w:val="00024A49"/>
    <w:rsid w:val="00025CE9"/>
    <w:rsid w:val="00031D08"/>
    <w:rsid w:val="000324D9"/>
    <w:rsid w:val="00032912"/>
    <w:rsid w:val="00035622"/>
    <w:rsid w:val="00035AE3"/>
    <w:rsid w:val="00035B84"/>
    <w:rsid w:val="00036084"/>
    <w:rsid w:val="00037206"/>
    <w:rsid w:val="00037CB1"/>
    <w:rsid w:val="000417F6"/>
    <w:rsid w:val="00043EE3"/>
    <w:rsid w:val="00044516"/>
    <w:rsid w:val="000462A2"/>
    <w:rsid w:val="000467A8"/>
    <w:rsid w:val="00052320"/>
    <w:rsid w:val="00053B5D"/>
    <w:rsid w:val="000545F9"/>
    <w:rsid w:val="0005464D"/>
    <w:rsid w:val="00061959"/>
    <w:rsid w:val="0006488F"/>
    <w:rsid w:val="000657F3"/>
    <w:rsid w:val="000660EE"/>
    <w:rsid w:val="00066E58"/>
    <w:rsid w:val="00074A1F"/>
    <w:rsid w:val="00074E61"/>
    <w:rsid w:val="0007544F"/>
    <w:rsid w:val="000755A6"/>
    <w:rsid w:val="00075772"/>
    <w:rsid w:val="00077EDB"/>
    <w:rsid w:val="000803B2"/>
    <w:rsid w:val="00080D02"/>
    <w:rsid w:val="000819D2"/>
    <w:rsid w:val="00082A78"/>
    <w:rsid w:val="00082B77"/>
    <w:rsid w:val="00087406"/>
    <w:rsid w:val="00091680"/>
    <w:rsid w:val="000922DC"/>
    <w:rsid w:val="00094708"/>
    <w:rsid w:val="00094B25"/>
    <w:rsid w:val="00095BC1"/>
    <w:rsid w:val="000969DF"/>
    <w:rsid w:val="00097CC3"/>
    <w:rsid w:val="000A2043"/>
    <w:rsid w:val="000A2A45"/>
    <w:rsid w:val="000A485D"/>
    <w:rsid w:val="000A4A73"/>
    <w:rsid w:val="000A5D08"/>
    <w:rsid w:val="000A61EB"/>
    <w:rsid w:val="000A67AA"/>
    <w:rsid w:val="000A7075"/>
    <w:rsid w:val="000B0A4E"/>
    <w:rsid w:val="000B12BA"/>
    <w:rsid w:val="000B12EE"/>
    <w:rsid w:val="000B1F49"/>
    <w:rsid w:val="000B3C12"/>
    <w:rsid w:val="000B40B6"/>
    <w:rsid w:val="000B4CE2"/>
    <w:rsid w:val="000C1BD7"/>
    <w:rsid w:val="000C39E4"/>
    <w:rsid w:val="000C4859"/>
    <w:rsid w:val="000C65C0"/>
    <w:rsid w:val="000D135F"/>
    <w:rsid w:val="000D160C"/>
    <w:rsid w:val="000D22F7"/>
    <w:rsid w:val="000D35D0"/>
    <w:rsid w:val="000E02AB"/>
    <w:rsid w:val="000E05BD"/>
    <w:rsid w:val="000E0B0B"/>
    <w:rsid w:val="000E1707"/>
    <w:rsid w:val="000E20EA"/>
    <w:rsid w:val="000E279B"/>
    <w:rsid w:val="000E4762"/>
    <w:rsid w:val="000E4DCC"/>
    <w:rsid w:val="000E5E12"/>
    <w:rsid w:val="000E6225"/>
    <w:rsid w:val="000F01D8"/>
    <w:rsid w:val="000F6953"/>
    <w:rsid w:val="000F75F6"/>
    <w:rsid w:val="001006F8"/>
    <w:rsid w:val="00102D92"/>
    <w:rsid w:val="001036EF"/>
    <w:rsid w:val="00105D03"/>
    <w:rsid w:val="00107A8D"/>
    <w:rsid w:val="00111E20"/>
    <w:rsid w:val="001141E4"/>
    <w:rsid w:val="0011543F"/>
    <w:rsid w:val="001174FF"/>
    <w:rsid w:val="0011794E"/>
    <w:rsid w:val="00120AF0"/>
    <w:rsid w:val="001215A3"/>
    <w:rsid w:val="0012352E"/>
    <w:rsid w:val="00123655"/>
    <w:rsid w:val="00124044"/>
    <w:rsid w:val="00124154"/>
    <w:rsid w:val="001259C3"/>
    <w:rsid w:val="00125A51"/>
    <w:rsid w:val="00127A1B"/>
    <w:rsid w:val="00127A71"/>
    <w:rsid w:val="00127FA3"/>
    <w:rsid w:val="001317C0"/>
    <w:rsid w:val="00135214"/>
    <w:rsid w:val="001361F7"/>
    <w:rsid w:val="0013623D"/>
    <w:rsid w:val="001401E1"/>
    <w:rsid w:val="0014044A"/>
    <w:rsid w:val="00143373"/>
    <w:rsid w:val="00143811"/>
    <w:rsid w:val="001444D7"/>
    <w:rsid w:val="00146F66"/>
    <w:rsid w:val="00151A3F"/>
    <w:rsid w:val="00151FE3"/>
    <w:rsid w:val="00153A9C"/>
    <w:rsid w:val="0015552D"/>
    <w:rsid w:val="00161312"/>
    <w:rsid w:val="00161CAE"/>
    <w:rsid w:val="00161D29"/>
    <w:rsid w:val="00162714"/>
    <w:rsid w:val="0016288B"/>
    <w:rsid w:val="00163060"/>
    <w:rsid w:val="00163816"/>
    <w:rsid w:val="00164650"/>
    <w:rsid w:val="00170268"/>
    <w:rsid w:val="00172A27"/>
    <w:rsid w:val="00172EBF"/>
    <w:rsid w:val="0017573C"/>
    <w:rsid w:val="00177AD4"/>
    <w:rsid w:val="001807A4"/>
    <w:rsid w:val="00180942"/>
    <w:rsid w:val="00182B44"/>
    <w:rsid w:val="00184EDC"/>
    <w:rsid w:val="00185C88"/>
    <w:rsid w:val="00186585"/>
    <w:rsid w:val="00190C06"/>
    <w:rsid w:val="00190E13"/>
    <w:rsid w:val="00191950"/>
    <w:rsid w:val="00192028"/>
    <w:rsid w:val="00192108"/>
    <w:rsid w:val="00193CCC"/>
    <w:rsid w:val="00195F04"/>
    <w:rsid w:val="001A47F9"/>
    <w:rsid w:val="001A4D44"/>
    <w:rsid w:val="001A6250"/>
    <w:rsid w:val="001B0189"/>
    <w:rsid w:val="001B1F57"/>
    <w:rsid w:val="001B2839"/>
    <w:rsid w:val="001B2A5F"/>
    <w:rsid w:val="001B78D0"/>
    <w:rsid w:val="001C3E4A"/>
    <w:rsid w:val="001C4336"/>
    <w:rsid w:val="001C5569"/>
    <w:rsid w:val="001C7007"/>
    <w:rsid w:val="001C7707"/>
    <w:rsid w:val="001D005C"/>
    <w:rsid w:val="001D0ED1"/>
    <w:rsid w:val="001D35F7"/>
    <w:rsid w:val="001D38C4"/>
    <w:rsid w:val="001D6006"/>
    <w:rsid w:val="001D6648"/>
    <w:rsid w:val="001D6E2D"/>
    <w:rsid w:val="001E11AD"/>
    <w:rsid w:val="001E1EE5"/>
    <w:rsid w:val="001E21D9"/>
    <w:rsid w:val="001E2561"/>
    <w:rsid w:val="001E2C1E"/>
    <w:rsid w:val="001E2C9A"/>
    <w:rsid w:val="001E623F"/>
    <w:rsid w:val="001F0188"/>
    <w:rsid w:val="001F07DE"/>
    <w:rsid w:val="001F1675"/>
    <w:rsid w:val="001F169E"/>
    <w:rsid w:val="001F1893"/>
    <w:rsid w:val="001F212D"/>
    <w:rsid w:val="001F2A39"/>
    <w:rsid w:val="001F3B1B"/>
    <w:rsid w:val="001F3F2C"/>
    <w:rsid w:val="001F4A1C"/>
    <w:rsid w:val="001F61B4"/>
    <w:rsid w:val="001F6B6D"/>
    <w:rsid w:val="001F6E7E"/>
    <w:rsid w:val="00203A02"/>
    <w:rsid w:val="00205EBA"/>
    <w:rsid w:val="00206AF0"/>
    <w:rsid w:val="0021000A"/>
    <w:rsid w:val="0021054E"/>
    <w:rsid w:val="00210A45"/>
    <w:rsid w:val="002117AD"/>
    <w:rsid w:val="00211E28"/>
    <w:rsid w:val="002121E4"/>
    <w:rsid w:val="00215E46"/>
    <w:rsid w:val="00217540"/>
    <w:rsid w:val="002179CA"/>
    <w:rsid w:val="00217FFC"/>
    <w:rsid w:val="00222EB4"/>
    <w:rsid w:val="002243E6"/>
    <w:rsid w:val="00225F44"/>
    <w:rsid w:val="00226470"/>
    <w:rsid w:val="00226799"/>
    <w:rsid w:val="002305C5"/>
    <w:rsid w:val="002332BB"/>
    <w:rsid w:val="00235B37"/>
    <w:rsid w:val="00237445"/>
    <w:rsid w:val="0024055F"/>
    <w:rsid w:val="00241E2B"/>
    <w:rsid w:val="002429BD"/>
    <w:rsid w:val="00243491"/>
    <w:rsid w:val="00243723"/>
    <w:rsid w:val="00244D7F"/>
    <w:rsid w:val="00245D97"/>
    <w:rsid w:val="00246385"/>
    <w:rsid w:val="00250C5D"/>
    <w:rsid w:val="00250F8F"/>
    <w:rsid w:val="00251A25"/>
    <w:rsid w:val="00252087"/>
    <w:rsid w:val="00252845"/>
    <w:rsid w:val="0025315E"/>
    <w:rsid w:val="0025389B"/>
    <w:rsid w:val="002551BD"/>
    <w:rsid w:val="002558B7"/>
    <w:rsid w:val="002560DD"/>
    <w:rsid w:val="002576EC"/>
    <w:rsid w:val="00257F06"/>
    <w:rsid w:val="00260A43"/>
    <w:rsid w:val="00260E2C"/>
    <w:rsid w:val="00261E8A"/>
    <w:rsid w:val="00262994"/>
    <w:rsid w:val="0026443D"/>
    <w:rsid w:val="002707D0"/>
    <w:rsid w:val="00271FE9"/>
    <w:rsid w:val="00272871"/>
    <w:rsid w:val="00273814"/>
    <w:rsid w:val="0027411F"/>
    <w:rsid w:val="00275383"/>
    <w:rsid w:val="0027556B"/>
    <w:rsid w:val="00275CFD"/>
    <w:rsid w:val="002778D3"/>
    <w:rsid w:val="002806FB"/>
    <w:rsid w:val="00280886"/>
    <w:rsid w:val="0028172D"/>
    <w:rsid w:val="00281E60"/>
    <w:rsid w:val="002851BB"/>
    <w:rsid w:val="0029043B"/>
    <w:rsid w:val="00291353"/>
    <w:rsid w:val="00292E7C"/>
    <w:rsid w:val="00294412"/>
    <w:rsid w:val="00294E51"/>
    <w:rsid w:val="002965E9"/>
    <w:rsid w:val="002A1F5B"/>
    <w:rsid w:val="002A2524"/>
    <w:rsid w:val="002A2E8A"/>
    <w:rsid w:val="002A4886"/>
    <w:rsid w:val="002A5EEE"/>
    <w:rsid w:val="002B1165"/>
    <w:rsid w:val="002B37E5"/>
    <w:rsid w:val="002B3B37"/>
    <w:rsid w:val="002B435B"/>
    <w:rsid w:val="002B55F8"/>
    <w:rsid w:val="002B5BB7"/>
    <w:rsid w:val="002B6E13"/>
    <w:rsid w:val="002B7BE0"/>
    <w:rsid w:val="002B7F74"/>
    <w:rsid w:val="002C1C2D"/>
    <w:rsid w:val="002C254E"/>
    <w:rsid w:val="002C3946"/>
    <w:rsid w:val="002C3FD2"/>
    <w:rsid w:val="002C5995"/>
    <w:rsid w:val="002C5C8D"/>
    <w:rsid w:val="002C5FF0"/>
    <w:rsid w:val="002C749D"/>
    <w:rsid w:val="002C7C3C"/>
    <w:rsid w:val="002D1BA6"/>
    <w:rsid w:val="002D3A51"/>
    <w:rsid w:val="002D3A98"/>
    <w:rsid w:val="002D4079"/>
    <w:rsid w:val="002D687D"/>
    <w:rsid w:val="002E11BC"/>
    <w:rsid w:val="002E24A4"/>
    <w:rsid w:val="002E3656"/>
    <w:rsid w:val="002E5404"/>
    <w:rsid w:val="002E5AAF"/>
    <w:rsid w:val="002F09AF"/>
    <w:rsid w:val="002F32BA"/>
    <w:rsid w:val="002F40EC"/>
    <w:rsid w:val="002F468C"/>
    <w:rsid w:val="002F5A78"/>
    <w:rsid w:val="002F5B0E"/>
    <w:rsid w:val="002F7F5D"/>
    <w:rsid w:val="00304CB7"/>
    <w:rsid w:val="00305472"/>
    <w:rsid w:val="00305985"/>
    <w:rsid w:val="00305B46"/>
    <w:rsid w:val="00312427"/>
    <w:rsid w:val="003134E1"/>
    <w:rsid w:val="00320B1B"/>
    <w:rsid w:val="00323C99"/>
    <w:rsid w:val="003249F3"/>
    <w:rsid w:val="00326CD6"/>
    <w:rsid w:val="0032701B"/>
    <w:rsid w:val="00345061"/>
    <w:rsid w:val="003452A3"/>
    <w:rsid w:val="00354156"/>
    <w:rsid w:val="00356CC2"/>
    <w:rsid w:val="003614AD"/>
    <w:rsid w:val="00362A69"/>
    <w:rsid w:val="00362B7B"/>
    <w:rsid w:val="00365E65"/>
    <w:rsid w:val="00366C2E"/>
    <w:rsid w:val="00367BED"/>
    <w:rsid w:val="00374DE1"/>
    <w:rsid w:val="003774C5"/>
    <w:rsid w:val="00380464"/>
    <w:rsid w:val="00382E73"/>
    <w:rsid w:val="00384167"/>
    <w:rsid w:val="00386E44"/>
    <w:rsid w:val="00386E79"/>
    <w:rsid w:val="00391190"/>
    <w:rsid w:val="0039138A"/>
    <w:rsid w:val="0039167F"/>
    <w:rsid w:val="0039211A"/>
    <w:rsid w:val="003965FC"/>
    <w:rsid w:val="003A142A"/>
    <w:rsid w:val="003A1E1E"/>
    <w:rsid w:val="003A33C8"/>
    <w:rsid w:val="003A42D4"/>
    <w:rsid w:val="003A4B23"/>
    <w:rsid w:val="003A4EFB"/>
    <w:rsid w:val="003A77A7"/>
    <w:rsid w:val="003B00A0"/>
    <w:rsid w:val="003B042F"/>
    <w:rsid w:val="003B27C2"/>
    <w:rsid w:val="003B2942"/>
    <w:rsid w:val="003B2C8E"/>
    <w:rsid w:val="003B2E88"/>
    <w:rsid w:val="003B2EA3"/>
    <w:rsid w:val="003B37FF"/>
    <w:rsid w:val="003B3AC7"/>
    <w:rsid w:val="003B4756"/>
    <w:rsid w:val="003B5BAB"/>
    <w:rsid w:val="003B6CDD"/>
    <w:rsid w:val="003B7B53"/>
    <w:rsid w:val="003B7B99"/>
    <w:rsid w:val="003C07BB"/>
    <w:rsid w:val="003C1341"/>
    <w:rsid w:val="003C71AA"/>
    <w:rsid w:val="003D0457"/>
    <w:rsid w:val="003D073C"/>
    <w:rsid w:val="003D101F"/>
    <w:rsid w:val="003D33F0"/>
    <w:rsid w:val="003D3510"/>
    <w:rsid w:val="003D4013"/>
    <w:rsid w:val="003D41B3"/>
    <w:rsid w:val="003D4302"/>
    <w:rsid w:val="003D4802"/>
    <w:rsid w:val="003D571B"/>
    <w:rsid w:val="003E078F"/>
    <w:rsid w:val="003E0E13"/>
    <w:rsid w:val="003E2EEC"/>
    <w:rsid w:val="003E42F8"/>
    <w:rsid w:val="003E4425"/>
    <w:rsid w:val="003E45C4"/>
    <w:rsid w:val="003E67D9"/>
    <w:rsid w:val="003F0153"/>
    <w:rsid w:val="003F01E9"/>
    <w:rsid w:val="003F2E5E"/>
    <w:rsid w:val="003F2F4C"/>
    <w:rsid w:val="003F3244"/>
    <w:rsid w:val="003F4C0A"/>
    <w:rsid w:val="003F4C23"/>
    <w:rsid w:val="003F6E8C"/>
    <w:rsid w:val="0040012C"/>
    <w:rsid w:val="00400573"/>
    <w:rsid w:val="00402E03"/>
    <w:rsid w:val="00402F1C"/>
    <w:rsid w:val="00404440"/>
    <w:rsid w:val="004069F2"/>
    <w:rsid w:val="00406BB8"/>
    <w:rsid w:val="00407440"/>
    <w:rsid w:val="0041018E"/>
    <w:rsid w:val="004105B3"/>
    <w:rsid w:val="00411A21"/>
    <w:rsid w:val="00412BA3"/>
    <w:rsid w:val="004170A6"/>
    <w:rsid w:val="00421FB7"/>
    <w:rsid w:val="004266E4"/>
    <w:rsid w:val="0042756F"/>
    <w:rsid w:val="00431A3B"/>
    <w:rsid w:val="00435281"/>
    <w:rsid w:val="0043646E"/>
    <w:rsid w:val="00437EA7"/>
    <w:rsid w:val="004400B7"/>
    <w:rsid w:val="0044058A"/>
    <w:rsid w:val="00441FB7"/>
    <w:rsid w:val="00443A72"/>
    <w:rsid w:val="004456F0"/>
    <w:rsid w:val="00445EEF"/>
    <w:rsid w:val="00453A95"/>
    <w:rsid w:val="00453BF7"/>
    <w:rsid w:val="00454879"/>
    <w:rsid w:val="004556BE"/>
    <w:rsid w:val="00456504"/>
    <w:rsid w:val="0046101C"/>
    <w:rsid w:val="0046212F"/>
    <w:rsid w:val="0046346B"/>
    <w:rsid w:val="00463BBA"/>
    <w:rsid w:val="0046425D"/>
    <w:rsid w:val="00464357"/>
    <w:rsid w:val="004657B4"/>
    <w:rsid w:val="0047023C"/>
    <w:rsid w:val="00471B98"/>
    <w:rsid w:val="004743F0"/>
    <w:rsid w:val="0047460C"/>
    <w:rsid w:val="00474FB5"/>
    <w:rsid w:val="004770A1"/>
    <w:rsid w:val="00480209"/>
    <w:rsid w:val="00480F70"/>
    <w:rsid w:val="00484B4E"/>
    <w:rsid w:val="00492766"/>
    <w:rsid w:val="0049315D"/>
    <w:rsid w:val="004937F1"/>
    <w:rsid w:val="00495730"/>
    <w:rsid w:val="004A0B06"/>
    <w:rsid w:val="004A0E5C"/>
    <w:rsid w:val="004A13A1"/>
    <w:rsid w:val="004A25DD"/>
    <w:rsid w:val="004A59F3"/>
    <w:rsid w:val="004B08A5"/>
    <w:rsid w:val="004B0943"/>
    <w:rsid w:val="004B4FBE"/>
    <w:rsid w:val="004B539B"/>
    <w:rsid w:val="004B6F43"/>
    <w:rsid w:val="004B7590"/>
    <w:rsid w:val="004B784E"/>
    <w:rsid w:val="004C0045"/>
    <w:rsid w:val="004C0047"/>
    <w:rsid w:val="004C1D69"/>
    <w:rsid w:val="004C2D4E"/>
    <w:rsid w:val="004C33EE"/>
    <w:rsid w:val="004C3AA6"/>
    <w:rsid w:val="004C4B90"/>
    <w:rsid w:val="004C4BE2"/>
    <w:rsid w:val="004C5335"/>
    <w:rsid w:val="004C742C"/>
    <w:rsid w:val="004C7B58"/>
    <w:rsid w:val="004C7C82"/>
    <w:rsid w:val="004D235A"/>
    <w:rsid w:val="004D29FB"/>
    <w:rsid w:val="004D34DA"/>
    <w:rsid w:val="004D45EF"/>
    <w:rsid w:val="004D4BBD"/>
    <w:rsid w:val="004D57E9"/>
    <w:rsid w:val="004D695C"/>
    <w:rsid w:val="004D77D0"/>
    <w:rsid w:val="004E1AF9"/>
    <w:rsid w:val="004E2BEC"/>
    <w:rsid w:val="004E3F94"/>
    <w:rsid w:val="004E5C47"/>
    <w:rsid w:val="004E7EC0"/>
    <w:rsid w:val="004F14D0"/>
    <w:rsid w:val="004F1F0C"/>
    <w:rsid w:val="004F2AA1"/>
    <w:rsid w:val="004F400B"/>
    <w:rsid w:val="004F61BB"/>
    <w:rsid w:val="004F661F"/>
    <w:rsid w:val="00500A87"/>
    <w:rsid w:val="00501474"/>
    <w:rsid w:val="00501771"/>
    <w:rsid w:val="00502922"/>
    <w:rsid w:val="0050379C"/>
    <w:rsid w:val="005046BD"/>
    <w:rsid w:val="00504D36"/>
    <w:rsid w:val="00505289"/>
    <w:rsid w:val="005052A3"/>
    <w:rsid w:val="0050669E"/>
    <w:rsid w:val="00506D83"/>
    <w:rsid w:val="00506F17"/>
    <w:rsid w:val="005070F2"/>
    <w:rsid w:val="00507348"/>
    <w:rsid w:val="00507389"/>
    <w:rsid w:val="0050782F"/>
    <w:rsid w:val="005102B7"/>
    <w:rsid w:val="00510A43"/>
    <w:rsid w:val="005123D5"/>
    <w:rsid w:val="005125FF"/>
    <w:rsid w:val="005130F0"/>
    <w:rsid w:val="00513454"/>
    <w:rsid w:val="00514F08"/>
    <w:rsid w:val="00517D7E"/>
    <w:rsid w:val="00520CB1"/>
    <w:rsid w:val="0052301F"/>
    <w:rsid w:val="005244C8"/>
    <w:rsid w:val="00525CAA"/>
    <w:rsid w:val="0053027E"/>
    <w:rsid w:val="005305C3"/>
    <w:rsid w:val="00532601"/>
    <w:rsid w:val="00534357"/>
    <w:rsid w:val="00534501"/>
    <w:rsid w:val="0053579C"/>
    <w:rsid w:val="00536FC4"/>
    <w:rsid w:val="00540600"/>
    <w:rsid w:val="00540CBA"/>
    <w:rsid w:val="00541574"/>
    <w:rsid w:val="00541E22"/>
    <w:rsid w:val="00543367"/>
    <w:rsid w:val="005468A5"/>
    <w:rsid w:val="00546F79"/>
    <w:rsid w:val="005503F3"/>
    <w:rsid w:val="00551679"/>
    <w:rsid w:val="00553E6E"/>
    <w:rsid w:val="0055545D"/>
    <w:rsid w:val="005557A7"/>
    <w:rsid w:val="00556711"/>
    <w:rsid w:val="005574CD"/>
    <w:rsid w:val="00557ADD"/>
    <w:rsid w:val="0056082A"/>
    <w:rsid w:val="0056134C"/>
    <w:rsid w:val="0056223A"/>
    <w:rsid w:val="00563C49"/>
    <w:rsid w:val="00567709"/>
    <w:rsid w:val="00571DF3"/>
    <w:rsid w:val="00572CBE"/>
    <w:rsid w:val="00575C9E"/>
    <w:rsid w:val="00581F4F"/>
    <w:rsid w:val="00583115"/>
    <w:rsid w:val="00585100"/>
    <w:rsid w:val="00590839"/>
    <w:rsid w:val="00592446"/>
    <w:rsid w:val="0059431C"/>
    <w:rsid w:val="00594D1E"/>
    <w:rsid w:val="005954DD"/>
    <w:rsid w:val="00595925"/>
    <w:rsid w:val="00596663"/>
    <w:rsid w:val="00597E4C"/>
    <w:rsid w:val="005A00E3"/>
    <w:rsid w:val="005A1FB1"/>
    <w:rsid w:val="005A5974"/>
    <w:rsid w:val="005B2A54"/>
    <w:rsid w:val="005B2D08"/>
    <w:rsid w:val="005B2DBF"/>
    <w:rsid w:val="005B3B6E"/>
    <w:rsid w:val="005B3F87"/>
    <w:rsid w:val="005B4810"/>
    <w:rsid w:val="005B4A54"/>
    <w:rsid w:val="005B513A"/>
    <w:rsid w:val="005C0FA5"/>
    <w:rsid w:val="005C1149"/>
    <w:rsid w:val="005C2086"/>
    <w:rsid w:val="005C2D7E"/>
    <w:rsid w:val="005C39B6"/>
    <w:rsid w:val="005C58BE"/>
    <w:rsid w:val="005C5BBC"/>
    <w:rsid w:val="005C6C95"/>
    <w:rsid w:val="005D0D1C"/>
    <w:rsid w:val="005D1F07"/>
    <w:rsid w:val="005D3417"/>
    <w:rsid w:val="005D46A2"/>
    <w:rsid w:val="005D5CE2"/>
    <w:rsid w:val="005D6A1A"/>
    <w:rsid w:val="005D6BE9"/>
    <w:rsid w:val="005E0FE5"/>
    <w:rsid w:val="005E1BC0"/>
    <w:rsid w:val="005E4EDB"/>
    <w:rsid w:val="005E773E"/>
    <w:rsid w:val="005F07D4"/>
    <w:rsid w:val="005F1AC5"/>
    <w:rsid w:val="005F259F"/>
    <w:rsid w:val="005F2CC1"/>
    <w:rsid w:val="005F2FBE"/>
    <w:rsid w:val="005F3924"/>
    <w:rsid w:val="005F5A63"/>
    <w:rsid w:val="005F6D0A"/>
    <w:rsid w:val="0060454F"/>
    <w:rsid w:val="00604CD0"/>
    <w:rsid w:val="0060502F"/>
    <w:rsid w:val="00605155"/>
    <w:rsid w:val="00616098"/>
    <w:rsid w:val="006207A7"/>
    <w:rsid w:val="00623B13"/>
    <w:rsid w:val="006275CF"/>
    <w:rsid w:val="00631094"/>
    <w:rsid w:val="0063330F"/>
    <w:rsid w:val="00633430"/>
    <w:rsid w:val="0063391B"/>
    <w:rsid w:val="00633E6B"/>
    <w:rsid w:val="006344B2"/>
    <w:rsid w:val="0063493C"/>
    <w:rsid w:val="006354D7"/>
    <w:rsid w:val="00635630"/>
    <w:rsid w:val="00635E7E"/>
    <w:rsid w:val="0063752F"/>
    <w:rsid w:val="00641C7E"/>
    <w:rsid w:val="00641CEF"/>
    <w:rsid w:val="00642F7E"/>
    <w:rsid w:val="0064580A"/>
    <w:rsid w:val="00645DDC"/>
    <w:rsid w:val="00647C02"/>
    <w:rsid w:val="00650426"/>
    <w:rsid w:val="00650692"/>
    <w:rsid w:val="00651C7C"/>
    <w:rsid w:val="006528B0"/>
    <w:rsid w:val="006562D5"/>
    <w:rsid w:val="00656C59"/>
    <w:rsid w:val="00657D83"/>
    <w:rsid w:val="00657DC6"/>
    <w:rsid w:val="00662639"/>
    <w:rsid w:val="00662B0E"/>
    <w:rsid w:val="00662F91"/>
    <w:rsid w:val="00663C59"/>
    <w:rsid w:val="00666AA3"/>
    <w:rsid w:val="006733AA"/>
    <w:rsid w:val="00673B94"/>
    <w:rsid w:val="00675B7C"/>
    <w:rsid w:val="00675BA0"/>
    <w:rsid w:val="00675DEA"/>
    <w:rsid w:val="0067741D"/>
    <w:rsid w:val="00677947"/>
    <w:rsid w:val="00681383"/>
    <w:rsid w:val="006816D9"/>
    <w:rsid w:val="00683B07"/>
    <w:rsid w:val="00684991"/>
    <w:rsid w:val="00685286"/>
    <w:rsid w:val="00690293"/>
    <w:rsid w:val="006922DD"/>
    <w:rsid w:val="00692935"/>
    <w:rsid w:val="0069590B"/>
    <w:rsid w:val="00697581"/>
    <w:rsid w:val="006A1F38"/>
    <w:rsid w:val="006A4911"/>
    <w:rsid w:val="006A4CDD"/>
    <w:rsid w:val="006A642B"/>
    <w:rsid w:val="006A67F8"/>
    <w:rsid w:val="006A7E3E"/>
    <w:rsid w:val="006B107D"/>
    <w:rsid w:val="006B275C"/>
    <w:rsid w:val="006C2A3F"/>
    <w:rsid w:val="006C50C0"/>
    <w:rsid w:val="006C5141"/>
    <w:rsid w:val="006C646F"/>
    <w:rsid w:val="006C6D41"/>
    <w:rsid w:val="006C775C"/>
    <w:rsid w:val="006C785B"/>
    <w:rsid w:val="006C7E75"/>
    <w:rsid w:val="006D01DE"/>
    <w:rsid w:val="006D2C62"/>
    <w:rsid w:val="006D331F"/>
    <w:rsid w:val="006D38E7"/>
    <w:rsid w:val="006D61A8"/>
    <w:rsid w:val="006D696F"/>
    <w:rsid w:val="006D70E6"/>
    <w:rsid w:val="006E19AA"/>
    <w:rsid w:val="006E27C0"/>
    <w:rsid w:val="006E3168"/>
    <w:rsid w:val="006E6019"/>
    <w:rsid w:val="006E6965"/>
    <w:rsid w:val="006F079B"/>
    <w:rsid w:val="006F0EE4"/>
    <w:rsid w:val="006F13D0"/>
    <w:rsid w:val="006F1505"/>
    <w:rsid w:val="006F24E6"/>
    <w:rsid w:val="006F3A1F"/>
    <w:rsid w:val="006F4E42"/>
    <w:rsid w:val="006F513D"/>
    <w:rsid w:val="006F78F7"/>
    <w:rsid w:val="00700265"/>
    <w:rsid w:val="00702D59"/>
    <w:rsid w:val="00704FAB"/>
    <w:rsid w:val="0070552C"/>
    <w:rsid w:val="007069FC"/>
    <w:rsid w:val="00707A88"/>
    <w:rsid w:val="00710868"/>
    <w:rsid w:val="007115A4"/>
    <w:rsid w:val="00711B3C"/>
    <w:rsid w:val="00713C41"/>
    <w:rsid w:val="00715107"/>
    <w:rsid w:val="0071578B"/>
    <w:rsid w:val="00715FF9"/>
    <w:rsid w:val="00716F33"/>
    <w:rsid w:val="0072174B"/>
    <w:rsid w:val="00722BB8"/>
    <w:rsid w:val="00722FF6"/>
    <w:rsid w:val="00723F05"/>
    <w:rsid w:val="00731089"/>
    <w:rsid w:val="00731E88"/>
    <w:rsid w:val="00732917"/>
    <w:rsid w:val="007345E9"/>
    <w:rsid w:val="00735551"/>
    <w:rsid w:val="00737AEB"/>
    <w:rsid w:val="00742005"/>
    <w:rsid w:val="007438EB"/>
    <w:rsid w:val="00744A86"/>
    <w:rsid w:val="00745A80"/>
    <w:rsid w:val="00745B19"/>
    <w:rsid w:val="00750235"/>
    <w:rsid w:val="007502AB"/>
    <w:rsid w:val="00753C03"/>
    <w:rsid w:val="00753D3D"/>
    <w:rsid w:val="007540BE"/>
    <w:rsid w:val="00755312"/>
    <w:rsid w:val="0076060F"/>
    <w:rsid w:val="00763425"/>
    <w:rsid w:val="00763611"/>
    <w:rsid w:val="00763C77"/>
    <w:rsid w:val="00767216"/>
    <w:rsid w:val="007736AE"/>
    <w:rsid w:val="007753BB"/>
    <w:rsid w:val="0077567B"/>
    <w:rsid w:val="00783DA0"/>
    <w:rsid w:val="00784ECB"/>
    <w:rsid w:val="00790156"/>
    <w:rsid w:val="00790CAE"/>
    <w:rsid w:val="00792CD0"/>
    <w:rsid w:val="007934DE"/>
    <w:rsid w:val="007938FC"/>
    <w:rsid w:val="007953F1"/>
    <w:rsid w:val="007A1D59"/>
    <w:rsid w:val="007A2FED"/>
    <w:rsid w:val="007A551C"/>
    <w:rsid w:val="007A73FA"/>
    <w:rsid w:val="007A77BA"/>
    <w:rsid w:val="007A7CE6"/>
    <w:rsid w:val="007B1BDF"/>
    <w:rsid w:val="007B1E52"/>
    <w:rsid w:val="007C1163"/>
    <w:rsid w:val="007C13BC"/>
    <w:rsid w:val="007C2F90"/>
    <w:rsid w:val="007C3431"/>
    <w:rsid w:val="007C6FE7"/>
    <w:rsid w:val="007C7254"/>
    <w:rsid w:val="007C7CDC"/>
    <w:rsid w:val="007D0B2E"/>
    <w:rsid w:val="007D1EBB"/>
    <w:rsid w:val="007D20B4"/>
    <w:rsid w:val="007D4C54"/>
    <w:rsid w:val="007D7D27"/>
    <w:rsid w:val="007E281B"/>
    <w:rsid w:val="007E2B48"/>
    <w:rsid w:val="007E47E5"/>
    <w:rsid w:val="007E4B06"/>
    <w:rsid w:val="007F0011"/>
    <w:rsid w:val="007F056E"/>
    <w:rsid w:val="007F0A9B"/>
    <w:rsid w:val="007F0F63"/>
    <w:rsid w:val="007F2BAA"/>
    <w:rsid w:val="007F6856"/>
    <w:rsid w:val="007F6A45"/>
    <w:rsid w:val="007F780C"/>
    <w:rsid w:val="007F7FBE"/>
    <w:rsid w:val="00800F38"/>
    <w:rsid w:val="00803904"/>
    <w:rsid w:val="0080592D"/>
    <w:rsid w:val="00807A43"/>
    <w:rsid w:val="00811099"/>
    <w:rsid w:val="00812C3D"/>
    <w:rsid w:val="00813D5A"/>
    <w:rsid w:val="008145E2"/>
    <w:rsid w:val="0081510E"/>
    <w:rsid w:val="00815D43"/>
    <w:rsid w:val="00815FF9"/>
    <w:rsid w:val="0081651C"/>
    <w:rsid w:val="00820BF5"/>
    <w:rsid w:val="00820D3B"/>
    <w:rsid w:val="00820F7D"/>
    <w:rsid w:val="008217B9"/>
    <w:rsid w:val="00821AEA"/>
    <w:rsid w:val="00821E44"/>
    <w:rsid w:val="008222E3"/>
    <w:rsid w:val="00823056"/>
    <w:rsid w:val="00827EC6"/>
    <w:rsid w:val="008313D5"/>
    <w:rsid w:val="0083172A"/>
    <w:rsid w:val="00831CBF"/>
    <w:rsid w:val="008329D9"/>
    <w:rsid w:val="008359FB"/>
    <w:rsid w:val="008404CE"/>
    <w:rsid w:val="00840B2A"/>
    <w:rsid w:val="00841024"/>
    <w:rsid w:val="008456D1"/>
    <w:rsid w:val="00845ED0"/>
    <w:rsid w:val="00846806"/>
    <w:rsid w:val="00852C09"/>
    <w:rsid w:val="0085415A"/>
    <w:rsid w:val="008547E1"/>
    <w:rsid w:val="0086116B"/>
    <w:rsid w:val="00862561"/>
    <w:rsid w:val="00863BF6"/>
    <w:rsid w:val="00863D39"/>
    <w:rsid w:val="00870B47"/>
    <w:rsid w:val="00871A90"/>
    <w:rsid w:val="008726C0"/>
    <w:rsid w:val="00872E0A"/>
    <w:rsid w:val="00874A7C"/>
    <w:rsid w:val="00874D9A"/>
    <w:rsid w:val="00880978"/>
    <w:rsid w:val="00881077"/>
    <w:rsid w:val="00882E3F"/>
    <w:rsid w:val="0088335A"/>
    <w:rsid w:val="0088518E"/>
    <w:rsid w:val="00885CE7"/>
    <w:rsid w:val="00886674"/>
    <w:rsid w:val="00886977"/>
    <w:rsid w:val="00886FDD"/>
    <w:rsid w:val="00890370"/>
    <w:rsid w:val="008910E8"/>
    <w:rsid w:val="00893299"/>
    <w:rsid w:val="008944AD"/>
    <w:rsid w:val="00895706"/>
    <w:rsid w:val="008A2961"/>
    <w:rsid w:val="008A31C8"/>
    <w:rsid w:val="008A5DD3"/>
    <w:rsid w:val="008A63DE"/>
    <w:rsid w:val="008A6EDE"/>
    <w:rsid w:val="008B1D89"/>
    <w:rsid w:val="008B2B19"/>
    <w:rsid w:val="008B4B6E"/>
    <w:rsid w:val="008C2BCA"/>
    <w:rsid w:val="008C48F2"/>
    <w:rsid w:val="008C4974"/>
    <w:rsid w:val="008C629E"/>
    <w:rsid w:val="008C6612"/>
    <w:rsid w:val="008C7241"/>
    <w:rsid w:val="008D12F1"/>
    <w:rsid w:val="008D195A"/>
    <w:rsid w:val="008D31A1"/>
    <w:rsid w:val="008D4202"/>
    <w:rsid w:val="008D4D22"/>
    <w:rsid w:val="008D4D63"/>
    <w:rsid w:val="008D56EF"/>
    <w:rsid w:val="008D5FDB"/>
    <w:rsid w:val="008D6B66"/>
    <w:rsid w:val="008D6FD5"/>
    <w:rsid w:val="008E00C3"/>
    <w:rsid w:val="008E0329"/>
    <w:rsid w:val="008E3BE9"/>
    <w:rsid w:val="008E4E66"/>
    <w:rsid w:val="008E6D44"/>
    <w:rsid w:val="008E716C"/>
    <w:rsid w:val="008F0ED4"/>
    <w:rsid w:val="008F1678"/>
    <w:rsid w:val="008F1ED5"/>
    <w:rsid w:val="008F25D5"/>
    <w:rsid w:val="008F50C4"/>
    <w:rsid w:val="008F585D"/>
    <w:rsid w:val="00900017"/>
    <w:rsid w:val="00900A4F"/>
    <w:rsid w:val="00902D68"/>
    <w:rsid w:val="00904210"/>
    <w:rsid w:val="00904674"/>
    <w:rsid w:val="009048DA"/>
    <w:rsid w:val="00905FB3"/>
    <w:rsid w:val="00906235"/>
    <w:rsid w:val="00910711"/>
    <w:rsid w:val="0091086D"/>
    <w:rsid w:val="00910958"/>
    <w:rsid w:val="00911153"/>
    <w:rsid w:val="00912D79"/>
    <w:rsid w:val="00921C82"/>
    <w:rsid w:val="00922450"/>
    <w:rsid w:val="009239DC"/>
    <w:rsid w:val="00927C1A"/>
    <w:rsid w:val="00932033"/>
    <w:rsid w:val="00932BDD"/>
    <w:rsid w:val="009336A9"/>
    <w:rsid w:val="009353EB"/>
    <w:rsid w:val="00935ABF"/>
    <w:rsid w:val="00936B21"/>
    <w:rsid w:val="00937301"/>
    <w:rsid w:val="00937E77"/>
    <w:rsid w:val="00940790"/>
    <w:rsid w:val="00941856"/>
    <w:rsid w:val="00944507"/>
    <w:rsid w:val="009446DA"/>
    <w:rsid w:val="00946067"/>
    <w:rsid w:val="00946DC8"/>
    <w:rsid w:val="00947082"/>
    <w:rsid w:val="00947137"/>
    <w:rsid w:val="00951FEA"/>
    <w:rsid w:val="0095578A"/>
    <w:rsid w:val="00962FEA"/>
    <w:rsid w:val="00965B87"/>
    <w:rsid w:val="00966502"/>
    <w:rsid w:val="00966AF3"/>
    <w:rsid w:val="00970931"/>
    <w:rsid w:val="009733C8"/>
    <w:rsid w:val="00976993"/>
    <w:rsid w:val="00977DC0"/>
    <w:rsid w:val="00983749"/>
    <w:rsid w:val="009844C3"/>
    <w:rsid w:val="00985245"/>
    <w:rsid w:val="009856AC"/>
    <w:rsid w:val="00987EF0"/>
    <w:rsid w:val="0099052F"/>
    <w:rsid w:val="00991409"/>
    <w:rsid w:val="00991826"/>
    <w:rsid w:val="00993470"/>
    <w:rsid w:val="00994FBB"/>
    <w:rsid w:val="0099522C"/>
    <w:rsid w:val="00995466"/>
    <w:rsid w:val="00996E93"/>
    <w:rsid w:val="009A025F"/>
    <w:rsid w:val="009A11B7"/>
    <w:rsid w:val="009A1204"/>
    <w:rsid w:val="009A2B05"/>
    <w:rsid w:val="009A2F9E"/>
    <w:rsid w:val="009A3CD0"/>
    <w:rsid w:val="009A3F49"/>
    <w:rsid w:val="009A4E49"/>
    <w:rsid w:val="009A4F7F"/>
    <w:rsid w:val="009A500B"/>
    <w:rsid w:val="009A5D52"/>
    <w:rsid w:val="009B0CA0"/>
    <w:rsid w:val="009B2273"/>
    <w:rsid w:val="009B3EC7"/>
    <w:rsid w:val="009B5D7A"/>
    <w:rsid w:val="009C13F2"/>
    <w:rsid w:val="009C3CF9"/>
    <w:rsid w:val="009C431A"/>
    <w:rsid w:val="009C4823"/>
    <w:rsid w:val="009C55E5"/>
    <w:rsid w:val="009C62FB"/>
    <w:rsid w:val="009C630F"/>
    <w:rsid w:val="009D0173"/>
    <w:rsid w:val="009D1192"/>
    <w:rsid w:val="009D1AE1"/>
    <w:rsid w:val="009D4D41"/>
    <w:rsid w:val="009D4DEE"/>
    <w:rsid w:val="009D6C76"/>
    <w:rsid w:val="009D7B26"/>
    <w:rsid w:val="009E04A6"/>
    <w:rsid w:val="009E16B7"/>
    <w:rsid w:val="009E2877"/>
    <w:rsid w:val="009E3885"/>
    <w:rsid w:val="009E3963"/>
    <w:rsid w:val="009E492D"/>
    <w:rsid w:val="009E5D8A"/>
    <w:rsid w:val="009E5EFE"/>
    <w:rsid w:val="009E6372"/>
    <w:rsid w:val="009F10D2"/>
    <w:rsid w:val="009F344C"/>
    <w:rsid w:val="009F543C"/>
    <w:rsid w:val="009F6AEA"/>
    <w:rsid w:val="00A01219"/>
    <w:rsid w:val="00A04623"/>
    <w:rsid w:val="00A04D0A"/>
    <w:rsid w:val="00A06FB3"/>
    <w:rsid w:val="00A075FF"/>
    <w:rsid w:val="00A07B71"/>
    <w:rsid w:val="00A11043"/>
    <w:rsid w:val="00A14704"/>
    <w:rsid w:val="00A20D77"/>
    <w:rsid w:val="00A26AFB"/>
    <w:rsid w:val="00A2707F"/>
    <w:rsid w:val="00A305DA"/>
    <w:rsid w:val="00A32EBF"/>
    <w:rsid w:val="00A34F82"/>
    <w:rsid w:val="00A37936"/>
    <w:rsid w:val="00A37B8E"/>
    <w:rsid w:val="00A403CB"/>
    <w:rsid w:val="00A413FA"/>
    <w:rsid w:val="00A425AB"/>
    <w:rsid w:val="00A449ED"/>
    <w:rsid w:val="00A46013"/>
    <w:rsid w:val="00A46126"/>
    <w:rsid w:val="00A47E61"/>
    <w:rsid w:val="00A50953"/>
    <w:rsid w:val="00A51F3A"/>
    <w:rsid w:val="00A5519F"/>
    <w:rsid w:val="00A60AFA"/>
    <w:rsid w:val="00A62A94"/>
    <w:rsid w:val="00A62E22"/>
    <w:rsid w:val="00A653A6"/>
    <w:rsid w:val="00A66984"/>
    <w:rsid w:val="00A70366"/>
    <w:rsid w:val="00A72A5A"/>
    <w:rsid w:val="00A73056"/>
    <w:rsid w:val="00A75399"/>
    <w:rsid w:val="00A772F0"/>
    <w:rsid w:val="00A8359F"/>
    <w:rsid w:val="00A86174"/>
    <w:rsid w:val="00A8702F"/>
    <w:rsid w:val="00A87C94"/>
    <w:rsid w:val="00A90F61"/>
    <w:rsid w:val="00A951E6"/>
    <w:rsid w:val="00A95B1D"/>
    <w:rsid w:val="00A96A01"/>
    <w:rsid w:val="00A96F3E"/>
    <w:rsid w:val="00AA0758"/>
    <w:rsid w:val="00AA2D80"/>
    <w:rsid w:val="00AA36F7"/>
    <w:rsid w:val="00AA6165"/>
    <w:rsid w:val="00AA6277"/>
    <w:rsid w:val="00AB097E"/>
    <w:rsid w:val="00AB199D"/>
    <w:rsid w:val="00AB46D2"/>
    <w:rsid w:val="00AB4FF4"/>
    <w:rsid w:val="00AB5767"/>
    <w:rsid w:val="00AB6448"/>
    <w:rsid w:val="00AC48EF"/>
    <w:rsid w:val="00AC69DE"/>
    <w:rsid w:val="00AD0CF2"/>
    <w:rsid w:val="00AD3B3E"/>
    <w:rsid w:val="00AD448C"/>
    <w:rsid w:val="00AD5143"/>
    <w:rsid w:val="00AD57F3"/>
    <w:rsid w:val="00AD7D0B"/>
    <w:rsid w:val="00AE01A6"/>
    <w:rsid w:val="00AE2716"/>
    <w:rsid w:val="00AE32C7"/>
    <w:rsid w:val="00AE6CB5"/>
    <w:rsid w:val="00AF0A4B"/>
    <w:rsid w:val="00AF1248"/>
    <w:rsid w:val="00AF1D2F"/>
    <w:rsid w:val="00AF28F9"/>
    <w:rsid w:val="00AF34B6"/>
    <w:rsid w:val="00AF4AF4"/>
    <w:rsid w:val="00AF5D36"/>
    <w:rsid w:val="00AF7047"/>
    <w:rsid w:val="00B001A8"/>
    <w:rsid w:val="00B01E1B"/>
    <w:rsid w:val="00B03F16"/>
    <w:rsid w:val="00B05275"/>
    <w:rsid w:val="00B05FE1"/>
    <w:rsid w:val="00B06789"/>
    <w:rsid w:val="00B10190"/>
    <w:rsid w:val="00B11E0D"/>
    <w:rsid w:val="00B12355"/>
    <w:rsid w:val="00B1356E"/>
    <w:rsid w:val="00B13AD4"/>
    <w:rsid w:val="00B13F90"/>
    <w:rsid w:val="00B15323"/>
    <w:rsid w:val="00B17071"/>
    <w:rsid w:val="00B17A02"/>
    <w:rsid w:val="00B212A1"/>
    <w:rsid w:val="00B223A9"/>
    <w:rsid w:val="00B22A2E"/>
    <w:rsid w:val="00B233DA"/>
    <w:rsid w:val="00B26371"/>
    <w:rsid w:val="00B27461"/>
    <w:rsid w:val="00B27632"/>
    <w:rsid w:val="00B31503"/>
    <w:rsid w:val="00B31D25"/>
    <w:rsid w:val="00B34002"/>
    <w:rsid w:val="00B34063"/>
    <w:rsid w:val="00B34D87"/>
    <w:rsid w:val="00B352CD"/>
    <w:rsid w:val="00B369C2"/>
    <w:rsid w:val="00B379D9"/>
    <w:rsid w:val="00B41EE3"/>
    <w:rsid w:val="00B42D1C"/>
    <w:rsid w:val="00B46597"/>
    <w:rsid w:val="00B473E1"/>
    <w:rsid w:val="00B51315"/>
    <w:rsid w:val="00B518ED"/>
    <w:rsid w:val="00B52BE9"/>
    <w:rsid w:val="00B537C7"/>
    <w:rsid w:val="00B550A6"/>
    <w:rsid w:val="00B557C0"/>
    <w:rsid w:val="00B56079"/>
    <w:rsid w:val="00B56934"/>
    <w:rsid w:val="00B5796F"/>
    <w:rsid w:val="00B60A45"/>
    <w:rsid w:val="00B6194C"/>
    <w:rsid w:val="00B66998"/>
    <w:rsid w:val="00B6706A"/>
    <w:rsid w:val="00B67176"/>
    <w:rsid w:val="00B704D1"/>
    <w:rsid w:val="00B7133F"/>
    <w:rsid w:val="00B714D2"/>
    <w:rsid w:val="00B71867"/>
    <w:rsid w:val="00B71BBC"/>
    <w:rsid w:val="00B72A85"/>
    <w:rsid w:val="00B80BED"/>
    <w:rsid w:val="00B84493"/>
    <w:rsid w:val="00B84E3F"/>
    <w:rsid w:val="00B85CAB"/>
    <w:rsid w:val="00B86463"/>
    <w:rsid w:val="00B90075"/>
    <w:rsid w:val="00B90423"/>
    <w:rsid w:val="00B92DF1"/>
    <w:rsid w:val="00B958B7"/>
    <w:rsid w:val="00BA0503"/>
    <w:rsid w:val="00BA185F"/>
    <w:rsid w:val="00BA1ECA"/>
    <w:rsid w:val="00BA2993"/>
    <w:rsid w:val="00BA2AF0"/>
    <w:rsid w:val="00BA3A9F"/>
    <w:rsid w:val="00BA44C7"/>
    <w:rsid w:val="00BA601B"/>
    <w:rsid w:val="00BA6064"/>
    <w:rsid w:val="00BB18D2"/>
    <w:rsid w:val="00BB1A0B"/>
    <w:rsid w:val="00BB3BAF"/>
    <w:rsid w:val="00BB5547"/>
    <w:rsid w:val="00BC0700"/>
    <w:rsid w:val="00BC6704"/>
    <w:rsid w:val="00BC6D9E"/>
    <w:rsid w:val="00BD1065"/>
    <w:rsid w:val="00BD1ECE"/>
    <w:rsid w:val="00BD2AC2"/>
    <w:rsid w:val="00BD4BF7"/>
    <w:rsid w:val="00BD70DF"/>
    <w:rsid w:val="00BE0E52"/>
    <w:rsid w:val="00BE21E1"/>
    <w:rsid w:val="00BE25AF"/>
    <w:rsid w:val="00BE36AA"/>
    <w:rsid w:val="00BE3A61"/>
    <w:rsid w:val="00BE3EAF"/>
    <w:rsid w:val="00BE420D"/>
    <w:rsid w:val="00BE49B6"/>
    <w:rsid w:val="00BE5B4D"/>
    <w:rsid w:val="00BE6300"/>
    <w:rsid w:val="00BE6378"/>
    <w:rsid w:val="00BF345E"/>
    <w:rsid w:val="00BF4A75"/>
    <w:rsid w:val="00BF4A9F"/>
    <w:rsid w:val="00BF6A0E"/>
    <w:rsid w:val="00C0140F"/>
    <w:rsid w:val="00C022FB"/>
    <w:rsid w:val="00C02F71"/>
    <w:rsid w:val="00C06D17"/>
    <w:rsid w:val="00C07118"/>
    <w:rsid w:val="00C07178"/>
    <w:rsid w:val="00C1037A"/>
    <w:rsid w:val="00C113BA"/>
    <w:rsid w:val="00C147F3"/>
    <w:rsid w:val="00C156A1"/>
    <w:rsid w:val="00C17E34"/>
    <w:rsid w:val="00C211E2"/>
    <w:rsid w:val="00C21D14"/>
    <w:rsid w:val="00C244F3"/>
    <w:rsid w:val="00C25353"/>
    <w:rsid w:val="00C2587E"/>
    <w:rsid w:val="00C25C55"/>
    <w:rsid w:val="00C3325B"/>
    <w:rsid w:val="00C332B2"/>
    <w:rsid w:val="00C3663C"/>
    <w:rsid w:val="00C4298A"/>
    <w:rsid w:val="00C464F9"/>
    <w:rsid w:val="00C502E8"/>
    <w:rsid w:val="00C504C3"/>
    <w:rsid w:val="00C51E0C"/>
    <w:rsid w:val="00C5267E"/>
    <w:rsid w:val="00C52FE1"/>
    <w:rsid w:val="00C55D7D"/>
    <w:rsid w:val="00C57207"/>
    <w:rsid w:val="00C57B5D"/>
    <w:rsid w:val="00C57DE3"/>
    <w:rsid w:val="00C61958"/>
    <w:rsid w:val="00C664DD"/>
    <w:rsid w:val="00C71E94"/>
    <w:rsid w:val="00C72846"/>
    <w:rsid w:val="00C75BB6"/>
    <w:rsid w:val="00C75CFF"/>
    <w:rsid w:val="00C77B96"/>
    <w:rsid w:val="00C80532"/>
    <w:rsid w:val="00C8078C"/>
    <w:rsid w:val="00C80FC7"/>
    <w:rsid w:val="00C815C0"/>
    <w:rsid w:val="00C82860"/>
    <w:rsid w:val="00C833BB"/>
    <w:rsid w:val="00C846AD"/>
    <w:rsid w:val="00C84EAA"/>
    <w:rsid w:val="00C87C06"/>
    <w:rsid w:val="00C91F98"/>
    <w:rsid w:val="00C951A1"/>
    <w:rsid w:val="00C9650C"/>
    <w:rsid w:val="00CA0125"/>
    <w:rsid w:val="00CA08C7"/>
    <w:rsid w:val="00CA0CE1"/>
    <w:rsid w:val="00CA12B1"/>
    <w:rsid w:val="00CA26CD"/>
    <w:rsid w:val="00CA37D8"/>
    <w:rsid w:val="00CA7E1E"/>
    <w:rsid w:val="00CB1757"/>
    <w:rsid w:val="00CB1D72"/>
    <w:rsid w:val="00CB4F6E"/>
    <w:rsid w:val="00CB551B"/>
    <w:rsid w:val="00CB5930"/>
    <w:rsid w:val="00CB6796"/>
    <w:rsid w:val="00CC014B"/>
    <w:rsid w:val="00CC0883"/>
    <w:rsid w:val="00CC1408"/>
    <w:rsid w:val="00CC1749"/>
    <w:rsid w:val="00CC4FC1"/>
    <w:rsid w:val="00CC7DA1"/>
    <w:rsid w:val="00CD0FDA"/>
    <w:rsid w:val="00CD1E90"/>
    <w:rsid w:val="00CD51B9"/>
    <w:rsid w:val="00CD75F2"/>
    <w:rsid w:val="00CE2BA6"/>
    <w:rsid w:val="00CE3C25"/>
    <w:rsid w:val="00CE4290"/>
    <w:rsid w:val="00CF082A"/>
    <w:rsid w:val="00CF1F07"/>
    <w:rsid w:val="00CF2A24"/>
    <w:rsid w:val="00CF3290"/>
    <w:rsid w:val="00CF3D2B"/>
    <w:rsid w:val="00CF58B0"/>
    <w:rsid w:val="00CF6EE0"/>
    <w:rsid w:val="00CF7293"/>
    <w:rsid w:val="00D03BB8"/>
    <w:rsid w:val="00D0421B"/>
    <w:rsid w:val="00D0504F"/>
    <w:rsid w:val="00D05DA0"/>
    <w:rsid w:val="00D05F57"/>
    <w:rsid w:val="00D068DB"/>
    <w:rsid w:val="00D06F26"/>
    <w:rsid w:val="00D110A1"/>
    <w:rsid w:val="00D11204"/>
    <w:rsid w:val="00D122A1"/>
    <w:rsid w:val="00D13976"/>
    <w:rsid w:val="00D14AA4"/>
    <w:rsid w:val="00D173CC"/>
    <w:rsid w:val="00D202A3"/>
    <w:rsid w:val="00D20952"/>
    <w:rsid w:val="00D22051"/>
    <w:rsid w:val="00D26711"/>
    <w:rsid w:val="00D26D8C"/>
    <w:rsid w:val="00D348C5"/>
    <w:rsid w:val="00D34A5B"/>
    <w:rsid w:val="00D35312"/>
    <w:rsid w:val="00D37BBE"/>
    <w:rsid w:val="00D37C19"/>
    <w:rsid w:val="00D46475"/>
    <w:rsid w:val="00D46657"/>
    <w:rsid w:val="00D47AF2"/>
    <w:rsid w:val="00D47E3C"/>
    <w:rsid w:val="00D514FD"/>
    <w:rsid w:val="00D51C89"/>
    <w:rsid w:val="00D52E20"/>
    <w:rsid w:val="00D53A25"/>
    <w:rsid w:val="00D54172"/>
    <w:rsid w:val="00D55D6A"/>
    <w:rsid w:val="00D56038"/>
    <w:rsid w:val="00D561D4"/>
    <w:rsid w:val="00D5775B"/>
    <w:rsid w:val="00D6299F"/>
    <w:rsid w:val="00D62C72"/>
    <w:rsid w:val="00D6313E"/>
    <w:rsid w:val="00D6730C"/>
    <w:rsid w:val="00D744F2"/>
    <w:rsid w:val="00D76BB3"/>
    <w:rsid w:val="00D76FC1"/>
    <w:rsid w:val="00D80066"/>
    <w:rsid w:val="00D816BC"/>
    <w:rsid w:val="00D81CB6"/>
    <w:rsid w:val="00D849EB"/>
    <w:rsid w:val="00D879B1"/>
    <w:rsid w:val="00D916E5"/>
    <w:rsid w:val="00D926A6"/>
    <w:rsid w:val="00D92C6F"/>
    <w:rsid w:val="00D952EB"/>
    <w:rsid w:val="00D95E89"/>
    <w:rsid w:val="00D96E72"/>
    <w:rsid w:val="00DA0034"/>
    <w:rsid w:val="00DA035B"/>
    <w:rsid w:val="00DA24C1"/>
    <w:rsid w:val="00DA29FA"/>
    <w:rsid w:val="00DA2DAD"/>
    <w:rsid w:val="00DA2F7B"/>
    <w:rsid w:val="00DA336F"/>
    <w:rsid w:val="00DA5EEF"/>
    <w:rsid w:val="00DA6C62"/>
    <w:rsid w:val="00DB0123"/>
    <w:rsid w:val="00DB0258"/>
    <w:rsid w:val="00DB1375"/>
    <w:rsid w:val="00DB5A60"/>
    <w:rsid w:val="00DB6941"/>
    <w:rsid w:val="00DC0725"/>
    <w:rsid w:val="00DC1AB4"/>
    <w:rsid w:val="00DC38BF"/>
    <w:rsid w:val="00DC5545"/>
    <w:rsid w:val="00DD1889"/>
    <w:rsid w:val="00DD24A7"/>
    <w:rsid w:val="00DD57F0"/>
    <w:rsid w:val="00DE1B37"/>
    <w:rsid w:val="00DE20CC"/>
    <w:rsid w:val="00DE2386"/>
    <w:rsid w:val="00DE241F"/>
    <w:rsid w:val="00DE3766"/>
    <w:rsid w:val="00DE3776"/>
    <w:rsid w:val="00DE4066"/>
    <w:rsid w:val="00DE50C6"/>
    <w:rsid w:val="00DE5424"/>
    <w:rsid w:val="00DE5960"/>
    <w:rsid w:val="00DE5992"/>
    <w:rsid w:val="00DF238A"/>
    <w:rsid w:val="00DF32D1"/>
    <w:rsid w:val="00DF37CD"/>
    <w:rsid w:val="00DF44D1"/>
    <w:rsid w:val="00DF4996"/>
    <w:rsid w:val="00DF5B97"/>
    <w:rsid w:val="00DF5EBA"/>
    <w:rsid w:val="00DF5EC5"/>
    <w:rsid w:val="00DF7620"/>
    <w:rsid w:val="00DF7F8C"/>
    <w:rsid w:val="00E01652"/>
    <w:rsid w:val="00E0293C"/>
    <w:rsid w:val="00E04602"/>
    <w:rsid w:val="00E0648A"/>
    <w:rsid w:val="00E0761D"/>
    <w:rsid w:val="00E07711"/>
    <w:rsid w:val="00E07EF9"/>
    <w:rsid w:val="00E1203C"/>
    <w:rsid w:val="00E12ECD"/>
    <w:rsid w:val="00E13EB0"/>
    <w:rsid w:val="00E16D50"/>
    <w:rsid w:val="00E17078"/>
    <w:rsid w:val="00E1743A"/>
    <w:rsid w:val="00E20348"/>
    <w:rsid w:val="00E22410"/>
    <w:rsid w:val="00E228AB"/>
    <w:rsid w:val="00E237CD"/>
    <w:rsid w:val="00E23B70"/>
    <w:rsid w:val="00E25562"/>
    <w:rsid w:val="00E255E3"/>
    <w:rsid w:val="00E27EE8"/>
    <w:rsid w:val="00E32014"/>
    <w:rsid w:val="00E321EF"/>
    <w:rsid w:val="00E33BDB"/>
    <w:rsid w:val="00E345BB"/>
    <w:rsid w:val="00E372E6"/>
    <w:rsid w:val="00E419E6"/>
    <w:rsid w:val="00E41E97"/>
    <w:rsid w:val="00E43BD7"/>
    <w:rsid w:val="00E44061"/>
    <w:rsid w:val="00E452C2"/>
    <w:rsid w:val="00E46D41"/>
    <w:rsid w:val="00E47BDD"/>
    <w:rsid w:val="00E47D64"/>
    <w:rsid w:val="00E53F17"/>
    <w:rsid w:val="00E56972"/>
    <w:rsid w:val="00E5779B"/>
    <w:rsid w:val="00E70D88"/>
    <w:rsid w:val="00E71E3E"/>
    <w:rsid w:val="00E7210B"/>
    <w:rsid w:val="00E72730"/>
    <w:rsid w:val="00E73467"/>
    <w:rsid w:val="00E76D2F"/>
    <w:rsid w:val="00E81562"/>
    <w:rsid w:val="00E82202"/>
    <w:rsid w:val="00E826D4"/>
    <w:rsid w:val="00E83355"/>
    <w:rsid w:val="00E86214"/>
    <w:rsid w:val="00E921D9"/>
    <w:rsid w:val="00E9321A"/>
    <w:rsid w:val="00E95432"/>
    <w:rsid w:val="00E95512"/>
    <w:rsid w:val="00E958C3"/>
    <w:rsid w:val="00E969EB"/>
    <w:rsid w:val="00EA1279"/>
    <w:rsid w:val="00EA1C36"/>
    <w:rsid w:val="00EA44B4"/>
    <w:rsid w:val="00EA5528"/>
    <w:rsid w:val="00EA59D0"/>
    <w:rsid w:val="00EA7B93"/>
    <w:rsid w:val="00EB0554"/>
    <w:rsid w:val="00EB241D"/>
    <w:rsid w:val="00EB2980"/>
    <w:rsid w:val="00EB48A5"/>
    <w:rsid w:val="00EB71C6"/>
    <w:rsid w:val="00EC1F19"/>
    <w:rsid w:val="00EC2ACE"/>
    <w:rsid w:val="00EC2C0C"/>
    <w:rsid w:val="00EC34D0"/>
    <w:rsid w:val="00EC4DAC"/>
    <w:rsid w:val="00EC551B"/>
    <w:rsid w:val="00EC5914"/>
    <w:rsid w:val="00ED27CB"/>
    <w:rsid w:val="00ED4E68"/>
    <w:rsid w:val="00ED59DB"/>
    <w:rsid w:val="00ED6CB7"/>
    <w:rsid w:val="00EE2971"/>
    <w:rsid w:val="00EE3E4A"/>
    <w:rsid w:val="00EE4A40"/>
    <w:rsid w:val="00EE5263"/>
    <w:rsid w:val="00EE63DB"/>
    <w:rsid w:val="00EE78DA"/>
    <w:rsid w:val="00EE7BCB"/>
    <w:rsid w:val="00EF1E62"/>
    <w:rsid w:val="00EF28FC"/>
    <w:rsid w:val="00EF47F3"/>
    <w:rsid w:val="00EF60F0"/>
    <w:rsid w:val="00EF6A63"/>
    <w:rsid w:val="00EF776A"/>
    <w:rsid w:val="00F00F1A"/>
    <w:rsid w:val="00F02F1C"/>
    <w:rsid w:val="00F07218"/>
    <w:rsid w:val="00F11450"/>
    <w:rsid w:val="00F14536"/>
    <w:rsid w:val="00F17A16"/>
    <w:rsid w:val="00F226BE"/>
    <w:rsid w:val="00F22E2F"/>
    <w:rsid w:val="00F26EEF"/>
    <w:rsid w:val="00F27B0F"/>
    <w:rsid w:val="00F30F93"/>
    <w:rsid w:val="00F31088"/>
    <w:rsid w:val="00F31757"/>
    <w:rsid w:val="00F33070"/>
    <w:rsid w:val="00F37480"/>
    <w:rsid w:val="00F415EC"/>
    <w:rsid w:val="00F4174C"/>
    <w:rsid w:val="00F43779"/>
    <w:rsid w:val="00F456F3"/>
    <w:rsid w:val="00F47D00"/>
    <w:rsid w:val="00F50519"/>
    <w:rsid w:val="00F52C6D"/>
    <w:rsid w:val="00F533D8"/>
    <w:rsid w:val="00F54063"/>
    <w:rsid w:val="00F54390"/>
    <w:rsid w:val="00F55EAB"/>
    <w:rsid w:val="00F56DEB"/>
    <w:rsid w:val="00F60831"/>
    <w:rsid w:val="00F64F40"/>
    <w:rsid w:val="00F64F6A"/>
    <w:rsid w:val="00F6641B"/>
    <w:rsid w:val="00F6735F"/>
    <w:rsid w:val="00F67CE5"/>
    <w:rsid w:val="00F70C6B"/>
    <w:rsid w:val="00F71B0E"/>
    <w:rsid w:val="00F720C3"/>
    <w:rsid w:val="00F73737"/>
    <w:rsid w:val="00F749B1"/>
    <w:rsid w:val="00F75A32"/>
    <w:rsid w:val="00F77BDF"/>
    <w:rsid w:val="00F80307"/>
    <w:rsid w:val="00F80DEC"/>
    <w:rsid w:val="00F83199"/>
    <w:rsid w:val="00F8345A"/>
    <w:rsid w:val="00F839FC"/>
    <w:rsid w:val="00F840BB"/>
    <w:rsid w:val="00F84A5E"/>
    <w:rsid w:val="00F84B4F"/>
    <w:rsid w:val="00F8501E"/>
    <w:rsid w:val="00F938F1"/>
    <w:rsid w:val="00F94867"/>
    <w:rsid w:val="00F94CB2"/>
    <w:rsid w:val="00F95183"/>
    <w:rsid w:val="00FA151E"/>
    <w:rsid w:val="00FA31EC"/>
    <w:rsid w:val="00FA377A"/>
    <w:rsid w:val="00FA488B"/>
    <w:rsid w:val="00FB02F8"/>
    <w:rsid w:val="00FB1343"/>
    <w:rsid w:val="00FB417A"/>
    <w:rsid w:val="00FB66BB"/>
    <w:rsid w:val="00FC2579"/>
    <w:rsid w:val="00FC2A10"/>
    <w:rsid w:val="00FC6E9D"/>
    <w:rsid w:val="00FD23C2"/>
    <w:rsid w:val="00FD4042"/>
    <w:rsid w:val="00FD5364"/>
    <w:rsid w:val="00FD5ED8"/>
    <w:rsid w:val="00FD7907"/>
    <w:rsid w:val="00FE1EF2"/>
    <w:rsid w:val="00FE4951"/>
    <w:rsid w:val="00FE6979"/>
    <w:rsid w:val="00FE7FD6"/>
    <w:rsid w:val="00FF0C55"/>
    <w:rsid w:val="00FF520E"/>
    <w:rsid w:val="00FF71CD"/>
    <w:rsid w:val="00FF7FF6"/>
    <w:rsid w:val="01AE12BB"/>
    <w:rsid w:val="03E70612"/>
    <w:rsid w:val="049A16DD"/>
    <w:rsid w:val="051F3AD1"/>
    <w:rsid w:val="063C730D"/>
    <w:rsid w:val="071B457E"/>
    <w:rsid w:val="07726796"/>
    <w:rsid w:val="07D4344C"/>
    <w:rsid w:val="080C1D50"/>
    <w:rsid w:val="08C3391A"/>
    <w:rsid w:val="08E16B89"/>
    <w:rsid w:val="0A9C7D1B"/>
    <w:rsid w:val="0C1E7BF8"/>
    <w:rsid w:val="0C6F4CA1"/>
    <w:rsid w:val="0D15610F"/>
    <w:rsid w:val="0D841EBF"/>
    <w:rsid w:val="0E1E7AC7"/>
    <w:rsid w:val="0EAF6971"/>
    <w:rsid w:val="0F9C0624"/>
    <w:rsid w:val="10484987"/>
    <w:rsid w:val="10505F32"/>
    <w:rsid w:val="108F25B6"/>
    <w:rsid w:val="11774081"/>
    <w:rsid w:val="133D454B"/>
    <w:rsid w:val="138A1041"/>
    <w:rsid w:val="15A06AEA"/>
    <w:rsid w:val="15F66D39"/>
    <w:rsid w:val="16724C29"/>
    <w:rsid w:val="1702304B"/>
    <w:rsid w:val="17C21619"/>
    <w:rsid w:val="18D23988"/>
    <w:rsid w:val="18EC0BA6"/>
    <w:rsid w:val="19AF5A77"/>
    <w:rsid w:val="1B23480E"/>
    <w:rsid w:val="1B277A82"/>
    <w:rsid w:val="1B291A8B"/>
    <w:rsid w:val="2110329F"/>
    <w:rsid w:val="21A00615"/>
    <w:rsid w:val="249A5DFD"/>
    <w:rsid w:val="24AB32DF"/>
    <w:rsid w:val="25436452"/>
    <w:rsid w:val="258D79E1"/>
    <w:rsid w:val="2768266A"/>
    <w:rsid w:val="28277120"/>
    <w:rsid w:val="2A322362"/>
    <w:rsid w:val="2A3324C9"/>
    <w:rsid w:val="2AE3737F"/>
    <w:rsid w:val="2CC969F8"/>
    <w:rsid w:val="2D0068BE"/>
    <w:rsid w:val="2E0028ED"/>
    <w:rsid w:val="2EB07E70"/>
    <w:rsid w:val="30A67616"/>
    <w:rsid w:val="31771639"/>
    <w:rsid w:val="317E4255"/>
    <w:rsid w:val="338D1714"/>
    <w:rsid w:val="33F96E24"/>
    <w:rsid w:val="35F66AB0"/>
    <w:rsid w:val="35F904C1"/>
    <w:rsid w:val="369A782E"/>
    <w:rsid w:val="37146B1C"/>
    <w:rsid w:val="374D6BA3"/>
    <w:rsid w:val="39581EFF"/>
    <w:rsid w:val="39602492"/>
    <w:rsid w:val="3AA360B5"/>
    <w:rsid w:val="3AB43778"/>
    <w:rsid w:val="3BE26047"/>
    <w:rsid w:val="3BF84CC8"/>
    <w:rsid w:val="3C4721B1"/>
    <w:rsid w:val="3CBE2E22"/>
    <w:rsid w:val="3CEF368A"/>
    <w:rsid w:val="3D51281E"/>
    <w:rsid w:val="3E530817"/>
    <w:rsid w:val="3E7A5DA4"/>
    <w:rsid w:val="414D2E83"/>
    <w:rsid w:val="41F30347"/>
    <w:rsid w:val="4311434E"/>
    <w:rsid w:val="447C3DA7"/>
    <w:rsid w:val="467E797B"/>
    <w:rsid w:val="476C240D"/>
    <w:rsid w:val="4AA3304D"/>
    <w:rsid w:val="4D587BF8"/>
    <w:rsid w:val="4DBC35DF"/>
    <w:rsid w:val="4DEF5434"/>
    <w:rsid w:val="4E5C5106"/>
    <w:rsid w:val="50206A02"/>
    <w:rsid w:val="502B7297"/>
    <w:rsid w:val="50384256"/>
    <w:rsid w:val="50566671"/>
    <w:rsid w:val="50DC2FF2"/>
    <w:rsid w:val="511F06F6"/>
    <w:rsid w:val="521354A9"/>
    <w:rsid w:val="52614A54"/>
    <w:rsid w:val="53081779"/>
    <w:rsid w:val="542C0846"/>
    <w:rsid w:val="55B856D8"/>
    <w:rsid w:val="563F39B0"/>
    <w:rsid w:val="56A42708"/>
    <w:rsid w:val="573F65BC"/>
    <w:rsid w:val="57C849C4"/>
    <w:rsid w:val="580E4775"/>
    <w:rsid w:val="58A11A0E"/>
    <w:rsid w:val="58B253F5"/>
    <w:rsid w:val="59546D49"/>
    <w:rsid w:val="5AC47A90"/>
    <w:rsid w:val="5ADF54B5"/>
    <w:rsid w:val="5B864BCE"/>
    <w:rsid w:val="612C0EA8"/>
    <w:rsid w:val="615821B1"/>
    <w:rsid w:val="62C15295"/>
    <w:rsid w:val="63675390"/>
    <w:rsid w:val="63DA0F0F"/>
    <w:rsid w:val="64336A25"/>
    <w:rsid w:val="64BE2098"/>
    <w:rsid w:val="65C26F84"/>
    <w:rsid w:val="66BB6DD6"/>
    <w:rsid w:val="67A77937"/>
    <w:rsid w:val="67B850C4"/>
    <w:rsid w:val="67D35778"/>
    <w:rsid w:val="690B763F"/>
    <w:rsid w:val="6A1019CC"/>
    <w:rsid w:val="6B557885"/>
    <w:rsid w:val="6B8F4650"/>
    <w:rsid w:val="6BC07C08"/>
    <w:rsid w:val="6CB36F7B"/>
    <w:rsid w:val="6CED3C33"/>
    <w:rsid w:val="6D0A2DB0"/>
    <w:rsid w:val="6D723F67"/>
    <w:rsid w:val="6ED85A05"/>
    <w:rsid w:val="6F0558FA"/>
    <w:rsid w:val="70AC7790"/>
    <w:rsid w:val="70C90342"/>
    <w:rsid w:val="71BA3885"/>
    <w:rsid w:val="71DF79D6"/>
    <w:rsid w:val="736D7E91"/>
    <w:rsid w:val="73740A39"/>
    <w:rsid w:val="748E6695"/>
    <w:rsid w:val="74F51705"/>
    <w:rsid w:val="76EC264E"/>
    <w:rsid w:val="77A3571E"/>
    <w:rsid w:val="799C5234"/>
    <w:rsid w:val="7A077D91"/>
    <w:rsid w:val="7AAE6C3A"/>
    <w:rsid w:val="7AF8440D"/>
    <w:rsid w:val="7BB104F0"/>
    <w:rsid w:val="7C06244A"/>
    <w:rsid w:val="7C6B6751"/>
    <w:rsid w:val="7D212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8"/>
    <w:semiHidden/>
    <w:unhideWhenUsed/>
    <w:qFormat/>
    <w:uiPriority w:val="9"/>
    <w:pPr>
      <w:keepNext/>
      <w:keepLines/>
      <w:spacing w:before="260" w:after="260" w:line="416" w:lineRule="auto"/>
      <w:outlineLvl w:val="1"/>
    </w:pPr>
    <w:rPr>
      <w:rFonts w:ascii="Cambria" w:hAnsi="Cambria"/>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semiHidden/>
    <w:unhideWhenUsed/>
    <w:qFormat/>
    <w:uiPriority w:val="99"/>
    <w:pPr>
      <w:pBdr>
        <w:top w:val="none" w:color="auto" w:sz="0" w:space="1"/>
        <w:left w:val="none" w:color="auto" w:sz="0" w:space="1"/>
        <w:bottom w:val="none" w:color="auto" w:sz="0" w:space="1"/>
        <w:right w:val="none" w:color="auto" w:sz="0" w:space="1"/>
      </w:pBdr>
      <w:shd w:val="pct20" w:color="auto" w:fill="auto"/>
      <w:ind w:left="723" w:leftChars="0" w:hanging="723" w:hangingChars="200"/>
    </w:pPr>
    <w:rPr>
      <w:rFonts w:ascii="Arial" w:hAnsi="Arial" w:eastAsia="宋体" w:cs="Times New Roman"/>
      <w:color w:val="000000" w:themeColor="text1"/>
      <w:sz w:val="24"/>
      <w:szCs w:val="21"/>
      <w14:textFill>
        <w14:solidFill>
          <w14:schemeClr w14:val="tx1"/>
        </w14:solidFill>
      </w14:textFill>
    </w:rPr>
  </w:style>
  <w:style w:type="paragraph" w:styleId="5">
    <w:name w:val="Document Map"/>
    <w:basedOn w:val="1"/>
    <w:qFormat/>
    <w:uiPriority w:val="0"/>
    <w:pPr>
      <w:shd w:val="clear" w:color="auto" w:fill="000080"/>
    </w:pPr>
  </w:style>
  <w:style w:type="paragraph" w:styleId="6">
    <w:name w:val="Body Text Indent"/>
    <w:basedOn w:val="1"/>
    <w:qFormat/>
    <w:uiPriority w:val="0"/>
    <w:pPr>
      <w:ind w:firstLine="482" w:firstLineChars="200"/>
    </w:pPr>
    <w:rPr>
      <w:b/>
      <w:sz w:val="24"/>
    </w:r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unhideWhenUsed/>
    <w:qFormat/>
    <w:uiPriority w:val="39"/>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basedOn w:val="14"/>
    <w:unhideWhenUsed/>
    <w:qFormat/>
    <w:uiPriority w:val="99"/>
    <w:rPr>
      <w:color w:val="0000FF"/>
      <w:u w:val="single"/>
    </w:rPr>
  </w:style>
  <w:style w:type="paragraph" w:customStyle="1" w:styleId="17">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style>
  <w:style w:type="character" w:customStyle="1" w:styleId="18">
    <w:name w:val="标题 2 Char"/>
    <w:basedOn w:val="14"/>
    <w:link w:val="4"/>
    <w:semiHidden/>
    <w:qFormat/>
    <w:uiPriority w:val="9"/>
    <w:rPr>
      <w:rFonts w:ascii="Cambria" w:hAnsi="Cambria" w:eastAsia="宋体" w:cs="Times New Roman"/>
      <w:b/>
      <w:bCs/>
      <w:kern w:val="2"/>
      <w:sz w:val="32"/>
      <w:szCs w:val="32"/>
    </w:rPr>
  </w:style>
  <w:style w:type="character" w:customStyle="1" w:styleId="19">
    <w:name w:val="标题 1 Char"/>
    <w:basedOn w:val="14"/>
    <w:link w:val="3"/>
    <w:qFormat/>
    <w:uiPriority w:val="9"/>
    <w:rPr>
      <w:b/>
      <w:bCs/>
      <w:kern w:val="44"/>
      <w:sz w:val="44"/>
      <w:szCs w:val="44"/>
    </w:rPr>
  </w:style>
  <w:style w:type="paragraph" w:customStyle="1" w:styleId="20">
    <w:name w:val="TOC Heading"/>
    <w:basedOn w:val="3"/>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11232</Words>
  <Characters>11716</Characters>
  <Lines>108</Lines>
  <Paragraphs>30</Paragraphs>
  <TotalTime>13</TotalTime>
  <ScaleCrop>false</ScaleCrop>
  <LinksUpToDate>false</LinksUpToDate>
  <CharactersWithSpaces>13025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2012-06-07T02:15:00Z</dcterms:created>
  <dc:creator>Administrator</dc:creator>
  <cp:lastModifiedBy>Nanaya</cp:lastModifiedBy>
  <cp:lastPrinted>2025-09-04T02:01:00Z</cp:lastPrinted>
  <dcterms:modified xsi:type="dcterms:W3CDTF">2025-09-16T08:40:32Z</dcterms:modified>
  <dc:title>重庆市玉罗实业有限公司</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878B7311A9084ECD82299B9882BB40CE_13</vt:lpwstr>
  </property>
  <property fmtid="{D5CDD505-2E9C-101B-9397-08002B2CF9AE}" pid="4" name="KSOTemplateDocerSaveRecord">
    <vt:lpwstr>eyJoZGlkIjoiYzQxMGNiNjk2YWM1OGM5YTM4YmI5NjdjMTBjYTQwOGQiLCJ1c2VySWQiOiIyMDg4Nzg2MTcifQ==</vt:lpwstr>
  </property>
</Properties>
</file>