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autoSpaceDE w:val="0"/>
        <w:autoSpaceDN/>
        <w:spacing w:before="0" w:beforeAutospacing="0" w:line="480" w:lineRule="exact"/>
        <w:ind w:left="0"/>
        <w:jc w:val="center"/>
        <w:rPr>
          <w:rFonts w:hint="eastAsia" w:ascii="方正小标宋_GBK" w:hAnsi="方正小标宋_GBK" w:eastAsia="方正小标宋_GBK" w:cs="方正小标宋_GBK"/>
          <w:kern w:val="0"/>
          <w:sz w:val="44"/>
          <w:szCs w:val="44"/>
        </w:rPr>
      </w:pPr>
      <w:bookmarkStart w:id="0" w:name="_GoBack"/>
      <w:r>
        <w:rPr>
          <w:rFonts w:hint="eastAsia" w:ascii="方正小标宋_GBK" w:hAnsi="方正小标宋_GBK" w:eastAsia="方正小标宋_GBK" w:cs="方正小标宋_GBK"/>
          <w:kern w:val="0"/>
          <w:sz w:val="44"/>
          <w:szCs w:val="44"/>
          <w:shd w:val="clear" w:fill="FFFFFF"/>
        </w:rPr>
        <w:t>重庆市万州区长滩镇人民政府</w:t>
      </w:r>
    </w:p>
    <w:p>
      <w:pPr>
        <w:pStyle w:val="4"/>
        <w:keepNext w:val="0"/>
        <w:keepLines w:val="0"/>
        <w:widowControl/>
        <w:suppressLineNumbers w:val="0"/>
        <w:autoSpaceDE w:val="0"/>
        <w:autoSpaceDN/>
        <w:spacing w:before="0" w:beforeAutospacing="0" w:line="480" w:lineRule="exact"/>
        <w:ind w:lef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shd w:val="clear" w:fill="FFFFFF"/>
        </w:rPr>
        <w:t>2021年度部门决算情况说明</w:t>
      </w:r>
    </w:p>
    <w:bookmarkEnd w:id="0"/>
    <w:p>
      <w:pPr>
        <w:keepNext w:val="0"/>
        <w:keepLines w:val="0"/>
        <w:widowControl w:val="0"/>
        <w:suppressLineNumbers w:val="0"/>
        <w:spacing w:before="0" w:beforeAutospacing="0" w:after="0" w:afterAutospacing="0" w:line="600" w:lineRule="exact"/>
        <w:ind w:left="0" w:right="0" w:firstLine="522" w:firstLineChars="200"/>
        <w:jc w:val="both"/>
        <w:rPr>
          <w:rFonts w:hint="eastAsia" w:ascii="宋体" w:hAnsi="宋体" w:eastAsia="宋体" w:cs="宋体"/>
          <w:kern w:val="2"/>
          <w:sz w:val="28"/>
          <w:szCs w:val="28"/>
        </w:rPr>
      </w:pPr>
      <w:r>
        <w:rPr>
          <w:rStyle w:val="5"/>
          <w:rFonts w:hint="eastAsia" w:ascii="宋体" w:hAnsi="宋体" w:eastAsia="宋体" w:cs="宋体"/>
          <w:b/>
          <w:bCs w:val="0"/>
          <w:sz w:val="26"/>
          <w:szCs w:val="26"/>
          <w:shd w:val="clear" w:fill="FFFFFF"/>
        </w:rPr>
        <w:t xml:space="preserve">  </w:t>
      </w:r>
      <w:r>
        <w:rPr>
          <w:rStyle w:val="6"/>
          <w:rFonts w:hint="eastAsia" w:ascii="宋体" w:hAnsi="宋体" w:eastAsia="宋体" w:cs="宋体"/>
          <w:b/>
          <w:bCs w:val="0"/>
          <w:sz w:val="28"/>
          <w:szCs w:val="28"/>
          <w:shd w:val="clear" w:fill="FFFFFF"/>
        </w:rPr>
        <w:t>一、部门基本情况</w:t>
      </w:r>
    </w:p>
    <w:p>
      <w:pPr>
        <w:keepNext w:val="0"/>
        <w:keepLines w:val="0"/>
        <w:widowControl/>
        <w:suppressLineNumbers w:val="0"/>
        <w:autoSpaceDE w:val="0"/>
        <w:autoSpaceDN/>
        <w:spacing w:line="460" w:lineRule="exact"/>
        <w:ind w:lef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（一）职能职责</w:t>
      </w:r>
    </w:p>
    <w:p>
      <w:pPr>
        <w:keepNext w:val="0"/>
        <w:keepLines w:val="0"/>
        <w:widowControl/>
        <w:suppressLineNumbers w:val="0"/>
        <w:autoSpaceDE w:val="0"/>
        <w:autoSpaceDN/>
        <w:spacing w:line="480" w:lineRule="exact"/>
        <w:ind w:lef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重庆市万州区长滩镇人民政府，贯彻执行党的路线方针政策和国家的法律法规，深学笃用习近平新时代中国特色社会主义思想，坚持以人民为中心的发展思想，充分发挥镇党委领导核心作用，坚持促进经济发展、增加农民收入，强化公共服务、着力改善民</w:t>
      </w:r>
      <w:r>
        <w:rPr>
          <w:rFonts w:hint="eastAsia" w:ascii="宋体" w:hAnsi="宋体" w:eastAsia="宋体" w:cs="宋体"/>
          <w:kern w:val="2"/>
          <w:sz w:val="28"/>
          <w:szCs w:val="28"/>
        </w:rPr>
        <w:t>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w:t>
      </w:r>
      <w:r>
        <w:rPr>
          <w:rFonts w:hint="eastAsia" w:ascii="宋体" w:hAnsi="宋体" w:eastAsia="宋体" w:cs="宋体"/>
          <w:kern w:val="0"/>
          <w:sz w:val="28"/>
          <w:szCs w:val="28"/>
        </w:rPr>
        <w:t>务高效、人民满意的镇政府服务管理体制机制。</w:t>
      </w:r>
    </w:p>
    <w:p>
      <w:pPr>
        <w:keepNext w:val="0"/>
        <w:keepLines w:val="0"/>
        <w:widowControl/>
        <w:suppressLineNumbers w:val="0"/>
        <w:autoSpaceDE w:val="0"/>
        <w:autoSpaceDN/>
        <w:spacing w:line="480" w:lineRule="exact"/>
        <w:ind w:left="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（二）机构设置</w:t>
      </w:r>
    </w:p>
    <w:p>
      <w:pPr>
        <w:keepNext w:val="0"/>
        <w:keepLines w:val="0"/>
        <w:widowControl/>
        <w:suppressLineNumbers w:val="0"/>
        <w:autoSpaceDE w:val="0"/>
        <w:autoSpaceDN/>
        <w:spacing w:line="480" w:lineRule="exact"/>
        <w:ind w:lef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重庆市万州区长滩镇人民政府，为正处级，行政编制30名，综合办事机构领导职数12名。</w:t>
      </w:r>
    </w:p>
    <w:p>
      <w:pPr>
        <w:keepNext w:val="0"/>
        <w:keepLines w:val="0"/>
        <w:widowControl/>
        <w:suppressLineNumbers w:val="0"/>
        <w:autoSpaceDE w:val="0"/>
        <w:autoSpaceDN/>
        <w:spacing w:line="480" w:lineRule="exact"/>
        <w:ind w:lef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内设机构：党政办公室、党群工作办公室、经济发展办公室、民政和社会事务办公室、平安建设办公室、规划建设管理环保办公室、财政办公室、应急管理办公室、综合行政执法办公室。</w:t>
      </w:r>
    </w:p>
    <w:p>
      <w:pPr>
        <w:keepNext w:val="0"/>
        <w:keepLines w:val="0"/>
        <w:widowControl/>
        <w:suppressLineNumbers w:val="0"/>
        <w:autoSpaceDE w:val="0"/>
        <w:autoSpaceDN/>
        <w:spacing w:line="480" w:lineRule="exact"/>
        <w:ind w:lef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下属事业单位：农业服务中心、文化服务中心、劳动就业和社会保障服务所、村镇建设环保服务中心、退役军人服务站、综合行政执法大队。</w:t>
      </w:r>
    </w:p>
    <w:p>
      <w:pPr>
        <w:keepNext w:val="0"/>
        <w:keepLines w:val="0"/>
        <w:widowControl/>
        <w:suppressLineNumbers w:val="0"/>
        <w:autoSpaceDE w:val="0"/>
        <w:autoSpaceDN/>
        <w:spacing w:line="480" w:lineRule="exact"/>
        <w:ind w:left="0" w:firstLine="560" w:firstLineChars="200"/>
        <w:jc w:val="both"/>
        <w:rPr>
          <w:rFonts w:hint="eastAsia" w:ascii="宋体" w:hAnsi="宋体" w:eastAsia="宋体" w:cs="宋体"/>
          <w:kern w:val="0"/>
          <w:sz w:val="28"/>
          <w:szCs w:val="28"/>
        </w:rPr>
      </w:pPr>
      <w:r>
        <w:rPr>
          <w:rFonts w:hint="eastAsia" w:ascii="宋体" w:hAnsi="宋体" w:eastAsia="宋体" w:cs="宋体"/>
          <w:kern w:val="0"/>
          <w:sz w:val="28"/>
          <w:szCs w:val="28"/>
        </w:rPr>
        <w:t>镇人大、纪委、武装部按照有关规定设置，工会、团委、妇联等群团按章程设置。</w:t>
      </w:r>
    </w:p>
    <w:p>
      <w:pPr>
        <w:keepNext w:val="0"/>
        <w:keepLines w:val="0"/>
        <w:widowControl/>
        <w:suppressLineNumbers w:val="0"/>
        <w:autoSpaceDE w:val="0"/>
        <w:autoSpaceDN/>
        <w:spacing w:line="480" w:lineRule="exact"/>
        <w:ind w:left="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（三）单位构成</w:t>
      </w:r>
    </w:p>
    <w:p>
      <w:pPr>
        <w:keepNext w:val="0"/>
        <w:keepLines w:val="0"/>
        <w:widowControl/>
        <w:suppressLineNumbers w:val="0"/>
        <w:autoSpaceDE w:val="0"/>
        <w:autoSpaceDN/>
        <w:spacing w:line="480" w:lineRule="exact"/>
        <w:ind w:left="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本单位无下级预算单位。</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二、部门决算情况说明</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（一）收入支出决算总体情况说明。</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shd w:val="clear" w:fill="FFFFFF"/>
        </w:rPr>
      </w:pPr>
      <w:r>
        <w:rPr>
          <w:rStyle w:val="5"/>
          <w:rFonts w:hint="eastAsia" w:ascii="宋体" w:hAnsi="宋体" w:eastAsia="宋体" w:cs="宋体"/>
          <w:b/>
          <w:bCs w:val="0"/>
          <w:sz w:val="28"/>
          <w:szCs w:val="28"/>
          <w:shd w:val="clear" w:fill="FFFFFF"/>
        </w:rPr>
        <w:t>1.总体情况。</w:t>
      </w:r>
      <w:r>
        <w:rPr>
          <w:rFonts w:hint="eastAsia" w:ascii="宋体" w:hAnsi="宋体" w:eastAsia="宋体" w:cs="宋体"/>
          <w:kern w:val="0"/>
          <w:sz w:val="28"/>
          <w:szCs w:val="28"/>
          <w:shd w:val="clear" w:fill="FFFFFF"/>
        </w:rPr>
        <w:t>2021年度收入总计6,583.66万元，支出总计6,583.66万元。收支较上年决算数减少667.50万元、下降9.2%，主要原因是项目资金的减少。</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2.收入情况。</w:t>
      </w:r>
      <w:r>
        <w:rPr>
          <w:rFonts w:hint="eastAsia" w:ascii="宋体" w:hAnsi="宋体" w:eastAsia="宋体" w:cs="宋体"/>
          <w:kern w:val="0"/>
          <w:sz w:val="28"/>
          <w:szCs w:val="28"/>
          <w:shd w:val="clear" w:fill="FFFFFF"/>
        </w:rPr>
        <w:t>2021年度收入合计6,466.76万元，较上年决算数减少560.51万元，下降8%，主要原因是项目资金的减少。其中：财政拨款收入5,794.52万元，占89.6%；其他收入672.24万元，占10.4%。此外，使用非财政拨款结余0.00万元，年初结转和结余116.89万元。</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3.支出情况。</w:t>
      </w:r>
      <w:r>
        <w:rPr>
          <w:rFonts w:hint="eastAsia" w:ascii="宋体" w:hAnsi="宋体" w:eastAsia="宋体" w:cs="宋体"/>
          <w:kern w:val="0"/>
          <w:sz w:val="28"/>
          <w:szCs w:val="28"/>
          <w:shd w:val="clear" w:fill="FFFFFF"/>
        </w:rPr>
        <w:t>2021年度支出合计6,513.95万元，较上年决算数减少642.37万元，下降9%，主要原因是</w:t>
      </w:r>
      <w:r>
        <w:rPr>
          <w:rFonts w:hint="eastAsia" w:ascii="宋体" w:hAnsi="宋体" w:eastAsia="宋体" w:cs="宋体"/>
          <w:kern w:val="2"/>
          <w:sz w:val="28"/>
          <w:szCs w:val="28"/>
        </w:rPr>
        <w:t>财政安排的项目资金减少，支出也相应减少。</w:t>
      </w:r>
      <w:r>
        <w:rPr>
          <w:rFonts w:hint="eastAsia" w:ascii="宋体" w:hAnsi="宋体" w:eastAsia="宋体" w:cs="宋体"/>
          <w:kern w:val="0"/>
          <w:sz w:val="28"/>
          <w:szCs w:val="28"/>
          <w:shd w:val="clear" w:fill="FFFFFF"/>
        </w:rPr>
        <w:t>其中：基本支出2,106.24万元，占32.3%；项目支出4,407.71万元，占67.7%。</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4.结转结余情况。</w:t>
      </w:r>
      <w:r>
        <w:rPr>
          <w:rFonts w:hint="eastAsia" w:ascii="宋体" w:hAnsi="宋体" w:eastAsia="宋体" w:cs="宋体"/>
          <w:kern w:val="0"/>
          <w:sz w:val="28"/>
          <w:szCs w:val="28"/>
          <w:shd w:val="clear" w:fill="FFFFFF"/>
        </w:rPr>
        <w:t>2021年度年末结转和结余69.71万元，较上年决算数减少25.13万元，下降26.5%，主要原因是加快项目支付进度。</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（二）财政拨款收入支出决算总体情况说明。</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2021年度财政拨款收、支总计5,816.57万元。与2020年相比，财政拨款收、支总计各减少648.15万元，下降10%。主要原因是</w:t>
      </w:r>
      <w:r>
        <w:rPr>
          <w:rFonts w:hint="eastAsia" w:ascii="宋体" w:hAnsi="宋体" w:eastAsia="宋体" w:cs="宋体"/>
          <w:kern w:val="2"/>
          <w:sz w:val="28"/>
          <w:szCs w:val="28"/>
        </w:rPr>
        <w:t>财政安排的项目资金减少，支出也相应减少。</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w:t>
      </w:r>
      <w:r>
        <w:rPr>
          <w:rStyle w:val="5"/>
          <w:rFonts w:hint="eastAsia" w:ascii="Times New Roman" w:hAnsi="Times New Roman" w:eastAsia="宋体" w:cs="宋体"/>
          <w:b/>
          <w:bCs w:val="0"/>
          <w:sz w:val="28"/>
          <w:szCs w:val="28"/>
          <w:shd w:val="clear" w:fill="FFFFFF"/>
        </w:rPr>
        <w:t xml:space="preserve">  </w:t>
      </w:r>
      <w:r>
        <w:rPr>
          <w:rStyle w:val="5"/>
          <w:rFonts w:hint="eastAsia" w:ascii="宋体" w:hAnsi="宋体" w:eastAsia="宋体" w:cs="宋体"/>
          <w:b/>
          <w:bCs w:val="0"/>
          <w:sz w:val="28"/>
          <w:szCs w:val="28"/>
          <w:shd w:val="clear" w:fill="FFFFFF"/>
        </w:rPr>
        <w:t>（三）一般公共预算财政拨款收入支出决算情况说明。</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1.收入情况。</w:t>
      </w:r>
      <w:r>
        <w:rPr>
          <w:rFonts w:hint="eastAsia" w:ascii="宋体" w:hAnsi="宋体" w:eastAsia="宋体" w:cs="宋体"/>
          <w:kern w:val="0"/>
          <w:sz w:val="28"/>
          <w:szCs w:val="28"/>
          <w:shd w:val="clear" w:fill="FFFFFF"/>
        </w:rPr>
        <w:t>2021年度一般公共预算财政拨款收入5,477.60万元，较上年决算数增加721.60万元，增长15.2%。主要原因是一般公共预算财政安排的项目增加。较年初预算数增加3,139.35万元，增长134.3%。主要原因是项目预算增加。此外，年初财政拨款结转和结余22.05万元。</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Times New Roman" w:hAnsi="Times New Roman" w:eastAsia="宋体" w:cs="宋体"/>
          <w:b/>
          <w:bCs w:val="0"/>
          <w:sz w:val="28"/>
          <w:szCs w:val="28"/>
          <w:shd w:val="clear" w:fill="FFFFFF"/>
        </w:rPr>
        <w:t xml:space="preserve"> </w:t>
      </w:r>
      <w:r>
        <w:rPr>
          <w:rStyle w:val="5"/>
          <w:rFonts w:hint="eastAsia" w:ascii="宋体" w:hAnsi="宋体" w:eastAsia="宋体" w:cs="宋体"/>
          <w:b/>
          <w:bCs w:val="0"/>
          <w:sz w:val="28"/>
          <w:szCs w:val="28"/>
          <w:shd w:val="clear" w:fill="FFFFFF"/>
        </w:rPr>
        <w:t>2.支出情况。</w:t>
      </w:r>
      <w:r>
        <w:rPr>
          <w:rFonts w:hint="eastAsia" w:ascii="宋体" w:hAnsi="宋体" w:eastAsia="宋体" w:cs="宋体"/>
          <w:kern w:val="0"/>
          <w:sz w:val="28"/>
          <w:szCs w:val="28"/>
          <w:shd w:val="clear" w:fill="FFFFFF"/>
        </w:rPr>
        <w:t>2021年度一般公共预算财政拨款支出5,499.65万元，较上年决算数增加743.65万元，增长15.6%。主要原因是项目增加。较年初预算数增加3,161.40万元，增长135.2%。主要原因是项目预算增加。</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3.结转结余情况。</w:t>
      </w:r>
      <w:r>
        <w:rPr>
          <w:rFonts w:hint="eastAsia" w:ascii="宋体" w:hAnsi="宋体" w:eastAsia="宋体" w:cs="宋体"/>
          <w:kern w:val="0"/>
          <w:sz w:val="28"/>
          <w:szCs w:val="28"/>
          <w:shd w:val="clear" w:fill="FFFFFF"/>
        </w:rPr>
        <w:t>2021年度年末一般公共预算财政拨款无结转和结余。</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4.比较情况。</w:t>
      </w:r>
      <w:r>
        <w:rPr>
          <w:rFonts w:hint="eastAsia" w:ascii="宋体" w:hAnsi="宋体" w:eastAsia="宋体" w:cs="宋体"/>
          <w:kern w:val="0"/>
          <w:sz w:val="28"/>
          <w:szCs w:val="28"/>
          <w:shd w:val="clear" w:fill="FFFFFF"/>
        </w:rPr>
        <w:t>本部门2021年度一般公共预算财政拨款支出主要用于以下几个方面：</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rPr>
        <w:t>（1）一般公共服务支出1,004.59万元，占18.3%，较年初预算数增加125.59万元，增长14.3%，主要原因是追加2020年目标绩效奖、超额绩效奖等结算体制补助等。</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rPr>
        <w:t>（2）国防支出3.00万元，占0.1%，较年初预算数增加3.00万元，增长%，主要原因是基层武装建设工作经费。</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（3）公共安全支出13.37万元，占0.2%，较年初预算数减少6.79万元，下降33.7%，主要原因缩减开支。</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rPr>
        <w:t>（4）文化旅游体育与传媒支出62.48万元，占1.1%，较年初预算数增加13.10万元，增长26.5%，主要原因是追加2020年目标绩效奖、超额绩效奖等结算体制补助、文化服务中心建设等。</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rPr>
        <w:t>（5）社会保障与就业支出934.45万元，占17%，较年初预算数增加405.36万元，增长76.6%，主要原因是追加2020年目标绩效奖、超额绩效奖等结算体制补助等。</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（6）卫生健康支出110.86万元，占2%，较年初预算数增加36.53万元，增长49.1%，主要原因是新冠疫情防控经费、优抚医疗补助等。</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rPr>
        <w:t>（7）节能环保支出0.85万元，占0%，较年初预算数增加0.85万元，增长%，主要原因是2021年新一轮退耕还林工作经费。</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（8）城乡社区支出121.63万元，占2.2%，较年初预算数减少36.17万元，下降22.92%，主要原因是追加2020年目标绩效奖、超额绩效奖等结算体制补助等。</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（9）农林水支出3,092.54万元，占56.2%，较年初预算数增加2,596.32万元，增长523.24%，主要原因是追加2020年目标绩效奖、超额绩效奖等结算体制补助、人居环境整治项目资金等。</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rPr>
        <w:t>（10）交通运输支出3.00万元，占0.1%，较年初预算数增加3.00万元，增长%，主要原因是追加第二批四好农村路、钢索桥安全隐患整治等。</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（11）住房保障支出92.71万元，占1.7%，较年初预算数减少39.56万元，下降29.9%，主要原因是住房公积金缴费政策调整。</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（12）灾害防治及应急管理支出60.16万元，占1.1%，较年初预算数增加60.16万元，增长%，主要原因是追加2020-2021年冬春生活救助补助资金、应急备灾能力建设和应急抢险救援装备配备等。</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（四）一般公共预算财政拨款基本支出决算情况说明。</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2021年度一般公共财政拨款基本支出2,092.98万元。其中：人员经费1,674.30万元，较上年决算数增加63.45万元，增长3.9%，主要原因是人事变动及薪资调整等原因。人员经费用途主要包括基本工资、津贴补贴、奖金、绩效工资、机关事业单位基本养老保险、职业年金缴费、职工基本医疗保险缴费等。公用经费418.68万元，较上年决算数增加14.68万元，增长3.6%，主要原因是减少公用经费支出。公用经费用途主要包括办公费、水费、电费、邮电费、差旅费等。</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（五）政府性基金预算收支决算情况说明。</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2021年度政府性基金预算财政拨款年初结转结余0.00万元，年末结转结余0.00万元。本年收入316.92万元，较上年决算数减少1,391.81万元，下降81.5%，主要原因是专项项目减少。本年支出316.92万元，较上年决算数减少1,391.81万元，下降81.5%，主要原因是专项项目减少。</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（六）国有资本经营预算财政拨款支出决算情况说明。</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 xml:space="preserve">   本部门2022年度无国有资本经营预算财政拨款支出。</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三、“三公”经费情况说明</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（一）“三公”经费支出总体情况说明。</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2021年度“三公”经费支出共计7.88万元，较年初预算数减少1.12万元，下降12.4%，主要原因是按照只减不增的要求从严控制“三公”经费等。</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（二）“三公”经费分项支出情况。</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2021年度本部门未发生因公出国（境）费用支出。</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shd w:val="clear" w:fill="FFFFFF"/>
        </w:rPr>
      </w:pPr>
      <w:r>
        <w:rPr>
          <w:rFonts w:hint="eastAsia" w:ascii="宋体" w:hAnsi="宋体" w:eastAsia="宋体" w:cs="宋体"/>
          <w:kern w:val="0"/>
          <w:sz w:val="28"/>
          <w:szCs w:val="28"/>
          <w:shd w:val="clear" w:fill="FFFFFF"/>
        </w:rPr>
        <w:t>2021年本部门未公务车购置费。</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公务车运行维护费6.53万元，主要用于车辆的燃料费、维修费、保险费等。费用支出较年初预算数减少0.47万元，下降6.7%，主要原因是严格落实公车使用规定，公车运行维护成本下降。</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公务接待费1.35万元，主要用于接待相关部门检查指导工作等。费用支出较年初预算数减少0.65万元，下降32.5%，主要原因是强化公务接待支出管理等。</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（三）“三公”经费实物量情况。</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 xml:space="preserve">  2021年度本部门因公出国（境）共计0个团组，0人；公务用车购置0辆，公务车保有量为3辆；国内公务接待81批次360人，其中：国内外事接待0批次，0人；国（境）外公务接待0批次，0人。2021年本部门人均接待费37.47元，车均购置费0.00万元，车均维护费2.18万元。</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四、其他需要说明的事项</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（一）一般公共预算财政拨款会议费和培训费情况说明。</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本年度会议费支出3.02万元，较上年决算数减少0.71万元，下降19%，主要原因是加强会议费管理，减少不必要的会议次数。本年度培训费支出0.64万元，较上年决算数减少3.76万元，下降85.5%，主要原因是加强培训费管理，减少不必要的培训次数。</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（二）机关运行经费情况说明。</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2021年度本部门机关运行经费支出276.93万元，机关运行经费主要用于开支办公费、水费、电费、邮电费、差旅费、会议费、培训费等。机关运行经费较上年决算数减少10.08万元，下降3.5%，主要原因是减少办公经费、差旅费等公用经费支出。</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（三）国有资产占用情况说明。</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 xml:space="preserve">  截至2021年12月31日，本部门共有车辆3辆，其中，副部（省）级及以上领导用车0辆、主要领导干部用车0辆、机要通信用车0辆、应急保障用车3辆、执法执勤用车0辆，特种专业技术用车0辆，离退休干部用车0辆，其他用车0辆，单价50万元（含）以上通用设备0台（套），单价100万元（含）以上专用设备0台（套）。</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（四）政府采购支出情况说明。</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2021年度本部门政府采购支出总额410.88万元，其中：政府采购货物支出0.00万元、政府采购工程支出410.88万元、政府采购服务支出0.00万元。授予中小企业合同金额0.00万元，占政府采购支出总额的0%，其中：授予小微企业合同金额0.00万元，占政府采购支出总额的0%。主要用于采购工程服务项目。</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五、预算绩效管理情况说明</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（一）预算绩效管理工作开展情况。</w:t>
      </w:r>
    </w:p>
    <w:p>
      <w:pPr>
        <w:pStyle w:val="4"/>
        <w:keepNext w:val="0"/>
        <w:keepLines w:val="0"/>
        <w:widowControl/>
        <w:suppressLineNumbers w:val="0"/>
        <w:autoSpaceDE w:val="0"/>
        <w:autoSpaceDN/>
        <w:spacing w:before="0" w:beforeAutospacing="0" w:line="480" w:lineRule="exact"/>
        <w:ind w:left="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根据预算绩效管理要求，长滩镇对2021年64个项目开展了绩效自评，涉及金额3406.67万元。以下为绩效自评表。</w:t>
      </w:r>
    </w:p>
    <w:p>
      <w:pPr>
        <w:pStyle w:val="4"/>
        <w:keepNext w:val="0"/>
        <w:keepLines w:val="0"/>
        <w:widowControl/>
        <w:suppressLineNumbers w:val="0"/>
        <w:autoSpaceDE w:val="0"/>
        <w:autoSpaceDN/>
        <w:spacing w:before="0" w:beforeAutospacing="0" w:line="480" w:lineRule="exact"/>
        <w:ind w:left="0" w:firstLine="562" w:firstLineChars="20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（二）绩效自评结果。</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b/>
          <w:bCs w:val="0"/>
          <w:sz w:val="28"/>
          <w:szCs w:val="28"/>
          <w:shd w:val="clear" w:fill="FFFFFF"/>
        </w:rPr>
      </w:pPr>
      <w:r>
        <w:rPr>
          <w:rStyle w:val="5"/>
          <w:rFonts w:hint="eastAsia" w:ascii="宋体" w:hAnsi="宋体" w:eastAsia="宋体" w:cs="宋体"/>
          <w:b/>
          <w:bCs w:val="0"/>
          <w:sz w:val="28"/>
          <w:szCs w:val="28"/>
          <w:shd w:val="clear" w:fill="FFFFFF"/>
        </w:rPr>
        <w:t xml:space="preserve">  1.绩效目标自评表。</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b/>
          <w:bCs w:val="0"/>
          <w:sz w:val="28"/>
          <w:szCs w:val="28"/>
          <w:shd w:val="clear" w:fill="FFFFFF"/>
        </w:rPr>
      </w:pPr>
      <w:r>
        <w:rPr>
          <w:rStyle w:val="5"/>
          <w:rFonts w:hint="eastAsia" w:ascii="宋体" w:hAnsi="宋体" w:eastAsia="宋体" w:cs="宋体"/>
          <w:b/>
          <w:bCs w:val="0"/>
          <w:sz w:val="28"/>
          <w:szCs w:val="28"/>
          <w:shd w:val="clear" w:fill="FFFFFF"/>
        </w:rPr>
        <w:t xml:space="preserve"> </w:t>
      </w:r>
    </w:p>
    <w:tbl>
      <w:tblPr>
        <w:tblStyle w:val="2"/>
        <w:tblW w:w="933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7"/>
        <w:gridCol w:w="677"/>
        <w:gridCol w:w="1364"/>
        <w:gridCol w:w="209"/>
        <w:gridCol w:w="1065"/>
        <w:gridCol w:w="90"/>
        <w:gridCol w:w="1172"/>
        <w:gridCol w:w="192"/>
        <w:gridCol w:w="1364"/>
        <w:gridCol w:w="49"/>
        <w:gridCol w:w="1606"/>
        <w:gridCol w:w="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6" w:type="dxa"/>
          <w:trHeight w:val="450" w:hRule="atLeast"/>
        </w:trPr>
        <w:tc>
          <w:tcPr>
            <w:tcW w:w="87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rPr>
            </w:pPr>
            <w:r>
              <w:rPr>
                <w:rFonts w:hint="eastAsia" w:ascii="宋体" w:hAnsi="宋体" w:eastAsia="宋体" w:cs="宋体"/>
                <w:b/>
                <w:bCs/>
                <w:i w:val="0"/>
                <w:iCs w:val="0"/>
                <w:color w:val="000000"/>
                <w:kern w:val="0"/>
                <w:sz w:val="32"/>
                <w:szCs w:val="32"/>
              </w:rPr>
              <w:t xml:space="preserve">2020年度部门（单位）一般性项目绩效自评表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专项（项目）名称</w:t>
            </w:r>
          </w:p>
        </w:tc>
        <w:tc>
          <w:tcPr>
            <w:tcW w:w="331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 xml:space="preserve">  2021年农村公路安全防护栏工程</w:t>
            </w:r>
          </w:p>
        </w:tc>
        <w:tc>
          <w:tcPr>
            <w:tcW w:w="12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联系人及电话</w:t>
            </w:r>
          </w:p>
        </w:tc>
        <w:tc>
          <w:tcPr>
            <w:tcW w:w="3211"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陈绍文：13509458226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业务主管部门</w:t>
            </w:r>
          </w:p>
        </w:tc>
        <w:tc>
          <w:tcPr>
            <w:tcW w:w="331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区交通局</w:t>
            </w:r>
          </w:p>
        </w:tc>
        <w:tc>
          <w:tcPr>
            <w:tcW w:w="12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实施单位</w:t>
            </w:r>
          </w:p>
        </w:tc>
        <w:tc>
          <w:tcPr>
            <w:tcW w:w="3211"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万州区长滩镇人民政府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项目资金（万元）</w:t>
            </w:r>
          </w:p>
        </w:tc>
        <w:tc>
          <w:tcPr>
            <w:tcW w:w="331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全年预算数（A）</w:t>
            </w:r>
          </w:p>
        </w:tc>
        <w:tc>
          <w:tcPr>
            <w:tcW w:w="2867"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全年执行数（B）</w:t>
            </w:r>
          </w:p>
        </w:tc>
        <w:tc>
          <w:tcPr>
            <w:tcW w:w="16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415.2</w:t>
            </w:r>
          </w:p>
        </w:tc>
        <w:tc>
          <w:tcPr>
            <w:tcW w:w="12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415.2</w:t>
            </w:r>
          </w:p>
        </w:tc>
        <w:tc>
          <w:tcPr>
            <w:tcW w:w="16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rPr>
            </w:pPr>
            <w:r>
              <w:rPr>
                <w:rFonts w:hint="eastAsia" w:ascii="宋体" w:hAnsi="宋体" w:eastAsia="宋体" w:cs="宋体"/>
                <w:i w:val="0"/>
                <w:iCs w:val="0"/>
                <w:color w:val="FF0000"/>
                <w:kern w:val="0"/>
                <w:sz w:val="20"/>
                <w:szCs w:val="20"/>
              </w:rPr>
              <w:t>其中：财政资金</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415.2</w:t>
            </w:r>
          </w:p>
        </w:tc>
        <w:tc>
          <w:tcPr>
            <w:tcW w:w="12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rPr>
            </w:pPr>
            <w:r>
              <w:rPr>
                <w:rFonts w:hint="eastAsia" w:ascii="宋体" w:hAnsi="宋体" w:eastAsia="宋体" w:cs="宋体"/>
                <w:i w:val="0"/>
                <w:iCs w:val="0"/>
                <w:color w:val="FF0000"/>
                <w:kern w:val="0"/>
                <w:sz w:val="20"/>
                <w:szCs w:val="20"/>
              </w:rPr>
              <w:t>其中：财政资金</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415.2</w:t>
            </w:r>
          </w:p>
        </w:tc>
        <w:tc>
          <w:tcPr>
            <w:tcW w:w="16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年度总体目标</w:t>
            </w:r>
          </w:p>
        </w:tc>
        <w:tc>
          <w:tcPr>
            <w:tcW w:w="457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年初设定目标</w:t>
            </w:r>
          </w:p>
        </w:tc>
        <w:tc>
          <w:tcPr>
            <w:tcW w:w="321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499"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577" w:type="dxa"/>
            <w:gridSpan w:val="6"/>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1.计划通过财政投资资金415.2万元，农村公路生命安全护栏24公里。                          2.通过安装农村公路生命安全护栏24公里，提高或改善项目区贫困群众安全出行保障和产业物资安全运输环境，以此促进项目区经济发展。</w:t>
            </w:r>
          </w:p>
        </w:tc>
        <w:tc>
          <w:tcPr>
            <w:tcW w:w="3211"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完成安装农村公路生命安全护栏24公里。解决或改善了项目区贫困群众安全出行条件和产业物资安全运输环境，促进了项目区域经济发展。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577" w:type="dxa"/>
            <w:gridSpan w:val="6"/>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211" w:type="dxa"/>
            <w:gridSpan w:val="4"/>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577" w:type="dxa"/>
            <w:gridSpan w:val="6"/>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211" w:type="dxa"/>
            <w:gridSpan w:val="4"/>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577" w:type="dxa"/>
            <w:gridSpan w:val="6"/>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211" w:type="dxa"/>
            <w:gridSpan w:val="4"/>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577" w:type="dxa"/>
            <w:gridSpan w:val="6"/>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211" w:type="dxa"/>
            <w:gridSpan w:val="4"/>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312"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577" w:type="dxa"/>
            <w:gridSpan w:val="6"/>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3211" w:type="dxa"/>
            <w:gridSpan w:val="4"/>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绩效指标</w:t>
            </w: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指标名称</w:t>
            </w:r>
          </w:p>
        </w:tc>
        <w:tc>
          <w:tcPr>
            <w:tcW w:w="10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年度指标值</w:t>
            </w:r>
          </w:p>
        </w:tc>
        <w:tc>
          <w:tcPr>
            <w:tcW w:w="12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全年完成值</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完成比例</w:t>
            </w:r>
          </w:p>
        </w:tc>
        <w:tc>
          <w:tcPr>
            <w:tcW w:w="16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未完成原因和改进措施</w:t>
            </w:r>
            <w:r>
              <w:rPr>
                <w:rFonts w:hint="eastAsia" w:ascii="宋体" w:hAnsi="宋体" w:eastAsia="宋体" w:cs="宋体"/>
                <w:b/>
                <w:bCs/>
                <w:i w:val="0"/>
                <w:iCs w:val="0"/>
                <w:color w:val="000000"/>
                <w:kern w:val="0"/>
                <w:sz w:val="20"/>
                <w:szCs w:val="20"/>
              </w:rPr>
              <w:br w:type="textWrapping"/>
            </w:r>
            <w:r>
              <w:rPr>
                <w:rFonts w:hint="eastAsia" w:ascii="宋体" w:hAnsi="宋体" w:eastAsia="宋体" w:cs="宋体"/>
                <w:b/>
                <w:bCs/>
                <w:i w:val="0"/>
                <w:iCs w:val="0"/>
                <w:color w:val="000000"/>
                <w:kern w:val="0"/>
                <w:sz w:val="20"/>
                <w:szCs w:val="20"/>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完成贫困村公路改造个数</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6</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6</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完成贫困村通组公路改造条数</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16</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16</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完成公路护栏里程</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24</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24</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项目（工程）验收合格率 （100%）</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道路设计及施工均应符合现行的国家有关建筑设计规范和行业标准</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工程使用年限</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&gt;=8年</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&gt;=8年</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项目（工程）完成及时率（≥**%）</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补助标准（万元/公里）</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16万元/公里</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16万元/公里</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受益群众人数</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&gt;=8000人</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&gt;=8000人</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受益建档立卡贫困人口数≥**人</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&gt;=1600人</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&gt;=1600人</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项目运行完好度</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&gt;=5年</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&gt;=5年</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乡村组满意度</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受益贫困人口满意度（≥**%）</w:t>
            </w:r>
          </w:p>
        </w:tc>
        <w:tc>
          <w:tcPr>
            <w:tcW w:w="106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&gt;=100%</w:t>
            </w:r>
          </w:p>
        </w:tc>
        <w:tc>
          <w:tcPr>
            <w:tcW w:w="126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&gt;=100%</w:t>
            </w: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100%</w:t>
            </w:r>
          </w:p>
        </w:tc>
        <w:tc>
          <w:tcPr>
            <w:tcW w:w="16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500" w:hRule="atLeast"/>
        </w:trPr>
        <w:tc>
          <w:tcPr>
            <w:tcW w:w="997"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2250" w:type="dxa"/>
            <w:gridSpan w:val="3"/>
            <w:tcBorders>
              <w:top w:val="nil"/>
              <w:left w:val="nil"/>
              <w:bottom w:val="nil"/>
              <w:right w:val="nil"/>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26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160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60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6" w:type="dxa"/>
          <w:trHeight w:val="45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说明</w:t>
            </w:r>
          </w:p>
        </w:tc>
        <w:tc>
          <w:tcPr>
            <w:tcW w:w="7788"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331"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32"/>
                <w:szCs w:val="32"/>
              </w:rPr>
            </w:pPr>
            <w:r>
              <w:rPr>
                <w:rFonts w:hint="eastAsia" w:ascii="方正黑体_GBK" w:hAnsi="方正黑体_GBK" w:eastAsia="方正黑体_GBK" w:cs="方正黑体_GBK"/>
                <w:i w:val="0"/>
                <w:iCs w:val="0"/>
                <w:color w:val="000000"/>
                <w:kern w:val="0"/>
                <w:sz w:val="32"/>
                <w:szCs w:val="32"/>
              </w:rPr>
              <w:t xml:space="preserve">2021年度部门（单位）一般性项目绩效自评表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项目名称</w:t>
            </w:r>
          </w:p>
        </w:tc>
        <w:tc>
          <w:tcPr>
            <w:tcW w:w="272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2021年人居环境整治</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联系人及电话</w:t>
            </w:r>
          </w:p>
        </w:tc>
        <w:tc>
          <w:tcPr>
            <w:tcW w:w="3565"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吴涛     15223795755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业务主管部门</w:t>
            </w:r>
          </w:p>
        </w:tc>
        <w:tc>
          <w:tcPr>
            <w:tcW w:w="272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重庆市万州区农业农村委员会</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实施单位</w:t>
            </w:r>
          </w:p>
        </w:tc>
        <w:tc>
          <w:tcPr>
            <w:tcW w:w="3565"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重庆市万州区长滩镇人民政府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67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项目资金（万元）</w:t>
            </w:r>
          </w:p>
        </w:tc>
        <w:tc>
          <w:tcPr>
            <w:tcW w:w="272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全年预算数（A）</w:t>
            </w:r>
          </w:p>
        </w:tc>
        <w:tc>
          <w:tcPr>
            <w:tcW w:w="272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全年执行数（B）</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44.5</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总量</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44.5</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rPr>
            </w:pPr>
            <w:r>
              <w:rPr>
                <w:rFonts w:hint="eastAsia" w:ascii="宋体" w:hAnsi="宋体" w:eastAsia="宋体" w:cs="宋体"/>
                <w:i w:val="0"/>
                <w:iCs w:val="0"/>
                <w:color w:val="FF0000"/>
                <w:kern w:val="0"/>
                <w:sz w:val="20"/>
                <w:szCs w:val="20"/>
              </w:rPr>
              <w:t>其中：财政资金</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44.5</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rPr>
            </w:pPr>
            <w:r>
              <w:rPr>
                <w:rFonts w:hint="eastAsia" w:ascii="宋体" w:hAnsi="宋体" w:eastAsia="宋体" w:cs="宋体"/>
                <w:i w:val="0"/>
                <w:iCs w:val="0"/>
                <w:color w:val="FF0000"/>
                <w:kern w:val="0"/>
                <w:sz w:val="20"/>
                <w:szCs w:val="20"/>
              </w:rPr>
              <w:t>其中：财政资金</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44.5</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67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年度总体目标</w:t>
            </w:r>
          </w:p>
        </w:tc>
        <w:tc>
          <w:tcPr>
            <w:tcW w:w="4092"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年初设定目标</w:t>
            </w:r>
          </w:p>
        </w:tc>
        <w:tc>
          <w:tcPr>
            <w:tcW w:w="356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4092"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继续以“三清一改”为主线，实现“三个100%”的目标，持续建立健全长效保洁机制。</w:t>
            </w:r>
          </w:p>
        </w:tc>
        <w:tc>
          <w:tcPr>
            <w:tcW w:w="356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以“三清一改”为重点内容，基本实现“三个100%”的目标，分村庄清洁行动、巩固提升、持续推进三个阶段全方位开展农村人居环境大整治，实现了村庄环境干净整洁有序，村内垃圾不乱堆乱放，杂物堆放整齐，房前屋后整洁，卫生厕所普及率进一步提高，污水乱排乱放现象明显减少，农民群众清洁卫生意识普遍提高、健康卫生的生活方式逐步养成，村容村貌焕然一新，长效保洁机制得以建立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67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绩效指标</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指标名称</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年度指标值</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全年完成值</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完成比例</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未完成原因和改进措施</w:t>
            </w:r>
            <w:r>
              <w:rPr>
                <w:rFonts w:hint="eastAsia" w:ascii="宋体" w:hAnsi="宋体" w:eastAsia="宋体" w:cs="宋体"/>
                <w:b/>
                <w:bCs/>
                <w:i w:val="0"/>
                <w:iCs w:val="0"/>
                <w:color w:val="000000"/>
                <w:kern w:val="0"/>
                <w:sz w:val="20"/>
                <w:szCs w:val="20"/>
              </w:rPr>
              <w:br w:type="textWrapping"/>
            </w:r>
            <w:r>
              <w:rPr>
                <w:rFonts w:hint="eastAsia" w:ascii="宋体" w:hAnsi="宋体" w:eastAsia="宋体" w:cs="宋体"/>
                <w:b/>
                <w:bCs/>
                <w:i w:val="0"/>
                <w:iCs w:val="0"/>
                <w:color w:val="000000"/>
                <w:kern w:val="0"/>
                <w:sz w:val="20"/>
                <w:szCs w:val="20"/>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清理秸秆、农膜及露天堆放农业废弃物（吨）</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112.6吨</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112.6吨</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清理沟渠（公里）</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156.6公里</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156.6公里</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整治残垣断壁（处）</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104处</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104处</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清理存量垃圾（吨）</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151.6吨</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151.6吨</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建成美丽村庄示范点（≥**个）</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2个</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2个</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悬挂、张贴宣传标语（条）</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31条</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31条</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建成美丽宜居示范院落（≥**个）</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2个</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2个</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发放宣传资料（张）</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2502张</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2502张</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制作宣传标语（≥**份）</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31份</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31份</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制作宣传资料（≥**份）</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2502份</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2502份</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购买清扫保洁器具（扫帚、铁锹、火钳等）（≥**件）</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310件</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310件</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制作文化宣传墙（≥**个）</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28个</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28个</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验收合格率</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清洁行动覆盖农村常住农户覆盖率（100%）</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农民知晓度（100%）</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农户参与度（100%）</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当年开工率（≥**%）</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当年完成率（≥**%）</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100%</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受益村庄清洁行动的贫困农户数</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365户</w:t>
            </w:r>
          </w:p>
        </w:tc>
        <w:tc>
          <w:tcPr>
            <w:tcW w:w="136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农村受益群众人数（人）</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3502人</w:t>
            </w:r>
          </w:p>
        </w:tc>
        <w:tc>
          <w:tcPr>
            <w:tcW w:w="136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受益建档立卡贫困户户数（**户）</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123户</w:t>
            </w:r>
          </w:p>
        </w:tc>
        <w:tc>
          <w:tcPr>
            <w:tcW w:w="136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动员村民组建临时清扫保洁队伍人数（**人）</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1050人</w:t>
            </w:r>
          </w:p>
        </w:tc>
        <w:tc>
          <w:tcPr>
            <w:tcW w:w="136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环保设施使用年限（≥**年）</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&gt;=3年</w:t>
            </w:r>
          </w:p>
        </w:tc>
        <w:tc>
          <w:tcPr>
            <w:tcW w:w="136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7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受益群众满意度（≥**%）</w:t>
            </w:r>
          </w:p>
        </w:tc>
        <w:tc>
          <w:tcPr>
            <w:tcW w:w="136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&gt;=90%</w:t>
            </w:r>
          </w:p>
        </w:tc>
        <w:tc>
          <w:tcPr>
            <w:tcW w:w="1364"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c>
          <w:tcPr>
            <w:tcW w:w="13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rPr>
            </w:pPr>
          </w:p>
        </w:tc>
        <w:tc>
          <w:tcPr>
            <w:tcW w:w="2201"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rPr>
                <w:rFonts w:hint="eastAsia" w:ascii="宋体" w:hAnsi="宋体" w:eastAsia="宋体" w:cs="宋体"/>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说明</w:t>
            </w:r>
          </w:p>
        </w:tc>
        <w:tc>
          <w:tcPr>
            <w:tcW w:w="7657"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p>
        </w:tc>
      </w:tr>
    </w:tbl>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六、专业名词解释</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 xml:space="preserve">  以下为常见专业名词解释目录，仅供参考，部门应根据实际情况进行解释和</w:t>
      </w:r>
      <w:r>
        <w:rPr>
          <w:rStyle w:val="5"/>
          <w:rFonts w:hint="eastAsia" w:ascii="宋体" w:hAnsi="宋体" w:eastAsia="宋体" w:cs="宋体"/>
          <w:b/>
          <w:bCs w:val="0"/>
          <w:sz w:val="28"/>
          <w:szCs w:val="28"/>
          <w:shd w:val="clear" w:fill="FFFFFF"/>
        </w:rPr>
        <w:t>增减</w:t>
      </w:r>
      <w:r>
        <w:rPr>
          <w:rFonts w:hint="eastAsia" w:ascii="宋体" w:hAnsi="宋体" w:eastAsia="宋体" w:cs="宋体"/>
          <w:kern w:val="0"/>
          <w:sz w:val="28"/>
          <w:szCs w:val="28"/>
          <w:shd w:val="clear" w:fill="FFFFFF"/>
        </w:rPr>
        <w:t>。比如可将类级功能科目和经济科目细化解释到项级。若有删减注意调整段落序号。</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（一）财政拨款收入</w:t>
      </w:r>
      <w:r>
        <w:rPr>
          <w:rFonts w:hint="eastAsia" w:ascii="宋体" w:hAnsi="宋体" w:eastAsia="宋体" w:cs="宋体"/>
          <w:kern w:val="0"/>
          <w:sz w:val="28"/>
          <w:szCs w:val="28"/>
          <w:shd w:val="clear" w:fill="FFFFFF"/>
        </w:rPr>
        <w:t>：指本年度从本级财政部门取得的财政拨款，包括一般公共预算财政拨款和政府性基金预算财政拨款。</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（二）事业收入</w:t>
      </w:r>
      <w:r>
        <w:rPr>
          <w:rFonts w:hint="eastAsia" w:ascii="宋体" w:hAnsi="宋体" w:eastAsia="宋体" w:cs="宋体"/>
          <w:kern w:val="0"/>
          <w:sz w:val="28"/>
          <w:szCs w:val="28"/>
          <w:shd w:val="clear" w:fill="FFFFFF"/>
        </w:rPr>
        <w:t>：指事业单位开展专业业务活动及其辅助活动取得的现金流入；事业单位收到的财政专户实际核拨的教育收费等资金在此反映。</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（三）经营收入</w:t>
      </w:r>
      <w:r>
        <w:rPr>
          <w:rFonts w:hint="eastAsia" w:ascii="宋体" w:hAnsi="宋体" w:eastAsia="宋体" w:cs="宋体"/>
          <w:kern w:val="0"/>
          <w:sz w:val="28"/>
          <w:szCs w:val="28"/>
          <w:shd w:val="clear" w:fill="FFFFFF"/>
        </w:rPr>
        <w:t>：指事业单位在专业业务活动及其辅助活动之外开展非独立核算经营活动取得的现金流入。</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（四）其他收入</w:t>
      </w:r>
      <w:r>
        <w:rPr>
          <w:rFonts w:hint="eastAsia" w:ascii="宋体" w:hAnsi="宋体" w:eastAsia="宋体" w:cs="宋体"/>
          <w:kern w:val="0"/>
          <w:sz w:val="28"/>
          <w:szCs w:val="28"/>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（五）使用非财政拨款结余</w:t>
      </w:r>
      <w:r>
        <w:rPr>
          <w:rFonts w:hint="eastAsia" w:ascii="宋体" w:hAnsi="宋体" w:eastAsia="宋体" w:cs="宋体"/>
          <w:kern w:val="0"/>
          <w:sz w:val="28"/>
          <w:szCs w:val="28"/>
          <w:shd w:val="clear"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（六）年初结转和结余</w:t>
      </w:r>
      <w:r>
        <w:rPr>
          <w:rFonts w:hint="eastAsia" w:ascii="宋体" w:hAnsi="宋体" w:eastAsia="宋体" w:cs="宋体"/>
          <w:kern w:val="0"/>
          <w:sz w:val="28"/>
          <w:szCs w:val="28"/>
          <w:shd w:val="clear" w:fill="FFFFFF"/>
        </w:rPr>
        <w:t>：指单位上年结转本年使用的基本支出结转、项目支出结转和结余、经营结余。</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（七）结余分配</w:t>
      </w:r>
      <w:r>
        <w:rPr>
          <w:rFonts w:hint="eastAsia" w:ascii="宋体" w:hAnsi="宋体" w:eastAsia="宋体" w:cs="宋体"/>
          <w:kern w:val="0"/>
          <w:sz w:val="28"/>
          <w:szCs w:val="28"/>
          <w:shd w:val="clear" w:fill="FFFFFF"/>
        </w:rPr>
        <w:t>：指单位按照国家有关规定，缴纳所得税、提取专用基金、转入非财政拨款结余等当年结余的分配情况。</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（八）年末结转和结余</w:t>
      </w:r>
      <w:r>
        <w:rPr>
          <w:rFonts w:hint="eastAsia" w:ascii="宋体" w:hAnsi="宋体" w:eastAsia="宋体" w:cs="宋体"/>
          <w:kern w:val="0"/>
          <w:sz w:val="28"/>
          <w:szCs w:val="28"/>
          <w:shd w:val="clear" w:fill="FFFFFF"/>
        </w:rPr>
        <w:t>：指单位结转下年的基本支出结转、项目支出结转和结余、经营结余。</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（九）基本支出</w:t>
      </w:r>
      <w:r>
        <w:rPr>
          <w:rFonts w:hint="eastAsia" w:ascii="宋体" w:hAnsi="宋体" w:eastAsia="宋体" w:cs="宋体"/>
          <w:kern w:val="0"/>
          <w:sz w:val="28"/>
          <w:szCs w:val="28"/>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（十）项目支出</w:t>
      </w:r>
      <w:r>
        <w:rPr>
          <w:rFonts w:hint="eastAsia" w:ascii="宋体" w:hAnsi="宋体" w:eastAsia="宋体" w:cs="宋体"/>
          <w:kern w:val="0"/>
          <w:sz w:val="28"/>
          <w:szCs w:val="28"/>
          <w:shd w:val="clear" w:fill="FFFFFF"/>
        </w:rPr>
        <w:t>：指在基本支出之外为完成特定行政任务和事业发展目标所发生的支出。</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（十一）经营支出</w:t>
      </w:r>
      <w:r>
        <w:rPr>
          <w:rFonts w:hint="eastAsia" w:ascii="宋体" w:hAnsi="宋体" w:eastAsia="宋体" w:cs="宋体"/>
          <w:kern w:val="0"/>
          <w:sz w:val="28"/>
          <w:szCs w:val="28"/>
          <w:shd w:val="clear" w:fill="FFFFFF"/>
        </w:rPr>
        <w:t>：指事业单位在专业业务活动及其辅助活动之外开展非独立核算经营活动发生的支出。</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（十二）“三公”经费</w:t>
      </w:r>
      <w:r>
        <w:rPr>
          <w:rFonts w:hint="eastAsia" w:ascii="宋体" w:hAnsi="宋体" w:eastAsia="宋体" w:cs="宋体"/>
          <w:kern w:val="0"/>
          <w:sz w:val="28"/>
          <w:szCs w:val="28"/>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（十三）机关运行经费</w:t>
      </w:r>
      <w:r>
        <w:rPr>
          <w:rFonts w:hint="eastAsia" w:ascii="宋体" w:hAnsi="宋体" w:eastAsia="宋体" w:cs="宋体"/>
          <w:kern w:val="0"/>
          <w:sz w:val="28"/>
          <w:szCs w:val="28"/>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（十四）工资福利支出（支出经济分类科目类级）</w:t>
      </w:r>
      <w:r>
        <w:rPr>
          <w:rFonts w:hint="eastAsia" w:ascii="宋体" w:hAnsi="宋体" w:eastAsia="宋体" w:cs="宋体"/>
          <w:kern w:val="0"/>
          <w:sz w:val="28"/>
          <w:szCs w:val="28"/>
          <w:shd w:val="clear" w:fill="FFFFFF"/>
        </w:rPr>
        <w:t>：反映单位开支的在职职工和编制外长期聘用人员的各类劳动报酬，以及为上述人员缴纳的各项社会保险费等。</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（十五）商品和服务支出（支出经济分类科目类级）</w:t>
      </w:r>
      <w:r>
        <w:rPr>
          <w:rFonts w:hint="eastAsia" w:ascii="宋体" w:hAnsi="宋体" w:eastAsia="宋体" w:cs="宋体"/>
          <w:kern w:val="0"/>
          <w:sz w:val="28"/>
          <w:szCs w:val="28"/>
          <w:shd w:val="clear" w:fill="FFFFFF"/>
        </w:rPr>
        <w:t>：反映单位购买商品和服务的支出（不包括用于购置固定资产的支出、战略性和应急储备支出）。</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（十六）对个人和家庭的补助（支出经济分类科目类级）</w:t>
      </w:r>
      <w:r>
        <w:rPr>
          <w:rFonts w:hint="eastAsia" w:ascii="宋体" w:hAnsi="宋体" w:eastAsia="宋体" w:cs="宋体"/>
          <w:kern w:val="0"/>
          <w:sz w:val="28"/>
          <w:szCs w:val="28"/>
          <w:shd w:val="clear" w:fill="FFFFFF"/>
        </w:rPr>
        <w:t>：反映用于对个人和家庭的补助支出。</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（十七）其他资本性支出（支出经济分类科目类级）</w:t>
      </w:r>
      <w:r>
        <w:rPr>
          <w:rFonts w:hint="eastAsia" w:ascii="宋体" w:hAnsi="宋体" w:eastAsia="宋体" w:cs="宋体"/>
          <w:kern w:val="0"/>
          <w:sz w:val="28"/>
          <w:szCs w:val="28"/>
          <w:shd w:val="clear"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Style w:val="5"/>
          <w:rFonts w:hint="eastAsia" w:ascii="宋体" w:hAnsi="宋体" w:eastAsia="宋体" w:cs="宋体"/>
          <w:b/>
          <w:bCs w:val="0"/>
          <w:sz w:val="28"/>
          <w:szCs w:val="28"/>
          <w:shd w:val="clear" w:fill="FFFFFF"/>
        </w:rPr>
        <w:t xml:space="preserve">  七、决算公开联系方式及信息反馈渠道</w:t>
      </w:r>
    </w:p>
    <w:p>
      <w:pPr>
        <w:pStyle w:val="4"/>
        <w:keepNext w:val="0"/>
        <w:keepLines w:val="0"/>
        <w:widowControl/>
        <w:suppressLineNumbers w:val="0"/>
        <w:autoSpaceDE w:val="0"/>
        <w:autoSpaceDN/>
        <w:spacing w:before="0" w:beforeAutospacing="0" w:line="480" w:lineRule="exact"/>
        <w:ind w:left="0"/>
        <w:jc w:val="left"/>
        <w:rPr>
          <w:rFonts w:hint="eastAsia" w:ascii="宋体" w:hAnsi="宋体" w:eastAsia="宋体" w:cs="宋体"/>
          <w:kern w:val="0"/>
          <w:sz w:val="28"/>
          <w:szCs w:val="28"/>
        </w:rPr>
      </w:pPr>
      <w:r>
        <w:rPr>
          <w:rFonts w:hint="eastAsia" w:ascii="宋体" w:hAnsi="宋体" w:eastAsia="宋体" w:cs="宋体"/>
          <w:kern w:val="0"/>
          <w:sz w:val="28"/>
          <w:szCs w:val="28"/>
          <w:shd w:val="clear" w:fill="FFFFFF"/>
        </w:rPr>
        <w:t xml:space="preserve">  本单位决算公开信息反馈和联系方式:02358621035</w:t>
      </w:r>
    </w:p>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Dk4YWQ2MDU5YzhmNWQxYzQ2ZThlZDAxMDdiY2QifQ=="/>
  </w:docVars>
  <w:rsids>
    <w:rsidRoot w:val="57F46C7C"/>
    <w:rsid w:val="57F4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6"/>
    <w:basedOn w:val="3"/>
    <w:uiPriority w:val="0"/>
    <w:rPr>
      <w:rFonts w:hint="default" w:ascii="Times New Roman" w:hAnsi="Times New Roman" w:cs="Times New Roman"/>
      <w:b/>
    </w:rPr>
  </w:style>
  <w:style w:type="character" w:customStyle="1" w:styleId="6">
    <w:name w:val="17"/>
    <w:basedOn w:val="3"/>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2023-11-16T01:16:00Z</dcterms:created>
  <dc:creator>Ray1397572507</dc:creator>
  <cp:lastModifiedBy>Ray1397572507</cp:lastModifiedBy>
  <dcterms:modified xsi:type="dcterms:W3CDTF">2023-11-16T01:17:33Z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6B2EE789DA40474D9EE7ECFA701366EC_11</vt:lpwstr>
  </property>
</Properties>
</file>