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重庆市万州区</w:t>
      </w:r>
      <w:r>
        <w:rPr>
          <w:rFonts w:hint="eastAsia" w:eastAsia="方正小标宋_GBK" w:cs="Times New Roman"/>
          <w:sz w:val="44"/>
          <w:szCs w:val="44"/>
          <w:lang w:val="en-US" w:eastAsia="zh-CN"/>
        </w:rPr>
        <w:t>燕山乡</w:t>
      </w:r>
      <w:r>
        <w:rPr>
          <w:rFonts w:hint="default" w:ascii="Times New Roman" w:hAnsi="Times New Roman" w:eastAsia="方正小标宋_GBK" w:cs="Times New Roman"/>
          <w:sz w:val="44"/>
          <w:szCs w:val="44"/>
        </w:rPr>
        <w:t>20</w:t>
      </w:r>
      <w:r>
        <w:rPr>
          <w:rFonts w:hint="default" w:ascii="Times New Roman" w:hAnsi="Times New Roman" w:eastAsia="方正小标宋_GBK" w:cs="Times New Roman"/>
          <w:sz w:val="44"/>
          <w:szCs w:val="44"/>
          <w:lang w:val="en-US" w:eastAsia="zh-CN"/>
        </w:rPr>
        <w:t>20</w:t>
      </w:r>
      <w:r>
        <w:rPr>
          <w:rFonts w:hint="default" w:ascii="Times New Roman" w:hAnsi="Times New Roman" w:eastAsia="方正小标宋_GBK" w:cs="Times New Roman"/>
          <w:sz w:val="44"/>
          <w:szCs w:val="44"/>
        </w:rPr>
        <w:t>部门决算</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0"/>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情况说明</w:t>
      </w:r>
    </w:p>
    <w:p>
      <w:pPr>
        <w:keepNext w:val="0"/>
        <w:keepLines w:val="0"/>
        <w:pageBreakBefore w:val="0"/>
        <w:kinsoku/>
        <w:wordWrap/>
        <w:overflowPunct/>
        <w:topLinePunct w:val="0"/>
        <w:autoSpaceDE/>
        <w:autoSpaceDN/>
        <w:bidi w:val="0"/>
        <w:adjustRightInd/>
        <w:snapToGrid/>
        <w:spacing w:line="500" w:lineRule="exact"/>
        <w:rPr>
          <w:rFonts w:hint="default"/>
          <w:lang w:eastAsia="zh-CN"/>
        </w:rPr>
      </w:pP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00" w:lineRule="exact"/>
        <w:ind w:firstLine="640" w:firstLineChars="20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pPr>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主要职能</w:t>
      </w:r>
    </w:p>
    <w:p>
      <w:pPr>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贯彻执行党的路线方针政策和国家的法律法规，深学笃用习近平新时代中国特色社会主义思想，坚持以人民为中心的发展思想，充分发挥乡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乡政府服务管理体制机制。</w:t>
      </w:r>
    </w:p>
    <w:p>
      <w:pPr>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(二)</w:t>
      </w:r>
      <w:r>
        <w:rPr>
          <w:rFonts w:hint="eastAsia" w:ascii="方正仿宋_GBK" w:eastAsia="方正仿宋_GBK"/>
          <w:sz w:val="32"/>
          <w:szCs w:val="32"/>
        </w:rPr>
        <w:t>综合办事机构设置</w:t>
      </w:r>
    </w:p>
    <w:p>
      <w:pPr>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遵循精简、统一、效能原则，设置综合办事机构8个，机构规格为正科级。分别是：党政办公室（挂党群工作办公室牌子）、经济发展办公室（挂统计办公室、农村经营管理办公室牌子、扶贫开发办公室牌子）、民政和社会事务办公室（挂卫生健康办公室牌子）、平安建设办公室、规划建设管理环保办公室、财政办公室、应急管理办公室、综合行政执法办公室。</w:t>
      </w:r>
    </w:p>
    <w:p>
      <w:pPr>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乡人大办公室、纪委、武装部按照有关规定设置。工会、团委、妇联等群团按章程设置。</w:t>
      </w:r>
    </w:p>
    <w:p>
      <w:pPr>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(三)</w:t>
      </w:r>
      <w:r>
        <w:rPr>
          <w:rFonts w:hint="eastAsia" w:ascii="方正仿宋_GBK" w:eastAsia="方正仿宋_GBK"/>
          <w:sz w:val="32"/>
          <w:szCs w:val="32"/>
        </w:rPr>
        <w:t>事业站所设置</w:t>
      </w:r>
    </w:p>
    <w:p>
      <w:pPr>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设置事业站所6个，机构规格为正科级。分别是：农业服务中心、文化服务中心、劳动就业和社会保障服务所、村镇建设环保服务中心、退役军人服务站、综合行政执法大队。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sz w:val="32"/>
          <w:szCs w:val="32"/>
        </w:rPr>
        <w:t>二、部门决算情况说明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本部门本年度一般公共预算财政拨款收入2130.80万元</w:t>
      </w:r>
      <w:r>
        <w:rPr>
          <w:rFonts w:hint="eastAsia" w:cs="Times New Roman"/>
          <w:kern w:val="0"/>
          <w:sz w:val="32"/>
          <w:szCs w:val="32"/>
          <w:lang w:eastAsia="zh-CN"/>
        </w:rPr>
        <w:t>，较上年度减少</w:t>
      </w:r>
      <w:r>
        <w:rPr>
          <w:rFonts w:hint="eastAsia" w:cs="Times New Roman"/>
          <w:kern w:val="0"/>
          <w:sz w:val="32"/>
          <w:szCs w:val="32"/>
          <w:lang w:val="en-US" w:eastAsia="zh-CN"/>
        </w:rPr>
        <w:t>526.66万元，减少19.82%</w:t>
      </w:r>
      <w:r>
        <w:rPr>
          <w:rFonts w:hint="default" w:ascii="Times New Roman" w:hAnsi="Times New Roman" w:eastAsia="方正仿宋_GBK" w:cs="Times New Roman"/>
          <w:kern w:val="0"/>
          <w:sz w:val="32"/>
          <w:szCs w:val="32"/>
        </w:rPr>
        <w:t>。本部门本年度政府性基金预算</w:t>
      </w:r>
      <w:r>
        <w:rPr>
          <w:rFonts w:hint="eastAsia" w:cs="Times New Roman"/>
          <w:kern w:val="0"/>
          <w:sz w:val="32"/>
          <w:szCs w:val="32"/>
          <w:lang w:eastAsia="zh-CN"/>
        </w:rPr>
        <w:t>财政</w:t>
      </w:r>
      <w:bookmarkStart w:id="0" w:name="_GoBack"/>
      <w:bookmarkEnd w:id="0"/>
      <w:r>
        <w:rPr>
          <w:rFonts w:hint="default" w:ascii="Times New Roman" w:hAnsi="Times New Roman" w:eastAsia="方正仿宋_GBK" w:cs="Times New Roman"/>
          <w:kern w:val="0"/>
          <w:sz w:val="32"/>
          <w:szCs w:val="32"/>
        </w:rPr>
        <w:t>拨款收入2275.92万元</w:t>
      </w:r>
      <w:r>
        <w:rPr>
          <w:rFonts w:hint="eastAsia" w:cs="Times New Roman"/>
          <w:kern w:val="0"/>
          <w:sz w:val="32"/>
          <w:szCs w:val="32"/>
          <w:lang w:eastAsia="zh-CN"/>
        </w:rPr>
        <w:t>，较上年度增加</w:t>
      </w:r>
      <w:r>
        <w:rPr>
          <w:rFonts w:hint="eastAsia" w:cs="Times New Roman"/>
          <w:kern w:val="0"/>
          <w:sz w:val="32"/>
          <w:szCs w:val="32"/>
          <w:lang w:val="en-US" w:eastAsia="zh-CN"/>
        </w:rPr>
        <w:t>1042.18万元，增加84.47%</w:t>
      </w:r>
      <w:r>
        <w:rPr>
          <w:rFonts w:hint="default" w:ascii="Times New Roman" w:hAnsi="Times New Roman" w:eastAsia="方正仿宋_GBK" w:cs="Times New Roman"/>
          <w:kern w:val="0"/>
          <w:sz w:val="32"/>
          <w:szCs w:val="32"/>
        </w:rPr>
        <w:t>。本部门本年度</w:t>
      </w:r>
      <w:r>
        <w:rPr>
          <w:rFonts w:hint="eastAsia" w:cs="Times New Roman"/>
          <w:kern w:val="0"/>
          <w:sz w:val="32"/>
          <w:szCs w:val="32"/>
          <w:lang w:eastAsia="zh-CN"/>
        </w:rPr>
        <w:t>支出</w:t>
      </w:r>
      <w:r>
        <w:rPr>
          <w:rFonts w:hint="eastAsia" w:cs="Times New Roman"/>
          <w:kern w:val="0"/>
          <w:sz w:val="32"/>
          <w:szCs w:val="32"/>
          <w:lang w:val="en-US" w:eastAsia="zh-CN"/>
        </w:rPr>
        <w:t>4406.72万元，增加了515.52万元，增加13.25%。本年基本支出1287.86万元，增加17.03万元，增加1.34%（其中人员经费支出950.64万元，减少19.57万元，减少2.02%；公用经费支出337.22万元，增加36.60万元，增加12.18%）。本年项目支出3118.86万元，较上年度增加498.49万元，增加19.02%。本年度实行收支平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三、“三公”经费情况说明 </w:t>
      </w:r>
    </w:p>
    <w:p>
      <w:pPr>
        <w:keepNext w:val="0"/>
        <w:keepLines w:val="0"/>
        <w:pageBreakBefore w:val="0"/>
        <w:kinsoku/>
        <w:wordWrap/>
        <w:overflowPunct/>
        <w:topLinePunct w:val="0"/>
        <w:autoSpaceDE/>
        <w:autoSpaceDN/>
        <w:bidi w:val="0"/>
        <w:adjustRightInd/>
        <w:snapToGrid/>
        <w:spacing w:line="500" w:lineRule="exact"/>
        <w:ind w:firstLine="709"/>
        <w:rPr>
          <w:rFonts w:hint="eastAsia" w:ascii="仿宋_GB2312" w:hAnsi="仿宋" w:eastAsia="仿宋_GB2312" w:cs="仿宋"/>
          <w:color w:val="000000"/>
        </w:rPr>
      </w:pPr>
      <w:r>
        <w:rPr>
          <w:rFonts w:hint="default" w:ascii="Times New Roman" w:hAnsi="Times New Roman" w:eastAsia="方正楷体_GBK" w:cs="Times New Roman"/>
          <w:color w:val="333333"/>
          <w:sz w:val="32"/>
          <w:szCs w:val="32"/>
        </w:rPr>
        <w:t>（一）“三公”经费支出情况。</w:t>
      </w:r>
      <w:r>
        <w:rPr>
          <w:rFonts w:hint="eastAsia" w:ascii="仿宋_GB2312" w:hAnsi="仿宋" w:eastAsia="仿宋_GB2312" w:cs="仿宋"/>
          <w:bCs/>
        </w:rPr>
        <w:t>201</w:t>
      </w:r>
      <w:r>
        <w:rPr>
          <w:rFonts w:hint="eastAsia" w:ascii="仿宋_GB2312" w:hAnsi="仿宋" w:eastAsia="仿宋_GB2312" w:cs="仿宋"/>
          <w:bCs/>
          <w:lang w:val="en-US" w:eastAsia="zh-CN"/>
        </w:rPr>
        <w:t>9</w:t>
      </w:r>
      <w:r>
        <w:rPr>
          <w:rFonts w:hint="eastAsia" w:ascii="仿宋_GB2312" w:hAnsi="仿宋" w:eastAsia="仿宋_GB2312" w:cs="仿宋"/>
          <w:bCs/>
        </w:rPr>
        <w:t>年“三公经费”</w:t>
      </w:r>
      <w:r>
        <w:rPr>
          <w:rFonts w:hint="eastAsia" w:ascii="仿宋_GB2312" w:hAnsi="仿宋" w:eastAsia="仿宋_GB2312" w:cs="仿宋"/>
          <w:bCs/>
          <w:lang w:val="en-US" w:eastAsia="zh-CN"/>
        </w:rPr>
        <w:t>17.59</w:t>
      </w:r>
      <w:r>
        <w:rPr>
          <w:rFonts w:hint="eastAsia" w:ascii="仿宋_GB2312" w:hAnsi="仿宋" w:eastAsia="仿宋_GB2312" w:cs="仿宋"/>
          <w:bCs/>
        </w:rPr>
        <w:t>万元，其中公务接待费</w:t>
      </w:r>
      <w:r>
        <w:rPr>
          <w:rFonts w:hint="eastAsia" w:ascii="仿宋_GB2312" w:hAnsi="仿宋" w:eastAsia="仿宋_GB2312" w:cs="仿宋"/>
          <w:bCs/>
          <w:lang w:val="en-US" w:eastAsia="zh-CN"/>
        </w:rPr>
        <w:t>7.34</w:t>
      </w:r>
      <w:r>
        <w:rPr>
          <w:rFonts w:hint="eastAsia" w:ascii="仿宋_GB2312" w:hAnsi="仿宋" w:eastAsia="仿宋_GB2312" w:cs="仿宋"/>
          <w:bCs/>
        </w:rPr>
        <w:t>万元，公务用车运行维护费10.25万元。20</w:t>
      </w:r>
      <w:r>
        <w:rPr>
          <w:rFonts w:hint="eastAsia" w:ascii="仿宋_GB2312" w:hAnsi="仿宋" w:eastAsia="仿宋_GB2312" w:cs="仿宋"/>
          <w:bCs/>
          <w:lang w:val="en-US" w:eastAsia="zh-CN"/>
        </w:rPr>
        <w:t>20</w:t>
      </w:r>
      <w:r>
        <w:rPr>
          <w:rFonts w:hint="eastAsia" w:ascii="仿宋_GB2312" w:hAnsi="仿宋" w:eastAsia="仿宋_GB2312" w:cs="仿宋"/>
          <w:bCs/>
        </w:rPr>
        <w:t>年“三公经费”17.59万元，其中公务接待费7.34万元，接待信访维稳及脱贫攻坚次268次，1580人次</w:t>
      </w:r>
      <w:r>
        <w:rPr>
          <w:rFonts w:hint="eastAsia" w:ascii="仿宋_GB2312" w:hAnsi="仿宋" w:eastAsia="仿宋_GB2312" w:cs="仿宋"/>
          <w:bCs/>
          <w:lang w:eastAsia="zh-CN"/>
        </w:rPr>
        <w:t>；</w:t>
      </w:r>
      <w:r>
        <w:rPr>
          <w:rFonts w:hint="eastAsia" w:ascii="仿宋_GB2312" w:hAnsi="仿宋" w:eastAsia="仿宋_GB2312" w:cs="仿宋"/>
          <w:bCs/>
        </w:rPr>
        <w:t>公务用车运行维护费10.25万元。同期比较减少</w:t>
      </w:r>
      <w:r>
        <w:rPr>
          <w:rFonts w:hint="eastAsia" w:ascii="仿宋_GB2312" w:hAnsi="仿宋" w:eastAsia="仿宋_GB2312" w:cs="仿宋"/>
          <w:bCs/>
          <w:lang w:val="en-US" w:eastAsia="zh-CN"/>
        </w:rPr>
        <w:t>8</w:t>
      </w:r>
      <w:r>
        <w:rPr>
          <w:rFonts w:hint="eastAsia" w:ascii="仿宋_GB2312" w:hAnsi="仿宋" w:eastAsia="仿宋_GB2312" w:cs="仿宋"/>
          <w:bCs/>
        </w:rPr>
        <w:t>元</w:t>
      </w:r>
      <w:r>
        <w:rPr>
          <w:rFonts w:hint="eastAsia" w:ascii="仿宋_GB2312" w:hAnsi="仿宋" w:eastAsia="仿宋_GB2312" w:cs="仿宋"/>
          <w:bCs/>
          <w:lang w:eastAsia="zh-CN"/>
        </w:rPr>
        <w:t>，减少</w:t>
      </w:r>
      <w:r>
        <w:rPr>
          <w:rFonts w:hint="eastAsia" w:ascii="仿宋_GB2312" w:hAnsi="仿宋" w:eastAsia="仿宋_GB2312" w:cs="仿宋"/>
          <w:bCs/>
          <w:lang w:val="en-US" w:eastAsia="zh-CN"/>
        </w:rPr>
        <w:t>0.01%</w:t>
      </w:r>
      <w:r>
        <w:rPr>
          <w:rFonts w:hint="eastAsia" w:ascii="仿宋_GB2312" w:hAnsi="仿宋" w:eastAsia="仿宋_GB2312" w:cs="仿宋"/>
          <w:bCs/>
        </w:rPr>
        <w:t>，主要是</w:t>
      </w:r>
      <w:r>
        <w:rPr>
          <w:rFonts w:hint="eastAsia" w:ascii="仿宋_GB2312" w:hAnsi="仿宋" w:eastAsia="仿宋_GB2312" w:cs="仿宋"/>
          <w:bCs/>
          <w:lang w:eastAsia="zh-CN"/>
        </w:rPr>
        <w:t>一贯</w:t>
      </w:r>
      <w:r>
        <w:rPr>
          <w:rFonts w:hint="eastAsia" w:ascii="仿宋_GB2312" w:hAnsi="仿宋" w:eastAsia="仿宋_GB2312" w:cs="仿宋"/>
          <w:bCs/>
        </w:rPr>
        <w:t>严格控制公务接待及车辆运行等开支</w:t>
      </w:r>
      <w:r>
        <w:rPr>
          <w:rFonts w:hint="eastAsia" w:ascii="仿宋_GB2312" w:hAnsi="仿宋" w:eastAsia="仿宋_GB2312" w:cs="仿宋"/>
          <w:bCs/>
          <w:lang w:eastAsia="zh-CN"/>
        </w:rPr>
        <w:t>，严格按照预算执行，</w:t>
      </w:r>
      <w:r>
        <w:rPr>
          <w:rFonts w:hint="eastAsia" w:ascii="仿宋_GB2312" w:hAnsi="仿宋" w:eastAsia="仿宋_GB2312" w:cs="仿宋"/>
          <w:bCs/>
        </w:rPr>
        <w:t>无外事接待。</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00" w:lineRule="exact"/>
        <w:ind w:firstLine="640" w:firstLineChars="20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四、其他需要说明的事项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cs="Times New Roman"/>
          <w:kern w:val="0"/>
          <w:sz w:val="32"/>
          <w:szCs w:val="32"/>
          <w:lang w:eastAsia="zh-CN"/>
        </w:rPr>
      </w:pPr>
      <w:r>
        <w:rPr>
          <w:rFonts w:hint="default" w:ascii="Times New Roman" w:hAnsi="Times New Roman" w:eastAsia="方正楷体_GBK" w:cs="Times New Roman"/>
          <w:color w:val="333333"/>
          <w:sz w:val="32"/>
          <w:szCs w:val="32"/>
        </w:rPr>
        <w:t>（一）机关运行经费情况说明。</w:t>
      </w:r>
      <w:r>
        <w:rPr>
          <w:rFonts w:hint="default" w:ascii="Times New Roman" w:hAnsi="Times New Roman" w:eastAsia="方正仿宋_GBK" w:cs="Times New Roman"/>
          <w:kern w:val="0"/>
          <w:sz w:val="32"/>
          <w:szCs w:val="32"/>
        </w:rPr>
        <w:t>至少应包含以下信息：2020年度本单位机关运行经费支出</w:t>
      </w:r>
      <w:r>
        <w:rPr>
          <w:rFonts w:hint="eastAsia" w:cs="Times New Roman"/>
          <w:kern w:val="0"/>
          <w:sz w:val="32"/>
          <w:szCs w:val="32"/>
          <w:lang w:val="en-US" w:eastAsia="zh-CN"/>
        </w:rPr>
        <w:t>209.36</w:t>
      </w:r>
      <w:r>
        <w:rPr>
          <w:rFonts w:hint="default" w:ascii="Times New Roman" w:hAnsi="Times New Roman" w:eastAsia="方正仿宋_GBK" w:cs="Times New Roman"/>
          <w:kern w:val="0"/>
          <w:sz w:val="32"/>
          <w:szCs w:val="32"/>
        </w:rPr>
        <w:t>万元，</w:t>
      </w:r>
      <w:r>
        <w:rPr>
          <w:rFonts w:hint="eastAsia" w:cs="Times New Roman"/>
          <w:kern w:val="0"/>
          <w:sz w:val="32"/>
          <w:szCs w:val="32"/>
          <w:lang w:eastAsia="zh-CN"/>
        </w:rPr>
        <w:t>与上年持平</w:t>
      </w:r>
      <w:r>
        <w:rPr>
          <w:rFonts w:hint="default" w:ascii="Times New Roman" w:hAnsi="Times New Roman" w:eastAsia="方正仿宋_GBK" w:cs="Times New Roman"/>
          <w:kern w:val="0"/>
          <w:sz w:val="32"/>
          <w:szCs w:val="32"/>
        </w:rPr>
        <w:t>，主要原因是</w:t>
      </w:r>
      <w:r>
        <w:rPr>
          <w:rFonts w:hint="eastAsia" w:cs="Times New Roman"/>
          <w:kern w:val="0"/>
          <w:sz w:val="32"/>
          <w:szCs w:val="32"/>
          <w:lang w:eastAsia="zh-CN"/>
        </w:rPr>
        <w:t>严格按照预算执行控制运行开支</w:t>
      </w:r>
      <w:r>
        <w:rPr>
          <w:rFonts w:hint="default" w:ascii="Times New Roman" w:hAnsi="Times New Roman" w:eastAsia="方正仿宋_GBK" w:cs="Times New Roman"/>
          <w:kern w:val="0"/>
          <w:sz w:val="32"/>
          <w:szCs w:val="32"/>
        </w:rPr>
        <w:t>。机关运行经费主要用于</w:t>
      </w:r>
      <w:r>
        <w:rPr>
          <w:rFonts w:hint="eastAsia" w:cs="Times New Roman"/>
          <w:kern w:val="0"/>
          <w:sz w:val="32"/>
          <w:szCs w:val="32"/>
          <w:lang w:eastAsia="zh-CN"/>
        </w:rPr>
        <w:t>办公费、劳务费、会议费、培训费等。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本年度会议费支出</w:t>
      </w:r>
      <w:r>
        <w:rPr>
          <w:rFonts w:hint="eastAsia" w:cs="Times New Roman"/>
          <w:kern w:val="0"/>
          <w:sz w:val="32"/>
          <w:szCs w:val="32"/>
          <w:lang w:val="en-US" w:eastAsia="zh-CN"/>
        </w:rPr>
        <w:t>0.2</w:t>
      </w:r>
      <w:r>
        <w:rPr>
          <w:rFonts w:hint="default" w:ascii="Times New Roman" w:hAnsi="Times New Roman" w:eastAsia="方正仿宋_GBK" w:cs="Times New Roman"/>
          <w:kern w:val="0"/>
          <w:sz w:val="32"/>
          <w:szCs w:val="32"/>
        </w:rPr>
        <w:t>万元，</w:t>
      </w:r>
      <w:r>
        <w:rPr>
          <w:rFonts w:hint="eastAsia" w:cs="Times New Roman"/>
          <w:kern w:val="0"/>
          <w:sz w:val="32"/>
          <w:szCs w:val="32"/>
          <w:lang w:eastAsia="zh-CN"/>
        </w:rPr>
        <w:t>培训费</w:t>
      </w:r>
      <w:r>
        <w:rPr>
          <w:rFonts w:hint="eastAsia" w:cs="Times New Roman"/>
          <w:kern w:val="0"/>
          <w:sz w:val="32"/>
          <w:szCs w:val="32"/>
          <w:lang w:val="en-US" w:eastAsia="zh-CN"/>
        </w:rPr>
        <w:t>3.25万元</w:t>
      </w:r>
      <w:r>
        <w:rPr>
          <w:rFonts w:hint="default" w:ascii="Times New Roman" w:hAnsi="Times New Roman" w:eastAsia="方正仿宋_GBK" w:cs="Times New Roman"/>
          <w:kern w:val="0"/>
          <w:sz w:val="32"/>
          <w:szCs w:val="32"/>
        </w:rPr>
        <w:t>较上年决算数增加</w:t>
      </w:r>
      <w:r>
        <w:rPr>
          <w:rFonts w:hint="eastAsia" w:cs="Times New Roman"/>
          <w:kern w:val="0"/>
          <w:sz w:val="32"/>
          <w:szCs w:val="32"/>
          <w:lang w:val="en-US" w:eastAsia="zh-CN"/>
        </w:rPr>
        <w:t>0.34</w:t>
      </w:r>
      <w:r>
        <w:rPr>
          <w:rFonts w:hint="default" w:ascii="Times New Roman" w:hAnsi="Times New Roman" w:eastAsia="方正仿宋_GBK" w:cs="Times New Roman"/>
          <w:kern w:val="0"/>
          <w:sz w:val="32"/>
          <w:szCs w:val="32"/>
        </w:rPr>
        <w:t>万元，增长</w:t>
      </w:r>
      <w:r>
        <w:rPr>
          <w:rFonts w:hint="eastAsia" w:cs="Times New Roman"/>
          <w:kern w:val="0"/>
          <w:sz w:val="32"/>
          <w:szCs w:val="32"/>
          <w:lang w:val="en-US" w:eastAsia="zh-CN"/>
        </w:rPr>
        <w:t>11.62</w:t>
      </w:r>
      <w:r>
        <w:rPr>
          <w:rFonts w:hint="default" w:ascii="Times New Roman" w:hAnsi="Times New Roman" w:eastAsia="方正仿宋_GBK" w:cs="Times New Roman"/>
          <w:kern w:val="0"/>
          <w:sz w:val="32"/>
          <w:szCs w:val="32"/>
        </w:rPr>
        <w:t>%，主要原因是</w:t>
      </w:r>
      <w:r>
        <w:rPr>
          <w:rFonts w:hint="eastAsia" w:cs="Times New Roman"/>
          <w:kern w:val="0"/>
          <w:sz w:val="32"/>
          <w:szCs w:val="32"/>
          <w:lang w:eastAsia="zh-CN"/>
        </w:rPr>
        <w:t>上级安排的培训增加</w:t>
      </w:r>
      <w:r>
        <w:rPr>
          <w:rFonts w:hint="default" w:ascii="Times New Roman" w:hAnsi="Times New Roman" w:eastAsia="方正仿宋_GBK" w:cs="Times New Roman"/>
          <w:kern w:val="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color w:val="333333"/>
          <w:sz w:val="32"/>
          <w:szCs w:val="32"/>
        </w:rPr>
        <w:t>国有资产占用情况说明。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截至2020年12月31日，本部门共有车辆</w:t>
      </w:r>
      <w:r>
        <w:rPr>
          <w:rFonts w:hint="eastAsia" w:cs="Times New Roman"/>
          <w:kern w:val="0"/>
          <w:sz w:val="32"/>
          <w:szCs w:val="32"/>
          <w:lang w:val="en-US" w:eastAsia="zh-CN"/>
        </w:rPr>
        <w:t>3</w:t>
      </w:r>
      <w:r>
        <w:rPr>
          <w:rFonts w:hint="default" w:ascii="Times New Roman" w:hAnsi="Times New Roman" w:eastAsia="方正仿宋_GBK" w:cs="Times New Roman"/>
          <w:kern w:val="0"/>
          <w:sz w:val="32"/>
          <w:szCs w:val="32"/>
        </w:rPr>
        <w:t>辆。其中：应急保障用车</w:t>
      </w:r>
      <w:r>
        <w:rPr>
          <w:rFonts w:hint="eastAsia" w:cs="Times New Roman"/>
          <w:kern w:val="0"/>
          <w:sz w:val="32"/>
          <w:szCs w:val="32"/>
          <w:lang w:val="en-US" w:eastAsia="zh-CN"/>
        </w:rPr>
        <w:t>3</w:t>
      </w:r>
      <w:r>
        <w:rPr>
          <w:rFonts w:hint="default" w:ascii="Times New Roman" w:hAnsi="Times New Roman" w:eastAsia="方正仿宋_GBK" w:cs="Times New Roman"/>
          <w:kern w:val="0"/>
          <w:sz w:val="32"/>
          <w:szCs w:val="32"/>
        </w:rPr>
        <w:t>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五、预算绩效管理情况说明</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00" w:lineRule="exact"/>
        <w:ind w:firstLine="640" w:firstLineChars="200"/>
        <w:textAlignment w:val="auto"/>
        <w:outlineLvl w:val="1"/>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color w:val="333333"/>
          <w:sz w:val="32"/>
          <w:szCs w:val="32"/>
        </w:rPr>
        <w:t>（一）预算绩效管理工作开展情况</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根据预算绩效管理要求，我单位对</w:t>
      </w:r>
      <w:r>
        <w:rPr>
          <w:rFonts w:hint="eastAsia" w:cs="Times New Roman"/>
          <w:kern w:val="0"/>
          <w:sz w:val="32"/>
          <w:szCs w:val="32"/>
          <w:lang w:val="en-US" w:eastAsia="zh-CN"/>
        </w:rPr>
        <w:t>3</w:t>
      </w:r>
      <w:r>
        <w:rPr>
          <w:rFonts w:hint="default" w:ascii="Times New Roman" w:hAnsi="Times New Roman" w:eastAsia="方正仿宋_GBK" w:cs="Times New Roman"/>
          <w:kern w:val="0"/>
          <w:sz w:val="32"/>
          <w:szCs w:val="32"/>
        </w:rPr>
        <w:t>个项目开展了绩效自评，其中，以填报</w:t>
      </w:r>
      <w:r>
        <w:rPr>
          <w:rFonts w:hint="default" w:ascii="Times New Roman" w:hAnsi="Times New Roman" w:eastAsia="方正仿宋_GBK" w:cs="Times New Roman"/>
          <w:kern w:val="0"/>
          <w:sz w:val="32"/>
          <w:szCs w:val="32"/>
          <w:lang w:val="en-US" w:eastAsia="zh-CN"/>
        </w:rPr>
        <w:t>绩效</w:t>
      </w:r>
      <w:r>
        <w:rPr>
          <w:rFonts w:hint="default" w:ascii="Times New Roman" w:hAnsi="Times New Roman" w:eastAsia="方正仿宋_GBK" w:cs="Times New Roman"/>
          <w:kern w:val="0"/>
          <w:sz w:val="32"/>
          <w:szCs w:val="32"/>
        </w:rPr>
        <w:t>自评表形式开展自评</w:t>
      </w:r>
      <w:r>
        <w:rPr>
          <w:rFonts w:hint="eastAsia" w:cs="Times New Roman"/>
          <w:kern w:val="0"/>
          <w:sz w:val="32"/>
          <w:szCs w:val="32"/>
          <w:lang w:val="en-US" w:eastAsia="zh-CN"/>
        </w:rPr>
        <w:t>3</w:t>
      </w:r>
      <w:r>
        <w:rPr>
          <w:rFonts w:hint="default" w:ascii="Times New Roman" w:hAnsi="Times New Roman" w:eastAsia="方正仿宋_GBK" w:cs="Times New Roman"/>
          <w:kern w:val="0"/>
          <w:sz w:val="32"/>
          <w:szCs w:val="32"/>
        </w:rPr>
        <w:t>项，涉及资金</w:t>
      </w:r>
      <w:r>
        <w:rPr>
          <w:rFonts w:hint="eastAsia" w:cs="Times New Roman"/>
          <w:kern w:val="0"/>
          <w:sz w:val="32"/>
          <w:szCs w:val="32"/>
          <w:lang w:val="en-US" w:eastAsia="zh-CN"/>
        </w:rPr>
        <w:t>1810</w:t>
      </w:r>
      <w:r>
        <w:rPr>
          <w:rFonts w:hint="default" w:ascii="Times New Roman" w:hAnsi="Times New Roman" w:eastAsia="方正仿宋_GBK" w:cs="Times New Roman"/>
          <w:kern w:val="0"/>
          <w:sz w:val="32"/>
          <w:szCs w:val="32"/>
        </w:rPr>
        <w:t>万元</w:t>
      </w:r>
      <w:r>
        <w:rPr>
          <w:rFonts w:hint="eastAsia" w:cs="Times New Roman"/>
          <w:kern w:val="0"/>
          <w:sz w:val="32"/>
          <w:szCs w:val="32"/>
          <w:lang w:eastAsia="zh-CN"/>
        </w:rPr>
        <w:t>。</w:t>
      </w:r>
      <w:r>
        <w:rPr>
          <w:rFonts w:hint="default" w:ascii="Times New Roman" w:hAnsi="Times New Roman" w:eastAsia="方正仿宋_GBK" w:cs="Times New Roman"/>
          <w:kern w:val="0"/>
          <w:sz w:val="32"/>
          <w:szCs w:val="32"/>
        </w:rPr>
        <w:t>从评价情况来看，</w:t>
      </w:r>
      <w:r>
        <w:rPr>
          <w:rFonts w:hint="eastAsia" w:cs="Times New Roman"/>
          <w:kern w:val="0"/>
          <w:sz w:val="32"/>
          <w:szCs w:val="32"/>
          <w:lang w:eastAsia="zh-CN"/>
        </w:rPr>
        <w:t>我单位项目均按期完成了年度计划，年度经费及时拨付到达依托单位。</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00" w:lineRule="exact"/>
        <w:ind w:firstLine="640" w:firstLineChars="200"/>
        <w:textAlignment w:val="auto"/>
        <w:outlineLvl w:val="1"/>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color w:val="333333"/>
          <w:sz w:val="32"/>
          <w:szCs w:val="32"/>
        </w:rPr>
        <w:t>（二）绩效自评结果</w:t>
      </w:r>
    </w:p>
    <w:tbl>
      <w:tblPr>
        <w:tblStyle w:val="5"/>
        <w:tblW w:w="93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71"/>
        <w:gridCol w:w="1262"/>
        <w:gridCol w:w="1624"/>
        <w:gridCol w:w="1574"/>
        <w:gridCol w:w="1364"/>
        <w:gridCol w:w="2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9" w:hRule="atLeast"/>
        </w:trPr>
        <w:tc>
          <w:tcPr>
            <w:tcW w:w="9325" w:type="dxa"/>
            <w:gridSpan w:val="6"/>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 xml:space="preserve">2020年度部门（单位）一般性项目绩效自评表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9" w:hRule="atLeast"/>
        </w:trPr>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专项（项目）名称</w:t>
            </w:r>
          </w:p>
        </w:tc>
        <w:tc>
          <w:tcPr>
            <w:tcW w:w="28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万州区燕山乡2020年临水临塘道路安全生命防护工程</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联系人及电话</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刘剑13983511301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业务主管部门</w:t>
            </w:r>
          </w:p>
        </w:tc>
        <w:tc>
          <w:tcPr>
            <w:tcW w:w="28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区交通局</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万州区燕山乡人民政府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9" w:hRule="atLeast"/>
        </w:trPr>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项目资金（万元）</w:t>
            </w:r>
          </w:p>
        </w:tc>
        <w:tc>
          <w:tcPr>
            <w:tcW w:w="28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全年预算数（A）</w:t>
            </w:r>
          </w:p>
        </w:tc>
        <w:tc>
          <w:tcPr>
            <w:tcW w:w="293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全年执行数（B）</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9"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总量</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60.544</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总量</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29.48</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其中：财政资金</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其中：财政资金</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2021年执行51%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2" w:hRule="atLeast"/>
        </w:trPr>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44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80"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44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在燕山乡东峡村、泉水村、长柏村、沱基村、复兴社区临水临塘道路安装安全防护栏3.784公里，保障全乡8500人安全出行，其中建卡贫困户1248人。</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实际完成临水临塘道路护栏安装3.784公里，保障了全乡8500人安全出行，其中建卡贫困户1248人。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年度指标值</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完成比例</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未完成原因和改进措施</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及相关说明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12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3.784公里</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3.784公里</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12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16万/公里</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60.544万元</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等级指标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防护栏等级</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C级波形梁钢护栏</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辐射带动人口</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8500人</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间接保障经济发展</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全乡</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对环境破坏</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极小</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社会公众或服务对象满意度指标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出行群众满意度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9" w:hRule="atLeast"/>
        </w:trPr>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c>
          <w:tcPr>
            <w:tcW w:w="785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请在此处简要说明各级审计和财政监督检查中发现的问题及其所涉及的金额，如没有请填无。</w:t>
            </w:r>
          </w:p>
        </w:tc>
      </w:tr>
    </w:tbl>
    <w:p>
      <w:pPr>
        <w:pStyle w:val="8"/>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00" w:lineRule="exact"/>
        <w:textAlignment w:val="auto"/>
        <w:outlineLvl w:val="0"/>
        <w:rPr>
          <w:rFonts w:hint="default" w:ascii="Times New Roman" w:hAnsi="Times New Roman" w:eastAsia="方正黑体_GBK" w:cs="Times New Roman"/>
          <w:sz w:val="32"/>
          <w:szCs w:val="32"/>
        </w:rPr>
      </w:pPr>
    </w:p>
    <w:p>
      <w:pPr>
        <w:pStyle w:val="8"/>
        <w:keepNext w:val="0"/>
        <w:keepLines w:val="0"/>
        <w:pageBreakBefore w:val="0"/>
        <w:widowControl w:val="0"/>
        <w:numPr>
          <w:ilvl w:val="0"/>
          <w:numId w:val="2"/>
        </w:numPr>
        <w:tabs>
          <w:tab w:val="center" w:pos="4153"/>
          <w:tab w:val="left" w:pos="7275"/>
        </w:tabs>
        <w:kinsoku/>
        <w:wordWrap/>
        <w:overflowPunct/>
        <w:topLinePunct w:val="0"/>
        <w:autoSpaceDE/>
        <w:autoSpaceDN/>
        <w:bidi w:val="0"/>
        <w:adjustRightInd/>
        <w:snapToGrid/>
        <w:spacing w:line="500" w:lineRule="exact"/>
        <w:ind w:firstLine="64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专业名词解释</w:t>
      </w:r>
    </w:p>
    <w:p>
      <w:pPr>
        <w:pStyle w:val="8"/>
        <w:keepNext w:val="0"/>
        <w:keepLines w:val="0"/>
        <w:pageBreakBefore w:val="0"/>
        <w:tabs>
          <w:tab w:val="center" w:pos="4153"/>
          <w:tab w:val="left" w:pos="7275"/>
        </w:tabs>
        <w:kinsoku/>
        <w:wordWrap/>
        <w:overflowPunct/>
        <w:topLinePunct w:val="0"/>
        <w:autoSpaceDE/>
        <w:autoSpaceDN/>
        <w:bidi w:val="0"/>
        <w:adjustRightInd/>
        <w:snapToGrid/>
        <w:spacing w:line="590" w:lineRule="exact"/>
        <w:ind w:firstLine="640"/>
        <w:jc w:val="both"/>
        <w:textAlignment w:val="auto"/>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8"/>
        <w:keepNext w:val="0"/>
        <w:keepLines w:val="0"/>
        <w:pageBreakBefore w:val="0"/>
        <w:tabs>
          <w:tab w:val="center" w:pos="4153"/>
          <w:tab w:val="left" w:pos="7275"/>
        </w:tabs>
        <w:kinsoku/>
        <w:wordWrap/>
        <w:overflowPunct/>
        <w:topLinePunct w:val="0"/>
        <w:autoSpaceDE/>
        <w:autoSpaceDN/>
        <w:bidi w:val="0"/>
        <w:adjustRightInd/>
        <w:snapToGrid/>
        <w:spacing w:line="590" w:lineRule="exact"/>
        <w:ind w:firstLine="640"/>
        <w:jc w:val="both"/>
        <w:textAlignment w:val="auto"/>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8"/>
        <w:keepNext w:val="0"/>
        <w:keepLines w:val="0"/>
        <w:pageBreakBefore w:val="0"/>
        <w:tabs>
          <w:tab w:val="center" w:pos="4153"/>
          <w:tab w:val="left" w:pos="7275"/>
        </w:tabs>
        <w:kinsoku/>
        <w:wordWrap/>
        <w:overflowPunct/>
        <w:topLinePunct w:val="0"/>
        <w:autoSpaceDE/>
        <w:autoSpaceDN/>
        <w:bidi w:val="0"/>
        <w:adjustRightInd/>
        <w:snapToGrid/>
        <w:spacing w:line="590" w:lineRule="exact"/>
        <w:ind w:firstLine="640"/>
        <w:jc w:val="both"/>
        <w:textAlignment w:val="auto"/>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8"/>
        <w:keepNext w:val="0"/>
        <w:keepLines w:val="0"/>
        <w:pageBreakBefore w:val="0"/>
        <w:tabs>
          <w:tab w:val="center" w:pos="4153"/>
          <w:tab w:val="left" w:pos="7275"/>
        </w:tabs>
        <w:kinsoku/>
        <w:wordWrap/>
        <w:overflowPunct/>
        <w:topLinePunct w:val="0"/>
        <w:autoSpaceDE/>
        <w:autoSpaceDN/>
        <w:bidi w:val="0"/>
        <w:adjustRightInd/>
        <w:snapToGrid/>
        <w:spacing w:line="590" w:lineRule="exact"/>
        <w:ind w:firstLine="640"/>
        <w:jc w:val="both"/>
        <w:textAlignment w:val="auto"/>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pStyle w:val="8"/>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00" w:lineRule="exact"/>
        <w:ind w:firstLine="640" w:firstLineChars="200"/>
        <w:textAlignment w:val="auto"/>
        <w:outlineLvl w:val="0"/>
        <w:rPr>
          <w:rFonts w:hint="default" w:ascii="Times New Roman" w:hAnsi="Times New Roman" w:eastAsia="方正黑体_GBK" w:cs="Times New Roman"/>
          <w:sz w:val="32"/>
          <w:szCs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val="0"/>
        <w:tabs>
          <w:tab w:val="center" w:pos="4153"/>
          <w:tab w:val="left" w:pos="7275"/>
        </w:tabs>
        <w:kinsoku/>
        <w:wordWrap/>
        <w:overflowPunct/>
        <w:topLinePunct w:val="0"/>
        <w:autoSpaceDE/>
        <w:autoSpaceDN/>
        <w:bidi w:val="0"/>
        <w:adjustRightInd/>
        <w:snapToGrid/>
        <w:spacing w:line="500" w:lineRule="exact"/>
        <w:ind w:firstLine="64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七、决算公开联系方式</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ascii="仿宋" w:hAnsi="仿宋" w:eastAsia="仿宋" w:cs="仿宋"/>
          <w:b w:val="0"/>
          <w:bCs/>
          <w:sz w:val="32"/>
        </w:rPr>
        <w:t>部门预算公开联系人：</w:t>
      </w:r>
      <w:r>
        <w:rPr>
          <w:rFonts w:hint="eastAsia" w:ascii="仿宋" w:hAnsi="仿宋" w:eastAsia="仿宋" w:cs="仿宋"/>
          <w:b w:val="0"/>
          <w:bCs/>
          <w:sz w:val="32"/>
          <w:lang w:eastAsia="zh-CN"/>
        </w:rPr>
        <w:t>刘星驿</w:t>
      </w:r>
      <w:r>
        <w:rPr>
          <w:rFonts w:hint="eastAsia" w:ascii="仿宋" w:hAnsi="仿宋" w:eastAsia="仿宋" w:cs="仿宋"/>
          <w:b w:val="0"/>
          <w:bCs/>
          <w:sz w:val="32"/>
        </w:rPr>
        <w:t xml:space="preserve">  联系方式：023-</w:t>
      </w:r>
      <w:r>
        <w:rPr>
          <w:rFonts w:hint="eastAsia" w:ascii="仿宋" w:hAnsi="仿宋" w:eastAsia="仿宋" w:cs="仿宋"/>
          <w:b w:val="0"/>
          <w:bCs/>
          <w:sz w:val="32"/>
          <w:lang w:val="en-US" w:eastAsia="zh-CN"/>
        </w:rPr>
        <w:t>58574188</w:t>
      </w:r>
    </w:p>
    <w:sectPr>
      <w:footerReference r:id="rId5" w:type="default"/>
      <w:pgSz w:w="11906" w:h="16838"/>
      <w:pgMar w:top="2098" w:right="1531" w:bottom="1985" w:left="1531" w:header="851" w:footer="1474"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554BCE"/>
    <w:multiLevelType w:val="singleLevel"/>
    <w:tmpl w:val="4F554BCE"/>
    <w:lvl w:ilvl="0" w:tentative="0">
      <w:start w:val="2"/>
      <w:numFmt w:val="chineseCounting"/>
      <w:suff w:val="nothing"/>
      <w:lvlText w:val="（%1）"/>
      <w:lvlJc w:val="left"/>
      <w:rPr>
        <w:rFonts w:hint="eastAsia"/>
      </w:rPr>
    </w:lvl>
  </w:abstractNum>
  <w:abstractNum w:abstractNumId="1">
    <w:nsid w:val="7DA48843"/>
    <w:multiLevelType w:val="singleLevel"/>
    <w:tmpl w:val="7DA4884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C582A"/>
    <w:rsid w:val="000A3F78"/>
    <w:rsid w:val="01806D81"/>
    <w:rsid w:val="01A655EC"/>
    <w:rsid w:val="02356CFC"/>
    <w:rsid w:val="026D3363"/>
    <w:rsid w:val="03483378"/>
    <w:rsid w:val="05826A24"/>
    <w:rsid w:val="06EB5AFF"/>
    <w:rsid w:val="095D70C8"/>
    <w:rsid w:val="09A447EA"/>
    <w:rsid w:val="0A387B45"/>
    <w:rsid w:val="0A90650D"/>
    <w:rsid w:val="0B881444"/>
    <w:rsid w:val="0C3E06B9"/>
    <w:rsid w:val="0CE10BDD"/>
    <w:rsid w:val="0D7A2D6A"/>
    <w:rsid w:val="0D874F2A"/>
    <w:rsid w:val="0E462F36"/>
    <w:rsid w:val="0E7E6AD3"/>
    <w:rsid w:val="0E7F1753"/>
    <w:rsid w:val="108801DA"/>
    <w:rsid w:val="112F5530"/>
    <w:rsid w:val="122C582A"/>
    <w:rsid w:val="126E157F"/>
    <w:rsid w:val="13A63113"/>
    <w:rsid w:val="153D3761"/>
    <w:rsid w:val="163F66AE"/>
    <w:rsid w:val="16756CD4"/>
    <w:rsid w:val="168926D3"/>
    <w:rsid w:val="17014E5E"/>
    <w:rsid w:val="190B0C80"/>
    <w:rsid w:val="1CBF17AC"/>
    <w:rsid w:val="1F2E4612"/>
    <w:rsid w:val="1F511E69"/>
    <w:rsid w:val="205F5682"/>
    <w:rsid w:val="21977233"/>
    <w:rsid w:val="238149E5"/>
    <w:rsid w:val="242A4036"/>
    <w:rsid w:val="24925351"/>
    <w:rsid w:val="24B40F4D"/>
    <w:rsid w:val="263063A6"/>
    <w:rsid w:val="26551CA9"/>
    <w:rsid w:val="278A035A"/>
    <w:rsid w:val="27C71639"/>
    <w:rsid w:val="28041890"/>
    <w:rsid w:val="281833E1"/>
    <w:rsid w:val="28DF1690"/>
    <w:rsid w:val="2BBF06FD"/>
    <w:rsid w:val="2BC937CF"/>
    <w:rsid w:val="2C270A39"/>
    <w:rsid w:val="2C7129FC"/>
    <w:rsid w:val="2CB94EB2"/>
    <w:rsid w:val="2D2E2D7E"/>
    <w:rsid w:val="31C57554"/>
    <w:rsid w:val="33391C8E"/>
    <w:rsid w:val="345A76DF"/>
    <w:rsid w:val="352F4AAB"/>
    <w:rsid w:val="356D2148"/>
    <w:rsid w:val="364E327C"/>
    <w:rsid w:val="36776800"/>
    <w:rsid w:val="378F009A"/>
    <w:rsid w:val="3985333E"/>
    <w:rsid w:val="39D6258F"/>
    <w:rsid w:val="3A691188"/>
    <w:rsid w:val="3A7E4AE2"/>
    <w:rsid w:val="3AAE5809"/>
    <w:rsid w:val="3ADC7039"/>
    <w:rsid w:val="3B1A6EB9"/>
    <w:rsid w:val="3B670912"/>
    <w:rsid w:val="3BE56E26"/>
    <w:rsid w:val="3C66310B"/>
    <w:rsid w:val="3C783E72"/>
    <w:rsid w:val="3D1D7069"/>
    <w:rsid w:val="3D87699E"/>
    <w:rsid w:val="3EA326DE"/>
    <w:rsid w:val="3EF6139C"/>
    <w:rsid w:val="3F9A61B4"/>
    <w:rsid w:val="411314FB"/>
    <w:rsid w:val="41C856DD"/>
    <w:rsid w:val="430054D8"/>
    <w:rsid w:val="43892913"/>
    <w:rsid w:val="44BA1F1D"/>
    <w:rsid w:val="455326A3"/>
    <w:rsid w:val="46596C11"/>
    <w:rsid w:val="46D6525F"/>
    <w:rsid w:val="476B3399"/>
    <w:rsid w:val="47C06BB9"/>
    <w:rsid w:val="47CE5B03"/>
    <w:rsid w:val="48406B08"/>
    <w:rsid w:val="48861842"/>
    <w:rsid w:val="496E3698"/>
    <w:rsid w:val="496F10DE"/>
    <w:rsid w:val="4AC8460B"/>
    <w:rsid w:val="4CD07BC6"/>
    <w:rsid w:val="4D4F49FC"/>
    <w:rsid w:val="4E195C47"/>
    <w:rsid w:val="506F3616"/>
    <w:rsid w:val="52421C31"/>
    <w:rsid w:val="52A427B6"/>
    <w:rsid w:val="52F25B90"/>
    <w:rsid w:val="53670BC4"/>
    <w:rsid w:val="53D447AB"/>
    <w:rsid w:val="540D7BCE"/>
    <w:rsid w:val="56172954"/>
    <w:rsid w:val="56D9076F"/>
    <w:rsid w:val="57131783"/>
    <w:rsid w:val="58450EAE"/>
    <w:rsid w:val="58563A03"/>
    <w:rsid w:val="58981CB2"/>
    <w:rsid w:val="595128EA"/>
    <w:rsid w:val="59D94699"/>
    <w:rsid w:val="5A5E128E"/>
    <w:rsid w:val="5B992DA7"/>
    <w:rsid w:val="5C2C50A0"/>
    <w:rsid w:val="5CBD02B1"/>
    <w:rsid w:val="5D8E0E1D"/>
    <w:rsid w:val="5D9C59A0"/>
    <w:rsid w:val="60333493"/>
    <w:rsid w:val="604D2A30"/>
    <w:rsid w:val="60DC245A"/>
    <w:rsid w:val="610F2FF6"/>
    <w:rsid w:val="61935AF5"/>
    <w:rsid w:val="628D5173"/>
    <w:rsid w:val="62F74F9E"/>
    <w:rsid w:val="634203B0"/>
    <w:rsid w:val="634C6ABE"/>
    <w:rsid w:val="636F5754"/>
    <w:rsid w:val="63744B02"/>
    <w:rsid w:val="637C25AF"/>
    <w:rsid w:val="64492EB3"/>
    <w:rsid w:val="64794AE6"/>
    <w:rsid w:val="64C2339D"/>
    <w:rsid w:val="657633A5"/>
    <w:rsid w:val="66DA3C2B"/>
    <w:rsid w:val="67163CB8"/>
    <w:rsid w:val="688A6957"/>
    <w:rsid w:val="68A206D6"/>
    <w:rsid w:val="68EE6070"/>
    <w:rsid w:val="691A1FA9"/>
    <w:rsid w:val="69247AB6"/>
    <w:rsid w:val="69DA3F19"/>
    <w:rsid w:val="6B3A39D4"/>
    <w:rsid w:val="6B865E2E"/>
    <w:rsid w:val="6BAD4CEC"/>
    <w:rsid w:val="6DDA6878"/>
    <w:rsid w:val="6E6B0B15"/>
    <w:rsid w:val="6EC259AA"/>
    <w:rsid w:val="70085DA4"/>
    <w:rsid w:val="70760E92"/>
    <w:rsid w:val="71004A80"/>
    <w:rsid w:val="72065C93"/>
    <w:rsid w:val="755E52AA"/>
    <w:rsid w:val="75772B29"/>
    <w:rsid w:val="75BC7B77"/>
    <w:rsid w:val="771D5F27"/>
    <w:rsid w:val="776611C7"/>
    <w:rsid w:val="776A0DAA"/>
    <w:rsid w:val="778C0EA9"/>
    <w:rsid w:val="77B213C7"/>
    <w:rsid w:val="77FA1E91"/>
    <w:rsid w:val="791A0FC5"/>
    <w:rsid w:val="79CE244C"/>
    <w:rsid w:val="79DF2FD0"/>
    <w:rsid w:val="7B341E31"/>
    <w:rsid w:val="7B4E5914"/>
    <w:rsid w:val="7B83471E"/>
    <w:rsid w:val="7C967920"/>
    <w:rsid w:val="7D8064B5"/>
    <w:rsid w:val="7E894654"/>
    <w:rsid w:val="7FC85298"/>
    <w:rsid w:val="CAFB0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方正仿宋_GBK" w:cs="Times New Roman"/>
      <w:kern w:val="2"/>
      <w:sz w:val="32"/>
      <w:szCs w:val="22"/>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qFormat/>
    <w:uiPriority w:val="22"/>
    <w:rPr>
      <w:b/>
      <w:bCs/>
    </w:rPr>
  </w:style>
  <w:style w:type="paragraph" w:styleId="8">
    <w:name w:val="List Paragraph"/>
    <w:basedOn w:val="1"/>
    <w:qFormat/>
    <w:uiPriority w:val="34"/>
    <w:pPr>
      <w:ind w:firstLine="420" w:firstLineChars="200"/>
    </w:pPr>
  </w:style>
  <w:style w:type="character" w:customStyle="1" w:styleId="9">
    <w:name w:val="font41"/>
    <w:basedOn w:val="6"/>
    <w:qFormat/>
    <w:uiPriority w:val="0"/>
    <w:rPr>
      <w:rFonts w:hint="eastAsia" w:ascii="宋体" w:hAnsi="宋体" w:eastAsia="宋体" w:cs="宋体"/>
      <w:color w:val="000000"/>
      <w:sz w:val="20"/>
      <w:szCs w:val="20"/>
      <w:u w:val="none"/>
    </w:rPr>
  </w:style>
  <w:style w:type="character" w:customStyle="1" w:styleId="10">
    <w:name w:val="font01"/>
    <w:basedOn w:val="6"/>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区财政局</Company>
  <Pages>1</Pages>
  <Words>0</Words>
  <Characters>0</Characters>
  <Lines>0</Lines>
  <Paragraphs>0</Paragraphs>
  <TotalTime>21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2021-08-26T23:53:00Z</dcterms:created>
  <dc:creator>acer</dc:creator>
  <cp:lastModifiedBy>user</cp:lastModifiedBy>
  <cp:lastPrinted>2021-09-09T18:04:00Z</cp:lastPrinted>
  <dcterms:modified xsi:type="dcterms:W3CDTF">2023-07-12T14:14:26Z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