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4E" w:rsidRDefault="00B32C91">
      <w:pPr>
        <w:spacing w:line="64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重庆市万州区余家镇人民政府</w:t>
      </w: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22</w:t>
      </w:r>
      <w:r>
        <w:rPr>
          <w:rFonts w:ascii="方正小标宋_GBK" w:eastAsia="方正小标宋_GBK" w:hAnsi="方正小标宋_GBK" w:cs="方正小标宋_GBK" w:hint="eastAsia"/>
          <w:sz w:val="44"/>
          <w:szCs w:val="44"/>
        </w:rPr>
        <w:t>年度部门</w:t>
      </w:r>
      <w:r>
        <w:rPr>
          <w:rFonts w:ascii="方正小标宋_GBK" w:eastAsia="方正小标宋_GBK" w:hAnsi="方正小标宋_GBK" w:cs="方正小标宋_GBK" w:hint="eastAsia"/>
          <w:sz w:val="44"/>
          <w:szCs w:val="44"/>
        </w:rPr>
        <w:t>决算</w:t>
      </w:r>
      <w:r>
        <w:rPr>
          <w:rFonts w:ascii="方正小标宋_GBK" w:eastAsia="方正小标宋_GBK" w:hAnsi="方正小标宋_GBK" w:cs="方正小标宋_GBK" w:hint="eastAsia"/>
          <w:sz w:val="44"/>
          <w:szCs w:val="44"/>
        </w:rPr>
        <w:t>公开</w:t>
      </w:r>
      <w:r>
        <w:rPr>
          <w:rFonts w:ascii="方正小标宋_GBK" w:eastAsia="方正小标宋_GBK" w:hAnsi="方正小标宋_GBK" w:cs="方正小标宋_GBK" w:hint="eastAsia"/>
          <w:sz w:val="44"/>
          <w:szCs w:val="44"/>
        </w:rPr>
        <w:t>情况说明</w:t>
      </w:r>
    </w:p>
    <w:p w:rsidR="0003194E" w:rsidRDefault="0003194E"/>
    <w:p w:rsidR="0003194E" w:rsidRDefault="00B32C91">
      <w:pPr>
        <w:pStyle w:val="a9"/>
        <w:tabs>
          <w:tab w:val="center" w:pos="4153"/>
          <w:tab w:val="left" w:pos="7275"/>
        </w:tabs>
        <w:spacing w:line="600" w:lineRule="exact"/>
        <w:ind w:firstLine="640"/>
        <w:outlineLvl w:val="0"/>
        <w:rPr>
          <w:rFonts w:eastAsia="方正黑体_GBK"/>
          <w:szCs w:val="32"/>
        </w:rPr>
      </w:pPr>
      <w:r>
        <w:rPr>
          <w:rFonts w:eastAsia="方正黑体_GBK"/>
          <w:szCs w:val="32"/>
        </w:rPr>
        <w:t>一、单位基本情况</w:t>
      </w:r>
    </w:p>
    <w:p w:rsidR="0003194E" w:rsidRDefault="00B32C91">
      <w:pPr>
        <w:spacing w:line="590" w:lineRule="exact"/>
        <w:ind w:firstLineChars="200" w:firstLine="640"/>
        <w:rPr>
          <w:rFonts w:ascii="方正楷体_GBK" w:eastAsia="方正楷体_GBK" w:hAnsi="方正楷体_GBK" w:cs="方正楷体_GBK"/>
        </w:rPr>
      </w:pPr>
      <w:r>
        <w:rPr>
          <w:rFonts w:hint="eastAsia"/>
          <w:kern w:val="0"/>
          <w:szCs w:val="32"/>
        </w:rPr>
        <w:t xml:space="preserve"> </w:t>
      </w:r>
      <w:r>
        <w:rPr>
          <w:rFonts w:ascii="方正楷体_GBK" w:eastAsia="方正楷体_GBK" w:hAnsi="方正楷体_GBK" w:cs="方正楷体_GBK" w:hint="eastAsia"/>
        </w:rPr>
        <w:t>（一）职能职责</w:t>
      </w:r>
    </w:p>
    <w:p w:rsidR="0003194E" w:rsidRDefault="00B32C91">
      <w:pPr>
        <w:pStyle w:val="a9"/>
        <w:tabs>
          <w:tab w:val="center" w:pos="4153"/>
          <w:tab w:val="left" w:pos="7275"/>
        </w:tabs>
        <w:spacing w:line="590" w:lineRule="exact"/>
        <w:ind w:firstLine="640"/>
        <w:rPr>
          <w:rFonts w:ascii="方正仿宋_GBK" w:hAnsi="仿宋_GB2312" w:cs="仿宋_GB2312"/>
        </w:rPr>
      </w:pPr>
      <w:r>
        <w:rPr>
          <w:rFonts w:ascii="方正仿宋_GBK" w:hAnsi="仿宋_GB2312" w:cs="仿宋_GB2312" w:hint="eastAsia"/>
        </w:rPr>
        <w:t>贯彻执行党的路线方针政策和国家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承担区级部门下放的服务管理职权、承担依法授权或委托的行政执法权。构建职能科学、运转有序、保障有力、服务高效、人民满意的镇政府服务管理体制机制。</w:t>
      </w:r>
    </w:p>
    <w:p w:rsidR="0003194E" w:rsidRDefault="00B32C91">
      <w:pPr>
        <w:pStyle w:val="a9"/>
        <w:tabs>
          <w:tab w:val="center" w:pos="4153"/>
          <w:tab w:val="left" w:pos="7275"/>
        </w:tabs>
        <w:spacing w:line="590" w:lineRule="exact"/>
        <w:ind w:left="640" w:firstLineChars="0" w:firstLine="0"/>
        <w:rPr>
          <w:rFonts w:ascii="方正楷体_GBK" w:eastAsia="方正楷体_GBK" w:hAnsi="方正楷体_GBK" w:cs="方正楷体_GBK"/>
        </w:rPr>
      </w:pPr>
      <w:r>
        <w:rPr>
          <w:rFonts w:ascii="方正楷体_GBK" w:eastAsia="方正楷体_GBK" w:hAnsi="方正楷体_GBK" w:cs="方正楷体_GBK" w:hint="eastAsia"/>
        </w:rPr>
        <w:t>（</w:t>
      </w:r>
      <w:r>
        <w:rPr>
          <w:rFonts w:ascii="方正楷体_GBK" w:eastAsia="方正楷体_GBK" w:hAnsi="方正楷体_GBK" w:cs="方正楷体_GBK" w:hint="eastAsia"/>
        </w:rPr>
        <w:t>二</w:t>
      </w:r>
      <w:r>
        <w:rPr>
          <w:rFonts w:ascii="方正楷体_GBK" w:eastAsia="方正楷体_GBK" w:hAnsi="方正楷体_GBK" w:cs="方正楷体_GBK" w:hint="eastAsia"/>
        </w:rPr>
        <w:t>）</w:t>
      </w:r>
      <w:r>
        <w:rPr>
          <w:rFonts w:ascii="方正楷体_GBK" w:eastAsia="方正楷体_GBK" w:hAnsi="方正楷体_GBK" w:cs="方正楷体_GBK" w:hint="eastAsia"/>
        </w:rPr>
        <w:t>机构设置</w:t>
      </w:r>
    </w:p>
    <w:p w:rsidR="0003194E" w:rsidRDefault="00B32C91">
      <w:pPr>
        <w:spacing w:line="590" w:lineRule="exact"/>
        <w:ind w:firstLineChars="200" w:firstLine="640"/>
        <w:contextualSpacing/>
        <w:rPr>
          <w:rFonts w:ascii="方正仿宋_GBK" w:hAnsi="仿宋_GB2312" w:cs="仿宋_GB2312"/>
        </w:rPr>
      </w:pPr>
      <w:r>
        <w:rPr>
          <w:rFonts w:ascii="方正仿宋_GBK" w:hAnsi="仿宋_GB2312" w:cs="仿宋_GB2312" w:hint="eastAsia"/>
        </w:rPr>
        <w:t>遵循精简、统一、效能原则，将统一规范与因地制宜有机结合，重庆市万州区余家镇人民政府内设</w:t>
      </w:r>
      <w:r>
        <w:rPr>
          <w:rFonts w:ascii="方正仿宋_GBK" w:hAnsi="仿宋_GB2312" w:cs="仿宋_GB2312" w:hint="eastAsia"/>
        </w:rPr>
        <w:t>9</w:t>
      </w:r>
      <w:r>
        <w:rPr>
          <w:rFonts w:ascii="方正仿宋_GBK" w:hAnsi="仿宋_GB2312" w:cs="仿宋_GB2312" w:hint="eastAsia"/>
        </w:rPr>
        <w:t>个机构科室，</w:t>
      </w:r>
      <w:r>
        <w:rPr>
          <w:rFonts w:ascii="方正仿宋_GBK" w:hAnsi="仿宋_GB2312" w:cs="仿宋_GB2312" w:hint="eastAsia"/>
        </w:rPr>
        <w:t>6</w:t>
      </w:r>
      <w:r>
        <w:rPr>
          <w:rFonts w:ascii="方正仿宋_GBK" w:hAnsi="仿宋_GB2312" w:cs="仿宋_GB2312" w:hint="eastAsia"/>
        </w:rPr>
        <w:t>个事业站所，分别是党</w:t>
      </w:r>
      <w:r>
        <w:rPr>
          <w:rFonts w:ascii="方正仿宋_GBK" w:hAnsi="仿宋_GB2312" w:cs="仿宋_GB2312" w:hint="eastAsia"/>
        </w:rPr>
        <w:t>政办公室、党群工作办公室、经济发展办公室、民政和社会事务办公室、平安建设办公室、</w:t>
      </w:r>
      <w:r>
        <w:rPr>
          <w:rFonts w:ascii="方正仿宋_GBK" w:hAnsi="仿宋_GB2312" w:cs="仿宋_GB2312" w:hint="eastAsia"/>
        </w:rPr>
        <w:t>财政办公室、应急管理办公室、</w:t>
      </w:r>
      <w:r>
        <w:rPr>
          <w:rFonts w:ascii="方正仿宋_GBK" w:hAnsi="仿宋_GB2312" w:cs="仿宋_GB2312" w:hint="eastAsia"/>
        </w:rPr>
        <w:t>综合行政执法办公室、</w:t>
      </w:r>
      <w:r>
        <w:rPr>
          <w:rFonts w:ascii="方正仿宋_GBK" w:hAnsi="仿宋_GB2312" w:cs="仿宋_GB2312" w:hint="eastAsia"/>
        </w:rPr>
        <w:t>重点项目办公室，</w:t>
      </w:r>
      <w:r>
        <w:rPr>
          <w:rFonts w:ascii="方正仿宋_GBK" w:hAnsi="仿宋_GB2312" w:cs="仿宋_GB2312" w:hint="eastAsia"/>
        </w:rPr>
        <w:t>农业服务中心、文化服务中心、劳动就业和社会保障服务所、</w:t>
      </w:r>
      <w:r>
        <w:rPr>
          <w:rFonts w:ascii="方正仿宋_GBK" w:hAnsi="仿宋_GB2312" w:cs="仿宋_GB2312" w:hint="eastAsia"/>
        </w:rPr>
        <w:t>村镇建设环保服务中心、退役军人服务站、综合行政执法大队。</w:t>
      </w:r>
    </w:p>
    <w:p w:rsidR="0003194E" w:rsidRDefault="00B32C91">
      <w:pPr>
        <w:pStyle w:val="a9"/>
        <w:tabs>
          <w:tab w:val="center" w:pos="4153"/>
          <w:tab w:val="left" w:pos="7275"/>
        </w:tabs>
        <w:spacing w:line="590" w:lineRule="exact"/>
        <w:ind w:left="640" w:firstLineChars="0" w:firstLine="0"/>
        <w:rPr>
          <w:rFonts w:ascii="方正楷体_GBK" w:eastAsia="方正楷体_GBK" w:hAnsi="方正楷体_GBK" w:cs="方正楷体_GBK"/>
        </w:rPr>
      </w:pPr>
      <w:r>
        <w:rPr>
          <w:rFonts w:ascii="方正楷体_GBK" w:eastAsia="方正楷体_GBK" w:hAnsi="方正楷体_GBK" w:cs="方正楷体_GBK" w:hint="eastAsia"/>
        </w:rPr>
        <w:lastRenderedPageBreak/>
        <w:t>（</w:t>
      </w:r>
      <w:r>
        <w:rPr>
          <w:rFonts w:ascii="方正楷体_GBK" w:eastAsia="方正楷体_GBK" w:hAnsi="方正楷体_GBK" w:cs="方正楷体_GBK" w:hint="eastAsia"/>
        </w:rPr>
        <w:t>三</w:t>
      </w:r>
      <w:r>
        <w:rPr>
          <w:rFonts w:ascii="方正楷体_GBK" w:eastAsia="方正楷体_GBK" w:hAnsi="方正楷体_GBK" w:cs="方正楷体_GBK" w:hint="eastAsia"/>
        </w:rPr>
        <w:t>）</w:t>
      </w:r>
      <w:r>
        <w:rPr>
          <w:rFonts w:ascii="方正楷体_GBK" w:eastAsia="方正楷体_GBK" w:hAnsi="方正楷体_GBK" w:cs="方正楷体_GBK"/>
        </w:rPr>
        <w:t>单位构成</w:t>
      </w:r>
    </w:p>
    <w:p w:rsidR="0003194E" w:rsidRDefault="00B32C91">
      <w:pPr>
        <w:pStyle w:val="1"/>
        <w:ind w:firstLineChars="200" w:firstLine="640"/>
        <w:rPr>
          <w:rFonts w:ascii="方正仿宋_GBK" w:hAnsi="仿宋_GB2312" w:cs="仿宋_GB2312"/>
          <w:b w:val="0"/>
          <w:bCs w:val="0"/>
          <w:kern w:val="2"/>
          <w:sz w:val="32"/>
          <w:szCs w:val="22"/>
        </w:rPr>
      </w:pPr>
      <w:r>
        <w:rPr>
          <w:rFonts w:ascii="方正仿宋_GBK" w:hAnsi="仿宋_GB2312" w:cs="仿宋_GB2312" w:hint="eastAsia"/>
          <w:b w:val="0"/>
          <w:bCs w:val="0"/>
          <w:kern w:val="2"/>
          <w:sz w:val="32"/>
          <w:szCs w:val="22"/>
        </w:rPr>
        <w:t>从预算单位构成看，纳入本部门</w:t>
      </w:r>
      <w:r>
        <w:rPr>
          <w:rFonts w:ascii="方正仿宋_GBK" w:hAnsi="仿宋_GB2312" w:cs="仿宋_GB2312"/>
          <w:b w:val="0"/>
          <w:bCs w:val="0"/>
          <w:kern w:val="2"/>
          <w:sz w:val="32"/>
          <w:szCs w:val="22"/>
        </w:rPr>
        <w:t>2022</w:t>
      </w:r>
      <w:r>
        <w:rPr>
          <w:rFonts w:ascii="方正仿宋_GBK" w:hAnsi="仿宋_GB2312" w:cs="仿宋_GB2312" w:hint="eastAsia"/>
          <w:b w:val="0"/>
          <w:bCs w:val="0"/>
          <w:kern w:val="2"/>
          <w:sz w:val="32"/>
          <w:szCs w:val="22"/>
        </w:rPr>
        <w:t>年度决算编制的二级预算单位主要包括是农业服务中心、文化服务中心、劳动就业和社会保障服务所、村镇建设环保服务中心、退役军人服务站、综合行政执法大队。</w:t>
      </w:r>
    </w:p>
    <w:p w:rsidR="0003194E" w:rsidRDefault="00B32C91">
      <w:pPr>
        <w:spacing w:line="600" w:lineRule="exact"/>
        <w:ind w:firstLineChars="200" w:firstLine="640"/>
        <w:outlineLvl w:val="0"/>
        <w:rPr>
          <w:rFonts w:eastAsia="方正黑体_GBK"/>
          <w:kern w:val="0"/>
          <w:szCs w:val="32"/>
        </w:rPr>
      </w:pPr>
      <w:r>
        <w:rPr>
          <w:rFonts w:eastAsia="方正黑体_GBK"/>
          <w:szCs w:val="32"/>
        </w:rPr>
        <w:t>二、</w:t>
      </w:r>
      <w:r>
        <w:rPr>
          <w:rFonts w:eastAsia="方正黑体_GBK" w:hint="eastAsia"/>
          <w:szCs w:val="32"/>
        </w:rPr>
        <w:t>部门</w:t>
      </w:r>
      <w:r>
        <w:rPr>
          <w:rFonts w:eastAsia="方正黑体_GBK"/>
          <w:szCs w:val="32"/>
        </w:rPr>
        <w:t>决算情况说明</w:t>
      </w:r>
    </w:p>
    <w:p w:rsidR="0003194E" w:rsidRDefault="00B32C91" w:rsidP="00916A46">
      <w:pPr>
        <w:numPr>
          <w:ilvl w:val="0"/>
          <w:numId w:val="1"/>
        </w:numPr>
        <w:snapToGrid w:val="0"/>
        <w:spacing w:line="600" w:lineRule="exact"/>
        <w:ind w:leftChars="200" w:left="640"/>
        <w:outlineLvl w:val="0"/>
        <w:rPr>
          <w:rFonts w:eastAsia="方正楷体_GBK" w:cs="方正楷体_GBK"/>
        </w:rPr>
      </w:pPr>
      <w:r>
        <w:rPr>
          <w:rFonts w:eastAsia="方正楷体_GBK" w:cs="方正楷体_GBK" w:hint="eastAsia"/>
        </w:rPr>
        <w:t>收入支出决算总体情况说明</w:t>
      </w:r>
    </w:p>
    <w:p w:rsidR="0003194E" w:rsidRDefault="00B32C91">
      <w:pPr>
        <w:numPr>
          <w:ilvl w:val="0"/>
          <w:numId w:val="2"/>
        </w:numPr>
        <w:snapToGrid w:val="0"/>
        <w:spacing w:line="600" w:lineRule="exact"/>
        <w:ind w:firstLineChars="200" w:firstLine="640"/>
        <w:outlineLvl w:val="0"/>
      </w:pPr>
      <w:r>
        <w:rPr>
          <w:rFonts w:hint="eastAsia"/>
        </w:rPr>
        <w:t>总体情况。</w:t>
      </w:r>
      <w:r>
        <w:rPr>
          <w:rFonts w:hint="eastAsia"/>
        </w:rPr>
        <w:t>2022</w:t>
      </w:r>
      <w:r>
        <w:rPr>
          <w:rFonts w:hint="eastAsia"/>
        </w:rPr>
        <w:t>年度收入总计</w:t>
      </w:r>
      <w:r>
        <w:rPr>
          <w:rFonts w:hint="eastAsia"/>
        </w:rPr>
        <w:t>6,035.38</w:t>
      </w:r>
      <w:r>
        <w:rPr>
          <w:rFonts w:hint="eastAsia"/>
        </w:rPr>
        <w:t>万元，支出总计</w:t>
      </w:r>
      <w:r>
        <w:rPr>
          <w:rFonts w:hint="eastAsia"/>
        </w:rPr>
        <w:t>6,035.38</w:t>
      </w:r>
      <w:r>
        <w:rPr>
          <w:rFonts w:hint="eastAsia"/>
        </w:rPr>
        <w:t>万元。收支较上年决算数减少</w:t>
      </w:r>
      <w:r>
        <w:rPr>
          <w:rFonts w:hint="eastAsia"/>
        </w:rPr>
        <w:t>688.26</w:t>
      </w:r>
      <w:r>
        <w:rPr>
          <w:rFonts w:hint="eastAsia"/>
        </w:rPr>
        <w:t>万元</w:t>
      </w:r>
      <w:r>
        <w:rPr>
          <w:rFonts w:hint="eastAsia"/>
        </w:rPr>
        <w:t>,</w:t>
      </w:r>
      <w:r>
        <w:rPr>
          <w:rFonts w:hint="eastAsia"/>
        </w:rPr>
        <w:t>下降</w:t>
      </w:r>
      <w:r>
        <w:rPr>
          <w:rFonts w:hint="eastAsia"/>
        </w:rPr>
        <w:t>10.2%</w:t>
      </w:r>
      <w:r>
        <w:rPr>
          <w:rFonts w:hint="eastAsia"/>
        </w:rPr>
        <w:t>，主要原因是</w:t>
      </w:r>
      <w:r>
        <w:rPr>
          <w:rFonts w:hint="eastAsia"/>
        </w:rPr>
        <w:t>202</w:t>
      </w:r>
      <w:r>
        <w:rPr>
          <w:rFonts w:hint="eastAsia"/>
        </w:rPr>
        <w:t>2</w:t>
      </w:r>
      <w:r>
        <w:rPr>
          <w:rFonts w:hint="eastAsia"/>
        </w:rPr>
        <w:t>年度下达的项目较</w:t>
      </w:r>
      <w:r>
        <w:rPr>
          <w:rFonts w:hint="eastAsia"/>
        </w:rPr>
        <w:t>202</w:t>
      </w:r>
      <w:r>
        <w:rPr>
          <w:rFonts w:hint="eastAsia"/>
        </w:rPr>
        <w:t>1</w:t>
      </w:r>
      <w:r>
        <w:rPr>
          <w:rFonts w:hint="eastAsia"/>
        </w:rPr>
        <w:t>年度减少，导致项目收支减少，比重降低。</w:t>
      </w:r>
    </w:p>
    <w:p w:rsidR="0003194E" w:rsidRDefault="00B32C91">
      <w:pPr>
        <w:pStyle w:val="a3"/>
        <w:numPr>
          <w:ilvl w:val="0"/>
          <w:numId w:val="2"/>
        </w:numPr>
        <w:snapToGrid w:val="0"/>
        <w:spacing w:line="600" w:lineRule="exact"/>
        <w:ind w:leftChars="0" w:left="0" w:right="320" w:firstLineChars="200" w:firstLine="640"/>
      </w:pPr>
      <w:r>
        <w:rPr>
          <w:rFonts w:hint="eastAsia"/>
        </w:rPr>
        <w:t>收入情况。</w:t>
      </w:r>
      <w:r>
        <w:rPr>
          <w:rFonts w:hint="eastAsia"/>
        </w:rPr>
        <w:t>2022</w:t>
      </w:r>
      <w:r>
        <w:rPr>
          <w:rFonts w:hint="eastAsia"/>
        </w:rPr>
        <w:t>年度收入合计</w:t>
      </w:r>
      <w:r>
        <w:rPr>
          <w:rFonts w:hint="eastAsia"/>
        </w:rPr>
        <w:t>6,035.38</w:t>
      </w:r>
      <w:r>
        <w:rPr>
          <w:rFonts w:hint="eastAsia"/>
        </w:rPr>
        <w:t>万元，较上年决算数减少</w:t>
      </w:r>
      <w:r>
        <w:rPr>
          <w:rFonts w:hint="eastAsia"/>
        </w:rPr>
        <w:t>656.22</w:t>
      </w:r>
      <w:r>
        <w:rPr>
          <w:rFonts w:hint="eastAsia"/>
        </w:rPr>
        <w:t>万元，下降</w:t>
      </w:r>
      <w:r>
        <w:rPr>
          <w:rFonts w:hint="eastAsia"/>
        </w:rPr>
        <w:t>9.8%</w:t>
      </w:r>
      <w:r>
        <w:rPr>
          <w:rFonts w:hint="eastAsia"/>
        </w:rPr>
        <w:t>，主要原因是</w:t>
      </w:r>
      <w:r>
        <w:rPr>
          <w:rFonts w:hint="eastAsia"/>
        </w:rPr>
        <w:t>202</w:t>
      </w:r>
      <w:r>
        <w:rPr>
          <w:rFonts w:hint="eastAsia"/>
        </w:rPr>
        <w:t>2</w:t>
      </w:r>
      <w:r>
        <w:rPr>
          <w:rFonts w:hint="eastAsia"/>
        </w:rPr>
        <w:t>年度下达的项目较</w:t>
      </w:r>
      <w:r>
        <w:rPr>
          <w:rFonts w:hint="eastAsia"/>
        </w:rPr>
        <w:t>2021</w:t>
      </w:r>
      <w:r>
        <w:rPr>
          <w:rFonts w:hint="eastAsia"/>
        </w:rPr>
        <w:t>年度减少，导致项目收入减少</w:t>
      </w:r>
      <w:r>
        <w:rPr>
          <w:rFonts w:hint="eastAsia"/>
        </w:rPr>
        <w:t>。</w:t>
      </w:r>
      <w:r>
        <w:rPr>
          <w:rFonts w:hint="eastAsia"/>
        </w:rPr>
        <w:t>其中：财政拨款收入</w:t>
      </w:r>
      <w:r>
        <w:rPr>
          <w:rFonts w:hint="eastAsia"/>
        </w:rPr>
        <w:t>6,035.38</w:t>
      </w:r>
      <w:r>
        <w:rPr>
          <w:rFonts w:hint="eastAsia"/>
        </w:rPr>
        <w:t>万元，占</w:t>
      </w:r>
      <w:r>
        <w:rPr>
          <w:rFonts w:hint="eastAsia"/>
        </w:rPr>
        <w:t>100</w:t>
      </w:r>
      <w:r>
        <w:rPr>
          <w:rFonts w:hint="eastAsia"/>
        </w:rPr>
        <w:t>.0</w:t>
      </w:r>
      <w:r>
        <w:rPr>
          <w:rFonts w:hint="eastAsia"/>
        </w:rPr>
        <w:t>%</w:t>
      </w:r>
      <w:r>
        <w:rPr>
          <w:rFonts w:hint="eastAsia"/>
        </w:rPr>
        <w:t>。</w:t>
      </w:r>
    </w:p>
    <w:p w:rsidR="0003194E" w:rsidRDefault="00B32C91">
      <w:pPr>
        <w:pStyle w:val="a3"/>
        <w:numPr>
          <w:ilvl w:val="0"/>
          <w:numId w:val="2"/>
        </w:numPr>
        <w:snapToGrid w:val="0"/>
        <w:spacing w:line="600" w:lineRule="exact"/>
        <w:ind w:leftChars="0" w:left="0" w:right="320" w:firstLineChars="200" w:firstLine="640"/>
      </w:pPr>
      <w:r>
        <w:rPr>
          <w:rFonts w:cs="仿宋_GB2312" w:hint="eastAsia"/>
        </w:rPr>
        <w:t>支出情况。</w:t>
      </w:r>
      <w:r>
        <w:rPr>
          <w:rFonts w:cs="仿宋_GB2312" w:hint="eastAsia"/>
        </w:rPr>
        <w:t>2022</w:t>
      </w:r>
      <w:r>
        <w:rPr>
          <w:rFonts w:cs="仿宋_GB2312" w:hint="eastAsia"/>
        </w:rPr>
        <w:t>年度支出合计</w:t>
      </w:r>
      <w:r>
        <w:rPr>
          <w:rFonts w:cs="仿宋_GB2312" w:hint="eastAsia"/>
        </w:rPr>
        <w:t>6,035.38</w:t>
      </w:r>
      <w:r>
        <w:rPr>
          <w:rFonts w:cs="仿宋_GB2312" w:hint="eastAsia"/>
        </w:rPr>
        <w:t>万元，较上年决算减少</w:t>
      </w:r>
      <w:r>
        <w:rPr>
          <w:rFonts w:cs="仿宋_GB2312" w:hint="eastAsia"/>
        </w:rPr>
        <w:t>688.26</w:t>
      </w:r>
      <w:r>
        <w:rPr>
          <w:rFonts w:cs="仿宋_GB2312" w:hint="eastAsia"/>
        </w:rPr>
        <w:t>万元，下降</w:t>
      </w:r>
      <w:r>
        <w:rPr>
          <w:rFonts w:cs="仿宋_GB2312" w:hint="eastAsia"/>
        </w:rPr>
        <w:t>10.2%</w:t>
      </w:r>
      <w:r>
        <w:rPr>
          <w:rFonts w:cs="仿宋_GB2312" w:hint="eastAsia"/>
        </w:rPr>
        <w:t>，主要原因是</w:t>
      </w:r>
      <w:r>
        <w:rPr>
          <w:rFonts w:cs="仿宋_GB2312" w:hint="eastAsia"/>
        </w:rPr>
        <w:t>202</w:t>
      </w:r>
      <w:r>
        <w:rPr>
          <w:rFonts w:cs="仿宋_GB2312" w:hint="eastAsia"/>
        </w:rPr>
        <w:t>2</w:t>
      </w:r>
      <w:r>
        <w:rPr>
          <w:rFonts w:cs="仿宋_GB2312" w:hint="eastAsia"/>
        </w:rPr>
        <w:t>年度</w:t>
      </w:r>
      <w:r>
        <w:rPr>
          <w:rFonts w:hint="eastAsia"/>
        </w:rPr>
        <w:t>下达的项目较</w:t>
      </w:r>
      <w:r>
        <w:rPr>
          <w:rFonts w:hint="eastAsia"/>
        </w:rPr>
        <w:t>20</w:t>
      </w:r>
      <w:r>
        <w:rPr>
          <w:rFonts w:hint="eastAsia"/>
        </w:rPr>
        <w:t>21</w:t>
      </w:r>
      <w:r>
        <w:rPr>
          <w:rFonts w:hint="eastAsia"/>
        </w:rPr>
        <w:t>年度减少，导致项目支出减少。其中：基本支出</w:t>
      </w:r>
      <w:r>
        <w:rPr>
          <w:rFonts w:hint="eastAsia"/>
        </w:rPr>
        <w:t>2,088.55</w:t>
      </w:r>
      <w:r>
        <w:rPr>
          <w:rFonts w:hint="eastAsia"/>
        </w:rPr>
        <w:t>万元，占</w:t>
      </w:r>
      <w:r>
        <w:rPr>
          <w:rFonts w:hint="eastAsia"/>
        </w:rPr>
        <w:t>34.6%</w:t>
      </w:r>
      <w:r>
        <w:rPr>
          <w:rFonts w:hint="eastAsia"/>
        </w:rPr>
        <w:t>；项目支出</w:t>
      </w:r>
      <w:r>
        <w:rPr>
          <w:rFonts w:hint="eastAsia"/>
        </w:rPr>
        <w:t>3,946.83</w:t>
      </w:r>
      <w:r>
        <w:rPr>
          <w:rFonts w:hint="eastAsia"/>
        </w:rPr>
        <w:t>万元，占</w:t>
      </w:r>
      <w:r>
        <w:rPr>
          <w:rFonts w:hint="eastAsia"/>
        </w:rPr>
        <w:t>65.4%</w:t>
      </w:r>
      <w:r>
        <w:rPr>
          <w:rFonts w:hint="eastAsia"/>
        </w:rPr>
        <w:t>。</w:t>
      </w:r>
    </w:p>
    <w:p w:rsidR="0003194E" w:rsidRDefault="00B32C91">
      <w:pPr>
        <w:pStyle w:val="a3"/>
        <w:numPr>
          <w:ilvl w:val="0"/>
          <w:numId w:val="2"/>
        </w:numPr>
        <w:snapToGrid w:val="0"/>
        <w:spacing w:line="600" w:lineRule="exact"/>
        <w:ind w:leftChars="0" w:left="0" w:right="320" w:firstLineChars="200" w:firstLine="640"/>
        <w:rPr>
          <w:rFonts w:cs="仿宋_GB2312"/>
        </w:rPr>
      </w:pPr>
      <w:r>
        <w:rPr>
          <w:rFonts w:cs="仿宋_GB2312" w:hint="eastAsia"/>
        </w:rPr>
        <w:lastRenderedPageBreak/>
        <w:t>结转结余情况。</w:t>
      </w:r>
      <w:r>
        <w:rPr>
          <w:rFonts w:cs="仿宋_GB2312" w:hint="eastAsia"/>
        </w:rPr>
        <w:t>2022</w:t>
      </w:r>
      <w:r>
        <w:rPr>
          <w:rFonts w:cs="仿宋_GB2312" w:hint="eastAsia"/>
        </w:rPr>
        <w:t>年度年末结转和结余</w:t>
      </w:r>
      <w:r>
        <w:rPr>
          <w:rFonts w:cs="仿宋_GB2312" w:hint="eastAsia"/>
        </w:rPr>
        <w:t>0</w:t>
      </w:r>
      <w:r>
        <w:rPr>
          <w:rFonts w:cs="仿宋_GB2312" w:hint="eastAsia"/>
        </w:rPr>
        <w:t>万元</w:t>
      </w:r>
      <w:r>
        <w:rPr>
          <w:rFonts w:cs="仿宋_GB2312" w:hint="eastAsia"/>
        </w:rPr>
        <w:t>。</w:t>
      </w:r>
    </w:p>
    <w:p w:rsidR="0003194E" w:rsidRDefault="00B32C91">
      <w:pPr>
        <w:pStyle w:val="a3"/>
        <w:snapToGrid w:val="0"/>
        <w:spacing w:line="600" w:lineRule="exact"/>
        <w:ind w:leftChars="0" w:left="0" w:right="320" w:firstLineChars="200" w:firstLine="640"/>
        <w:rPr>
          <w:rFonts w:eastAsia="方正楷体_GBK" w:cs="方正楷体_GBK"/>
        </w:rPr>
      </w:pPr>
      <w:r>
        <w:rPr>
          <w:rFonts w:eastAsia="方正楷体_GBK" w:cs="方正楷体_GBK" w:hint="eastAsia"/>
        </w:rPr>
        <w:t>（二）财政拨款收入支出决算总体情况说明</w:t>
      </w:r>
    </w:p>
    <w:p w:rsidR="0003194E" w:rsidRDefault="00B32C91">
      <w:pPr>
        <w:pStyle w:val="a3"/>
        <w:snapToGrid w:val="0"/>
        <w:spacing w:line="600" w:lineRule="exact"/>
        <w:ind w:leftChars="0" w:left="0" w:right="320" w:firstLineChars="200" w:firstLine="640"/>
        <w:rPr>
          <w:rFonts w:cs="仿宋_GB2312"/>
        </w:rPr>
      </w:pPr>
      <w:r>
        <w:rPr>
          <w:rFonts w:hint="eastAsia"/>
        </w:rPr>
        <w:t>2022</w:t>
      </w:r>
      <w:r>
        <w:rPr>
          <w:rFonts w:hint="eastAsia"/>
        </w:rPr>
        <w:t>年度财政拨款收、支总计</w:t>
      </w:r>
      <w:r>
        <w:rPr>
          <w:rFonts w:hint="eastAsia"/>
        </w:rPr>
        <w:t>6,035.38</w:t>
      </w:r>
      <w:r>
        <w:rPr>
          <w:rFonts w:hint="eastAsia"/>
        </w:rPr>
        <w:t>万元。与</w:t>
      </w:r>
      <w:r>
        <w:rPr>
          <w:rFonts w:hint="eastAsia"/>
        </w:rPr>
        <w:t>2021</w:t>
      </w:r>
      <w:r>
        <w:rPr>
          <w:rFonts w:hint="eastAsia"/>
        </w:rPr>
        <w:t>年相比，财政拨款收、支总计各减少</w:t>
      </w:r>
      <w:r>
        <w:rPr>
          <w:rFonts w:hint="eastAsia"/>
        </w:rPr>
        <w:t>688.26</w:t>
      </w:r>
      <w:r>
        <w:rPr>
          <w:rFonts w:hint="eastAsia"/>
        </w:rPr>
        <w:t>万元，下降</w:t>
      </w:r>
      <w:r>
        <w:rPr>
          <w:rFonts w:hint="eastAsia"/>
        </w:rPr>
        <w:t>10.2%</w:t>
      </w:r>
      <w:r>
        <w:rPr>
          <w:rFonts w:hint="eastAsia"/>
        </w:rPr>
        <w:t>。</w:t>
      </w:r>
      <w:r>
        <w:rPr>
          <w:rFonts w:cs="仿宋_GB2312" w:hint="eastAsia"/>
        </w:rPr>
        <w:t>主要原因是</w:t>
      </w:r>
      <w:r>
        <w:rPr>
          <w:rFonts w:cs="仿宋_GB2312" w:hint="eastAsia"/>
        </w:rPr>
        <w:t>202</w:t>
      </w:r>
      <w:r>
        <w:rPr>
          <w:rFonts w:cs="仿宋_GB2312" w:hint="eastAsia"/>
        </w:rPr>
        <w:t>2</w:t>
      </w:r>
      <w:r>
        <w:rPr>
          <w:rFonts w:cs="仿宋_GB2312" w:hint="eastAsia"/>
        </w:rPr>
        <w:t>年度下达的项目较</w:t>
      </w:r>
      <w:r>
        <w:rPr>
          <w:rFonts w:cs="仿宋_GB2312" w:hint="eastAsia"/>
        </w:rPr>
        <w:t>20</w:t>
      </w:r>
      <w:r>
        <w:rPr>
          <w:rFonts w:cs="仿宋_GB2312" w:hint="eastAsia"/>
        </w:rPr>
        <w:t>21</w:t>
      </w:r>
      <w:r>
        <w:rPr>
          <w:rFonts w:cs="仿宋_GB2312" w:hint="eastAsia"/>
        </w:rPr>
        <w:t>年度减少，导致财政拨款项目收支减少，比重降低。</w:t>
      </w:r>
    </w:p>
    <w:p w:rsidR="0003194E" w:rsidRDefault="00B32C91">
      <w:pPr>
        <w:pStyle w:val="a3"/>
        <w:snapToGrid w:val="0"/>
        <w:spacing w:line="600" w:lineRule="exact"/>
        <w:ind w:leftChars="0" w:left="0" w:right="320" w:firstLineChars="200" w:firstLine="640"/>
        <w:rPr>
          <w:rFonts w:eastAsia="方正楷体_GBK" w:cs="方正楷体_GBK"/>
        </w:rPr>
      </w:pPr>
      <w:r>
        <w:rPr>
          <w:rFonts w:eastAsia="方正楷体_GBK" w:cs="方正楷体_GBK" w:hint="eastAsia"/>
        </w:rPr>
        <w:t>（三）一般公共预算财政拨款支出决算情况说明</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 xml:space="preserve">1. </w:t>
      </w:r>
      <w:r>
        <w:rPr>
          <w:rFonts w:ascii="Times New Roman" w:eastAsia="方正仿宋_GBK" w:hAnsi="Times New Roman" w:cs="仿宋_GB2312" w:hint="eastAsia"/>
          <w:color w:val="auto"/>
          <w:kern w:val="2"/>
          <w:sz w:val="32"/>
        </w:rPr>
        <w:t>收入情况。</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年度一般公共预算财政拨款收入</w:t>
      </w:r>
      <w:r>
        <w:rPr>
          <w:rFonts w:ascii="Times New Roman" w:eastAsia="方正仿宋_GBK" w:hAnsi="Times New Roman" w:cs="仿宋_GB2312" w:hint="eastAsia"/>
          <w:color w:val="auto"/>
          <w:kern w:val="2"/>
          <w:sz w:val="32"/>
        </w:rPr>
        <w:t>5,372.09</w:t>
      </w:r>
      <w:r>
        <w:rPr>
          <w:rFonts w:ascii="Times New Roman" w:eastAsia="方正仿宋_GBK" w:hAnsi="Times New Roman" w:cs="仿宋_GB2312" w:hint="eastAsia"/>
          <w:color w:val="auto"/>
          <w:kern w:val="2"/>
          <w:sz w:val="32"/>
        </w:rPr>
        <w:t>万元，较上年决算数减少</w:t>
      </w:r>
      <w:r>
        <w:rPr>
          <w:rFonts w:ascii="Times New Roman" w:eastAsia="方正仿宋_GBK" w:hAnsi="Times New Roman" w:cs="仿宋_GB2312" w:hint="eastAsia"/>
          <w:color w:val="auto"/>
          <w:kern w:val="2"/>
          <w:sz w:val="32"/>
        </w:rPr>
        <w:t>789.36</w:t>
      </w:r>
      <w:r>
        <w:rPr>
          <w:rFonts w:ascii="Times New Roman" w:eastAsia="方正仿宋_GBK" w:hAnsi="Times New Roman" w:cs="仿宋_GB2312" w:hint="eastAsia"/>
          <w:color w:val="auto"/>
          <w:kern w:val="2"/>
          <w:sz w:val="32"/>
        </w:rPr>
        <w:t>万元，下降</w:t>
      </w:r>
      <w:r>
        <w:rPr>
          <w:rFonts w:ascii="Times New Roman" w:eastAsia="方正仿宋_GBK" w:hAnsi="Times New Roman" w:cs="仿宋_GB2312" w:hint="eastAsia"/>
          <w:color w:val="auto"/>
          <w:kern w:val="2"/>
          <w:sz w:val="32"/>
        </w:rPr>
        <w:t>12.8%</w:t>
      </w:r>
      <w:r>
        <w:rPr>
          <w:rFonts w:ascii="Times New Roman" w:eastAsia="方正仿宋_GBK" w:hAnsi="Times New Roman" w:cs="仿宋_GB2312" w:hint="eastAsia"/>
          <w:color w:val="auto"/>
          <w:kern w:val="2"/>
          <w:sz w:val="32"/>
        </w:rPr>
        <w:t>。原因是</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年度上级部门下达的一般</w:t>
      </w:r>
      <w:r>
        <w:rPr>
          <w:rFonts w:ascii="Times New Roman" w:eastAsia="方正仿宋_GBK" w:hAnsi="Times New Roman" w:cs="仿宋_GB2312" w:hint="eastAsia"/>
          <w:color w:val="auto"/>
          <w:kern w:val="2"/>
          <w:sz w:val="32"/>
        </w:rPr>
        <w:t>公共预算财政拨款项目资金与</w:t>
      </w:r>
      <w:r>
        <w:rPr>
          <w:rFonts w:ascii="Times New Roman" w:eastAsia="方正仿宋_GBK" w:hAnsi="Times New Roman" w:cs="仿宋_GB2312" w:hint="eastAsia"/>
          <w:color w:val="auto"/>
          <w:kern w:val="2"/>
          <w:sz w:val="32"/>
        </w:rPr>
        <w:t>2021</w:t>
      </w:r>
      <w:r>
        <w:rPr>
          <w:rFonts w:ascii="Times New Roman" w:eastAsia="方正仿宋_GBK" w:hAnsi="Times New Roman" w:cs="仿宋_GB2312" w:hint="eastAsia"/>
          <w:color w:val="auto"/>
          <w:kern w:val="2"/>
          <w:sz w:val="32"/>
        </w:rPr>
        <w:t>年度略有调整，导致一般公共预算财政拨款项目收入下降。较年初预算数增加</w:t>
      </w:r>
      <w:r>
        <w:rPr>
          <w:rFonts w:ascii="Times New Roman" w:eastAsia="方正仿宋_GBK" w:hAnsi="Times New Roman" w:cs="仿宋_GB2312" w:hint="eastAsia"/>
          <w:color w:val="auto"/>
          <w:kern w:val="2"/>
          <w:sz w:val="32"/>
        </w:rPr>
        <w:t>2,581.46</w:t>
      </w:r>
      <w:r>
        <w:rPr>
          <w:rFonts w:ascii="Times New Roman" w:eastAsia="方正仿宋_GBK" w:hAnsi="Times New Roman" w:cs="仿宋_GB2312" w:hint="eastAsia"/>
          <w:color w:val="auto"/>
          <w:kern w:val="2"/>
          <w:sz w:val="32"/>
        </w:rPr>
        <w:t>万元，增长</w:t>
      </w:r>
      <w:r>
        <w:rPr>
          <w:rFonts w:ascii="Times New Roman" w:eastAsia="方正仿宋_GBK" w:hAnsi="Times New Roman" w:cs="仿宋_GB2312" w:hint="eastAsia"/>
          <w:color w:val="auto"/>
          <w:kern w:val="2"/>
          <w:sz w:val="32"/>
        </w:rPr>
        <w:t>92.5%</w:t>
      </w:r>
      <w:r>
        <w:rPr>
          <w:rFonts w:ascii="Times New Roman" w:eastAsia="方正仿宋_GBK" w:hAnsi="Times New Roman" w:cs="仿宋_GB2312" w:hint="eastAsia"/>
          <w:color w:val="auto"/>
          <w:kern w:val="2"/>
          <w:sz w:val="32"/>
        </w:rPr>
        <w:t>。主要原因是年中预算项目增加，预算数增加。</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 xml:space="preserve">2. </w:t>
      </w:r>
      <w:r>
        <w:rPr>
          <w:rFonts w:ascii="Times New Roman" w:eastAsia="方正仿宋_GBK" w:hAnsi="Times New Roman" w:cs="仿宋_GB2312" w:hint="eastAsia"/>
          <w:color w:val="auto"/>
          <w:kern w:val="2"/>
          <w:sz w:val="32"/>
        </w:rPr>
        <w:t>支出情况。</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年度一般公共预算财政拨款支出</w:t>
      </w:r>
      <w:r>
        <w:rPr>
          <w:rFonts w:ascii="Times New Roman" w:eastAsia="方正仿宋_GBK" w:hAnsi="Times New Roman" w:cs="仿宋_GB2312" w:hint="eastAsia"/>
          <w:color w:val="auto"/>
          <w:kern w:val="2"/>
          <w:sz w:val="32"/>
        </w:rPr>
        <w:t>5,372.09</w:t>
      </w:r>
      <w:r>
        <w:rPr>
          <w:rFonts w:ascii="Times New Roman" w:eastAsia="方正仿宋_GBK" w:hAnsi="Times New Roman" w:cs="仿宋_GB2312" w:hint="eastAsia"/>
          <w:color w:val="auto"/>
          <w:kern w:val="2"/>
          <w:sz w:val="32"/>
        </w:rPr>
        <w:t>万元，较上年决算数减少</w:t>
      </w:r>
      <w:r>
        <w:rPr>
          <w:rFonts w:ascii="Times New Roman" w:eastAsia="方正仿宋_GBK" w:hAnsi="Times New Roman" w:cs="仿宋_GB2312" w:hint="eastAsia"/>
          <w:color w:val="auto"/>
          <w:kern w:val="2"/>
          <w:sz w:val="32"/>
        </w:rPr>
        <w:t>821.4</w:t>
      </w:r>
      <w:r>
        <w:rPr>
          <w:rFonts w:ascii="Times New Roman" w:eastAsia="方正仿宋_GBK" w:hAnsi="Times New Roman" w:cs="仿宋_GB2312" w:hint="eastAsia"/>
          <w:color w:val="auto"/>
          <w:kern w:val="2"/>
          <w:sz w:val="32"/>
        </w:rPr>
        <w:t>万元，下降</w:t>
      </w:r>
      <w:r>
        <w:rPr>
          <w:rFonts w:ascii="Times New Roman" w:eastAsia="方正仿宋_GBK" w:hAnsi="Times New Roman" w:cs="仿宋_GB2312" w:hint="eastAsia"/>
          <w:color w:val="auto"/>
          <w:kern w:val="2"/>
          <w:sz w:val="32"/>
        </w:rPr>
        <w:t>13.3%</w:t>
      </w:r>
      <w:r>
        <w:rPr>
          <w:rFonts w:ascii="Times New Roman" w:eastAsia="方正仿宋_GBK" w:hAnsi="Times New Roman" w:cs="仿宋_GB2312" w:hint="eastAsia"/>
          <w:color w:val="auto"/>
          <w:kern w:val="2"/>
          <w:sz w:val="32"/>
        </w:rPr>
        <w:t>。原因是</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年度上级部门下达的一般公共预算财政拨款项目资金与</w:t>
      </w:r>
      <w:r>
        <w:rPr>
          <w:rFonts w:ascii="Times New Roman" w:eastAsia="方正仿宋_GBK" w:hAnsi="Times New Roman" w:cs="仿宋_GB2312" w:hint="eastAsia"/>
          <w:color w:val="auto"/>
          <w:kern w:val="2"/>
          <w:sz w:val="32"/>
        </w:rPr>
        <w:t>2021</w:t>
      </w:r>
      <w:r>
        <w:rPr>
          <w:rFonts w:ascii="Times New Roman" w:eastAsia="方正仿宋_GBK" w:hAnsi="Times New Roman" w:cs="仿宋_GB2312" w:hint="eastAsia"/>
          <w:color w:val="auto"/>
          <w:kern w:val="2"/>
          <w:sz w:val="32"/>
        </w:rPr>
        <w:t>年度略有调整，导致一般公共预算财政拨款项目支出下降。较年初预算数增加</w:t>
      </w:r>
      <w:r>
        <w:rPr>
          <w:rFonts w:ascii="Times New Roman" w:eastAsia="方正仿宋_GBK" w:hAnsi="Times New Roman" w:cs="仿宋_GB2312" w:hint="eastAsia"/>
          <w:color w:val="auto"/>
          <w:kern w:val="2"/>
          <w:sz w:val="32"/>
        </w:rPr>
        <w:t>2,581.46</w:t>
      </w:r>
      <w:r>
        <w:rPr>
          <w:rFonts w:ascii="Times New Roman" w:eastAsia="方正仿宋_GBK" w:hAnsi="Times New Roman" w:cs="仿宋_GB2312" w:hint="eastAsia"/>
          <w:color w:val="auto"/>
          <w:kern w:val="2"/>
          <w:sz w:val="32"/>
        </w:rPr>
        <w:t>万元，增长</w:t>
      </w:r>
      <w:r>
        <w:rPr>
          <w:rFonts w:ascii="Times New Roman" w:eastAsia="方正仿宋_GBK" w:hAnsi="Times New Roman" w:cs="仿宋_GB2312" w:hint="eastAsia"/>
          <w:color w:val="auto"/>
          <w:kern w:val="2"/>
          <w:sz w:val="32"/>
        </w:rPr>
        <w:t>92.5%</w:t>
      </w:r>
      <w:r>
        <w:rPr>
          <w:rFonts w:ascii="Times New Roman" w:eastAsia="方正仿宋_GBK" w:hAnsi="Times New Roman" w:cs="仿宋_GB2312" w:hint="eastAsia"/>
          <w:color w:val="auto"/>
          <w:kern w:val="2"/>
          <w:sz w:val="32"/>
        </w:rPr>
        <w:t>。主要原因是年中预算项目增加，预算</w:t>
      </w:r>
      <w:r>
        <w:rPr>
          <w:rFonts w:ascii="Times New Roman" w:eastAsia="方正仿宋_GBK" w:hAnsi="Times New Roman" w:cs="仿宋_GB2312" w:hint="eastAsia"/>
          <w:color w:val="auto"/>
          <w:kern w:val="2"/>
          <w:sz w:val="32"/>
        </w:rPr>
        <w:t>数增加。</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 xml:space="preserve">3. </w:t>
      </w:r>
      <w:r>
        <w:rPr>
          <w:rFonts w:ascii="Times New Roman" w:eastAsia="方正仿宋_GBK" w:hAnsi="Times New Roman" w:cs="仿宋_GB2312" w:hint="eastAsia"/>
          <w:color w:val="auto"/>
          <w:kern w:val="2"/>
          <w:sz w:val="32"/>
        </w:rPr>
        <w:t>结转结余情况。本单位</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年度一般公共预算财政拨款支出无结转结余。</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lastRenderedPageBreak/>
        <w:t>4.</w:t>
      </w:r>
      <w:r>
        <w:rPr>
          <w:rFonts w:ascii="Times New Roman" w:eastAsia="方正仿宋_GBK" w:hAnsi="Times New Roman" w:cs="仿宋_GB2312"/>
          <w:color w:val="auto"/>
          <w:kern w:val="2"/>
          <w:sz w:val="32"/>
        </w:rPr>
        <w:t>比较情况。</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本</w:t>
      </w:r>
      <w:r>
        <w:rPr>
          <w:rFonts w:ascii="Times New Roman" w:eastAsia="方正仿宋_GBK" w:hAnsi="Times New Roman" w:cs="仿宋_GB2312" w:hint="eastAsia"/>
          <w:color w:val="auto"/>
          <w:kern w:val="2"/>
          <w:sz w:val="32"/>
        </w:rPr>
        <w:t>单位</w:t>
      </w:r>
      <w:r>
        <w:rPr>
          <w:rFonts w:ascii="Times New Roman" w:eastAsia="方正仿宋_GBK" w:hAnsi="Times New Roman" w:cs="仿宋_GB2312"/>
          <w:color w:val="auto"/>
          <w:kern w:val="2"/>
          <w:sz w:val="32"/>
        </w:rPr>
        <w:t>2022</w:t>
      </w:r>
      <w:r>
        <w:rPr>
          <w:rFonts w:ascii="Times New Roman" w:eastAsia="方正仿宋_GBK" w:hAnsi="Times New Roman" w:cs="仿宋_GB2312"/>
          <w:color w:val="auto"/>
          <w:kern w:val="2"/>
          <w:sz w:val="32"/>
        </w:rPr>
        <w:t>年度一般公共预算财政拨款支出主要用于以下几个方面：</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w:t>
      </w:r>
      <w:r>
        <w:rPr>
          <w:rFonts w:ascii="Times New Roman" w:eastAsia="方正仿宋_GBK" w:hAnsi="Times New Roman" w:cs="仿宋_GB2312"/>
          <w:color w:val="auto"/>
          <w:kern w:val="2"/>
          <w:sz w:val="32"/>
        </w:rPr>
        <w:t>1</w:t>
      </w:r>
      <w:r>
        <w:rPr>
          <w:rFonts w:ascii="Times New Roman" w:eastAsia="方正仿宋_GBK" w:hAnsi="Times New Roman" w:cs="仿宋_GB2312"/>
          <w:color w:val="auto"/>
          <w:kern w:val="2"/>
          <w:sz w:val="32"/>
        </w:rPr>
        <w:t>）一般公共服务支出</w:t>
      </w:r>
      <w:r>
        <w:rPr>
          <w:rFonts w:ascii="Times New Roman" w:eastAsia="方正仿宋_GBK" w:hAnsi="Times New Roman" w:cs="仿宋_GB2312"/>
          <w:color w:val="auto"/>
          <w:kern w:val="2"/>
          <w:sz w:val="32"/>
        </w:rPr>
        <w:t>936.81</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17.4%</w:t>
      </w:r>
      <w:r>
        <w:rPr>
          <w:rFonts w:ascii="Times New Roman" w:eastAsia="方正仿宋_GBK" w:hAnsi="Times New Roman" w:cs="仿宋_GB2312"/>
          <w:color w:val="auto"/>
          <w:kern w:val="2"/>
          <w:sz w:val="32"/>
        </w:rPr>
        <w:t>，较年初预算数减少</w:t>
      </w:r>
      <w:r>
        <w:rPr>
          <w:rFonts w:ascii="Times New Roman" w:eastAsia="方正仿宋_GBK" w:hAnsi="Times New Roman" w:cs="仿宋_GB2312"/>
          <w:color w:val="auto"/>
          <w:kern w:val="2"/>
          <w:sz w:val="32"/>
        </w:rPr>
        <w:t>155.07</w:t>
      </w:r>
      <w:r>
        <w:rPr>
          <w:rFonts w:ascii="Times New Roman" w:eastAsia="方正仿宋_GBK" w:hAnsi="Times New Roman" w:cs="仿宋_GB2312"/>
          <w:color w:val="auto"/>
          <w:kern w:val="2"/>
          <w:sz w:val="32"/>
        </w:rPr>
        <w:t>万元，下降</w:t>
      </w:r>
      <w:r>
        <w:rPr>
          <w:rFonts w:ascii="Times New Roman" w:eastAsia="方正仿宋_GBK" w:hAnsi="Times New Roman" w:cs="仿宋_GB2312"/>
          <w:color w:val="auto"/>
          <w:kern w:val="2"/>
          <w:sz w:val="32"/>
        </w:rPr>
        <w:t>14.2%</w:t>
      </w:r>
      <w:r>
        <w:rPr>
          <w:rFonts w:ascii="Times New Roman" w:eastAsia="方正仿宋_GBK" w:hAnsi="Times New Roman" w:cs="仿宋_GB2312"/>
          <w:color w:val="auto"/>
          <w:kern w:val="2"/>
          <w:sz w:val="32"/>
        </w:rPr>
        <w:t>，主要原因是</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年度上级部门下达的一般公共服务支出资金与</w:t>
      </w:r>
      <w:r>
        <w:rPr>
          <w:rFonts w:ascii="Times New Roman" w:eastAsia="方正仿宋_GBK" w:hAnsi="Times New Roman" w:cs="仿宋_GB2312" w:hint="eastAsia"/>
          <w:color w:val="auto"/>
          <w:kern w:val="2"/>
          <w:sz w:val="32"/>
        </w:rPr>
        <w:t>2021</w:t>
      </w:r>
      <w:r>
        <w:rPr>
          <w:rFonts w:ascii="Times New Roman" w:eastAsia="方正仿宋_GBK" w:hAnsi="Times New Roman" w:cs="仿宋_GB2312" w:hint="eastAsia"/>
          <w:color w:val="auto"/>
          <w:kern w:val="2"/>
          <w:sz w:val="32"/>
        </w:rPr>
        <w:t>年度略有调整，导致一般公共服务支出下降；在办公中压缩成本，导致成本费用有所下降，在日常管理中，由于管理方式的调整，使管理费用进一步下降。</w:t>
      </w:r>
    </w:p>
    <w:p w:rsidR="0003194E" w:rsidRDefault="00B32C91">
      <w:pPr>
        <w:pStyle w:val="a4"/>
        <w:snapToGrid w:val="0"/>
        <w:spacing w:line="600" w:lineRule="exact"/>
        <w:ind w:firstLineChars="200" w:firstLine="640"/>
        <w:rPr>
          <w:rFonts w:ascii="Times New Roman" w:eastAsia="方正仿宋_GBK" w:hAnsi="Times New Roman" w:cs="仿宋_GB2312"/>
          <w:color w:val="0000FF"/>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2</w:t>
      </w:r>
      <w:r>
        <w:rPr>
          <w:rFonts w:ascii="Times New Roman" w:eastAsia="方正仿宋_GBK" w:hAnsi="Times New Roman" w:cs="仿宋_GB2312"/>
          <w:color w:val="auto"/>
          <w:kern w:val="2"/>
          <w:sz w:val="32"/>
        </w:rPr>
        <w:t>）国防支出</w:t>
      </w:r>
      <w:r>
        <w:rPr>
          <w:rFonts w:ascii="Times New Roman" w:eastAsia="方正仿宋_GBK" w:hAnsi="Times New Roman" w:cs="仿宋_GB2312"/>
          <w:color w:val="auto"/>
          <w:kern w:val="2"/>
          <w:sz w:val="32"/>
        </w:rPr>
        <w:t>5.75</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0.1%</w:t>
      </w:r>
      <w:r>
        <w:rPr>
          <w:rFonts w:ascii="Times New Roman" w:eastAsia="方正仿宋_GBK" w:hAnsi="Times New Roman" w:cs="仿宋_GB2312"/>
          <w:color w:val="auto"/>
          <w:kern w:val="2"/>
          <w:sz w:val="32"/>
        </w:rPr>
        <w:t>，较年初预算数减少</w:t>
      </w:r>
      <w:r>
        <w:rPr>
          <w:rFonts w:ascii="Times New Roman" w:eastAsia="方正仿宋_GBK" w:hAnsi="Times New Roman" w:cs="仿宋_GB2312"/>
          <w:color w:val="auto"/>
          <w:kern w:val="2"/>
          <w:sz w:val="32"/>
        </w:rPr>
        <w:t>0.75</w:t>
      </w:r>
      <w:r>
        <w:rPr>
          <w:rFonts w:ascii="Times New Roman" w:eastAsia="方正仿宋_GBK" w:hAnsi="Times New Roman" w:cs="仿宋_GB2312"/>
          <w:color w:val="auto"/>
          <w:kern w:val="2"/>
          <w:sz w:val="32"/>
        </w:rPr>
        <w:t>万元，下降</w:t>
      </w:r>
      <w:r>
        <w:rPr>
          <w:rFonts w:ascii="Times New Roman" w:eastAsia="方正仿宋_GBK" w:hAnsi="Times New Roman" w:cs="仿宋_GB2312"/>
          <w:color w:val="auto"/>
          <w:kern w:val="2"/>
          <w:sz w:val="32"/>
        </w:rPr>
        <w:t>11.5%</w:t>
      </w:r>
      <w:r>
        <w:rPr>
          <w:rFonts w:ascii="Times New Roman" w:eastAsia="方正仿宋_GBK" w:hAnsi="Times New Roman" w:cs="仿宋_GB2312"/>
          <w:color w:val="auto"/>
          <w:kern w:val="2"/>
          <w:sz w:val="32"/>
        </w:rPr>
        <w:t>，主要原因是</w:t>
      </w:r>
      <w:r>
        <w:rPr>
          <w:rFonts w:ascii="Times New Roman" w:eastAsia="方正仿宋_GBK" w:hAnsi="Times New Roman" w:cs="仿宋_GB2312" w:hint="eastAsia"/>
          <w:color w:val="auto"/>
          <w:kern w:val="2"/>
          <w:sz w:val="32"/>
        </w:rPr>
        <w:t>兵役征集实际支出减少。</w:t>
      </w:r>
    </w:p>
    <w:p w:rsidR="0003194E" w:rsidRDefault="00B32C91">
      <w:pPr>
        <w:pStyle w:val="a4"/>
        <w:snapToGrid w:val="0"/>
        <w:spacing w:line="600" w:lineRule="exact"/>
        <w:ind w:firstLineChars="200" w:firstLine="640"/>
        <w:rPr>
          <w:rFonts w:ascii="Times New Roman" w:eastAsia="方正仿宋_GBK" w:hAnsi="Times New Roman" w:cs="仿宋_GB2312"/>
          <w:color w:val="0000FF"/>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3</w:t>
      </w:r>
      <w:r>
        <w:rPr>
          <w:rFonts w:ascii="Times New Roman" w:eastAsia="方正仿宋_GBK" w:hAnsi="Times New Roman" w:cs="仿宋_GB2312"/>
          <w:color w:val="auto"/>
          <w:kern w:val="2"/>
          <w:sz w:val="32"/>
        </w:rPr>
        <w:t>）公共安全支出</w:t>
      </w:r>
      <w:r>
        <w:rPr>
          <w:rFonts w:ascii="Times New Roman" w:eastAsia="方正仿宋_GBK" w:hAnsi="Times New Roman" w:cs="仿宋_GB2312"/>
          <w:color w:val="auto"/>
          <w:kern w:val="2"/>
          <w:sz w:val="32"/>
        </w:rPr>
        <w:t>29.09</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0.5%</w:t>
      </w:r>
      <w:r>
        <w:rPr>
          <w:rFonts w:ascii="Times New Roman" w:eastAsia="方正仿宋_GBK" w:hAnsi="Times New Roman" w:cs="仿宋_GB2312"/>
          <w:color w:val="auto"/>
          <w:kern w:val="2"/>
          <w:sz w:val="32"/>
        </w:rPr>
        <w:t>，较年初预算数减少</w:t>
      </w:r>
      <w:r>
        <w:rPr>
          <w:rFonts w:ascii="Times New Roman" w:eastAsia="方正仿宋_GBK" w:hAnsi="Times New Roman" w:cs="仿宋_GB2312"/>
          <w:color w:val="auto"/>
          <w:kern w:val="2"/>
          <w:sz w:val="32"/>
        </w:rPr>
        <w:t>6.91</w:t>
      </w:r>
      <w:r>
        <w:rPr>
          <w:rFonts w:ascii="Times New Roman" w:eastAsia="方正仿宋_GBK" w:hAnsi="Times New Roman" w:cs="仿宋_GB2312"/>
          <w:color w:val="auto"/>
          <w:kern w:val="2"/>
          <w:sz w:val="32"/>
        </w:rPr>
        <w:t>万元，下降</w:t>
      </w:r>
      <w:r>
        <w:rPr>
          <w:rFonts w:ascii="Times New Roman" w:eastAsia="方正仿宋_GBK" w:hAnsi="Times New Roman" w:cs="仿宋_GB2312"/>
          <w:color w:val="auto"/>
          <w:kern w:val="2"/>
          <w:sz w:val="32"/>
        </w:rPr>
        <w:t>19.2%</w:t>
      </w:r>
      <w:r>
        <w:rPr>
          <w:rFonts w:ascii="Times New Roman" w:eastAsia="方正仿宋_GBK" w:hAnsi="Times New Roman" w:cs="仿宋_GB2312"/>
          <w:color w:val="auto"/>
          <w:kern w:val="2"/>
          <w:sz w:val="32"/>
        </w:rPr>
        <w:t>，主要原因是农村交通安全劝导员补贴</w:t>
      </w:r>
      <w:r>
        <w:rPr>
          <w:rFonts w:ascii="Times New Roman" w:eastAsia="方正仿宋_GBK" w:hAnsi="Times New Roman" w:cs="仿宋_GB2312" w:hint="eastAsia"/>
          <w:color w:val="auto"/>
          <w:kern w:val="2"/>
          <w:sz w:val="32"/>
        </w:rPr>
        <w:t>支出减少。</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4</w:t>
      </w:r>
      <w:r>
        <w:rPr>
          <w:rFonts w:ascii="Times New Roman" w:eastAsia="方正仿宋_GBK" w:hAnsi="Times New Roman" w:cs="仿宋_GB2312"/>
          <w:color w:val="auto"/>
          <w:kern w:val="2"/>
          <w:sz w:val="32"/>
        </w:rPr>
        <w:t>）文化旅游体育与传媒支出</w:t>
      </w:r>
      <w:r>
        <w:rPr>
          <w:rFonts w:ascii="Times New Roman" w:eastAsia="方正仿宋_GBK" w:hAnsi="Times New Roman" w:cs="仿宋_GB2312"/>
          <w:color w:val="auto"/>
          <w:kern w:val="2"/>
          <w:sz w:val="32"/>
        </w:rPr>
        <w:t>88.73</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1.7%</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40.49</w:t>
      </w:r>
      <w:r>
        <w:rPr>
          <w:rFonts w:ascii="Times New Roman" w:eastAsia="方正仿宋_GBK" w:hAnsi="Times New Roman" w:cs="仿宋_GB2312"/>
          <w:color w:val="auto"/>
          <w:kern w:val="2"/>
          <w:sz w:val="32"/>
        </w:rPr>
        <w:t>万元，增长</w:t>
      </w:r>
      <w:r>
        <w:rPr>
          <w:rFonts w:ascii="Times New Roman" w:eastAsia="方正仿宋_GBK" w:hAnsi="Times New Roman" w:cs="仿宋_GB2312"/>
          <w:color w:val="auto"/>
          <w:kern w:val="2"/>
          <w:sz w:val="32"/>
        </w:rPr>
        <w:t>83.9%</w:t>
      </w:r>
      <w:r>
        <w:rPr>
          <w:rFonts w:ascii="Times New Roman" w:eastAsia="方正仿宋_GBK" w:hAnsi="Times New Roman" w:cs="仿宋_GB2312"/>
          <w:color w:val="auto"/>
          <w:kern w:val="2"/>
          <w:sz w:val="32"/>
        </w:rPr>
        <w:t>，主要原因是</w:t>
      </w:r>
      <w:r>
        <w:rPr>
          <w:rFonts w:ascii="Times New Roman" w:eastAsia="方正仿宋_GBK" w:hAnsi="Times New Roman" w:cs="仿宋_GB2312" w:hint="eastAsia"/>
          <w:color w:val="auto"/>
          <w:kern w:val="2"/>
          <w:sz w:val="32"/>
        </w:rPr>
        <w:t>文化免费开放等项目年初未纳入预算，属于年中新增项目，项目增加导致支出增加。</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5</w:t>
      </w:r>
      <w:r>
        <w:rPr>
          <w:rFonts w:ascii="Times New Roman" w:eastAsia="方正仿宋_GBK" w:hAnsi="Times New Roman" w:cs="仿宋_GB2312"/>
          <w:color w:val="auto"/>
          <w:kern w:val="2"/>
          <w:sz w:val="32"/>
        </w:rPr>
        <w:t>）社会保障与就业支出</w:t>
      </w:r>
      <w:r>
        <w:rPr>
          <w:rFonts w:ascii="Times New Roman" w:eastAsia="方正仿宋_GBK" w:hAnsi="Times New Roman" w:cs="仿宋_GB2312"/>
          <w:color w:val="auto"/>
          <w:kern w:val="2"/>
          <w:sz w:val="32"/>
        </w:rPr>
        <w:t>932.8</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17.4%</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420.63</w:t>
      </w:r>
      <w:r>
        <w:rPr>
          <w:rFonts w:ascii="Times New Roman" w:eastAsia="方正仿宋_GBK" w:hAnsi="Times New Roman" w:cs="仿宋_GB2312"/>
          <w:color w:val="auto"/>
          <w:kern w:val="2"/>
          <w:sz w:val="32"/>
        </w:rPr>
        <w:t>万元，增长</w:t>
      </w:r>
      <w:r>
        <w:rPr>
          <w:rFonts w:ascii="Times New Roman" w:eastAsia="方正仿宋_GBK" w:hAnsi="Times New Roman" w:cs="仿宋_GB2312"/>
          <w:color w:val="auto"/>
          <w:kern w:val="2"/>
          <w:sz w:val="32"/>
        </w:rPr>
        <w:t>82.1%</w:t>
      </w:r>
      <w:r>
        <w:rPr>
          <w:rFonts w:ascii="Times New Roman" w:eastAsia="方正仿宋_GBK" w:hAnsi="Times New Roman" w:cs="仿宋_GB2312"/>
          <w:color w:val="auto"/>
          <w:kern w:val="2"/>
          <w:sz w:val="32"/>
        </w:rPr>
        <w:t>，主要原因是丧葬补贴</w:t>
      </w:r>
      <w:r>
        <w:rPr>
          <w:rFonts w:ascii="Times New Roman" w:eastAsia="方正仿宋_GBK" w:hAnsi="Times New Roman" w:cs="仿宋_GB2312" w:hint="eastAsia"/>
          <w:color w:val="auto"/>
          <w:kern w:val="2"/>
          <w:sz w:val="32"/>
        </w:rPr>
        <w:t>等优抚</w:t>
      </w:r>
      <w:r>
        <w:rPr>
          <w:rFonts w:ascii="Times New Roman" w:eastAsia="方正仿宋_GBK" w:hAnsi="Times New Roman" w:cs="仿宋_GB2312" w:hint="eastAsia"/>
          <w:color w:val="auto"/>
          <w:kern w:val="2"/>
          <w:sz w:val="32"/>
        </w:rPr>
        <w:lastRenderedPageBreak/>
        <w:t>项目年初未纳入预算，属于年中新增项目，项目增加导致支出增加。</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6</w:t>
      </w:r>
      <w:r>
        <w:rPr>
          <w:rFonts w:ascii="Times New Roman" w:eastAsia="方正仿宋_GBK" w:hAnsi="Times New Roman" w:cs="仿宋_GB2312"/>
          <w:color w:val="auto"/>
          <w:kern w:val="2"/>
          <w:sz w:val="32"/>
        </w:rPr>
        <w:t>）卫生健康支出</w:t>
      </w:r>
      <w:r>
        <w:rPr>
          <w:rFonts w:ascii="Times New Roman" w:eastAsia="方正仿宋_GBK" w:hAnsi="Times New Roman" w:cs="仿宋_GB2312"/>
          <w:color w:val="auto"/>
          <w:kern w:val="2"/>
          <w:sz w:val="32"/>
        </w:rPr>
        <w:t>86.87</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1.6%</w:t>
      </w:r>
      <w:r>
        <w:rPr>
          <w:rFonts w:ascii="Times New Roman" w:eastAsia="方正仿宋_GBK" w:hAnsi="Times New Roman" w:cs="仿宋_GB2312"/>
          <w:color w:val="auto"/>
          <w:kern w:val="2"/>
          <w:sz w:val="32"/>
        </w:rPr>
        <w:t>，较年初预算数减少</w:t>
      </w:r>
      <w:r>
        <w:rPr>
          <w:rFonts w:ascii="Times New Roman" w:eastAsia="方正仿宋_GBK" w:hAnsi="Times New Roman" w:cs="仿宋_GB2312"/>
          <w:color w:val="auto"/>
          <w:kern w:val="2"/>
          <w:sz w:val="32"/>
        </w:rPr>
        <w:t>9.62</w:t>
      </w:r>
      <w:r>
        <w:rPr>
          <w:rFonts w:ascii="Times New Roman" w:eastAsia="方正仿宋_GBK" w:hAnsi="Times New Roman" w:cs="仿宋_GB2312"/>
          <w:color w:val="auto"/>
          <w:kern w:val="2"/>
          <w:sz w:val="32"/>
        </w:rPr>
        <w:t>万元，下降</w:t>
      </w:r>
      <w:r>
        <w:rPr>
          <w:rFonts w:ascii="Times New Roman" w:eastAsia="方正仿宋_GBK" w:hAnsi="Times New Roman" w:cs="仿宋_GB2312"/>
          <w:color w:val="auto"/>
          <w:kern w:val="2"/>
          <w:sz w:val="32"/>
        </w:rPr>
        <w:t>10</w:t>
      </w:r>
      <w:r>
        <w:rPr>
          <w:rFonts w:ascii="Times New Roman" w:eastAsia="方正仿宋_GBK" w:hAnsi="Times New Roman" w:cs="仿宋_GB2312" w:hint="eastAsia"/>
          <w:color w:val="auto"/>
          <w:kern w:val="2"/>
          <w:sz w:val="32"/>
        </w:rPr>
        <w:t>.0</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，主要原因是医疗垫底补助</w:t>
      </w:r>
      <w:r>
        <w:rPr>
          <w:rFonts w:ascii="Times New Roman" w:eastAsia="方正仿宋_GBK" w:hAnsi="Times New Roman" w:cs="仿宋_GB2312" w:hint="eastAsia"/>
          <w:color w:val="auto"/>
          <w:kern w:val="2"/>
          <w:sz w:val="32"/>
        </w:rPr>
        <w:t>、</w:t>
      </w:r>
      <w:r>
        <w:rPr>
          <w:rFonts w:ascii="Times New Roman" w:eastAsia="方正仿宋_GBK" w:hAnsi="Times New Roman" w:cs="仿宋_GB2312"/>
          <w:color w:val="auto"/>
          <w:kern w:val="2"/>
          <w:sz w:val="32"/>
        </w:rPr>
        <w:t>职工基本医疗保险缴费</w:t>
      </w:r>
      <w:r>
        <w:rPr>
          <w:rFonts w:ascii="Times New Roman" w:eastAsia="方正仿宋_GBK" w:hAnsi="Times New Roman" w:cs="仿宋_GB2312" w:hint="eastAsia"/>
          <w:color w:val="auto"/>
          <w:kern w:val="2"/>
          <w:sz w:val="32"/>
        </w:rPr>
        <w:t>等人员类费用减少。</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7</w:t>
      </w:r>
      <w:r>
        <w:rPr>
          <w:rFonts w:ascii="Times New Roman" w:eastAsia="方正仿宋_GBK" w:hAnsi="Times New Roman" w:cs="仿宋_GB2312"/>
          <w:color w:val="auto"/>
          <w:kern w:val="2"/>
          <w:sz w:val="32"/>
        </w:rPr>
        <w:t>）节能环保支出</w:t>
      </w:r>
      <w:r>
        <w:rPr>
          <w:rFonts w:ascii="Times New Roman" w:eastAsia="方正仿宋_GBK" w:hAnsi="Times New Roman" w:cs="仿宋_GB2312"/>
          <w:color w:val="auto"/>
          <w:kern w:val="2"/>
          <w:sz w:val="32"/>
        </w:rPr>
        <w:t>214.15</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4</w:t>
      </w:r>
      <w:r>
        <w:rPr>
          <w:rFonts w:ascii="Times New Roman" w:eastAsia="方正仿宋_GBK" w:hAnsi="Times New Roman" w:cs="仿宋_GB2312" w:hint="eastAsia"/>
          <w:color w:val="auto"/>
          <w:kern w:val="2"/>
          <w:sz w:val="32"/>
        </w:rPr>
        <w:t>.0</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214.15</w:t>
      </w:r>
      <w:r>
        <w:rPr>
          <w:rFonts w:ascii="Times New Roman" w:eastAsia="方正仿宋_GBK" w:hAnsi="Times New Roman" w:cs="仿宋_GB2312"/>
          <w:color w:val="auto"/>
          <w:kern w:val="2"/>
          <w:sz w:val="32"/>
        </w:rPr>
        <w:t>万元，增长</w:t>
      </w:r>
      <w:r>
        <w:rPr>
          <w:rFonts w:ascii="Times New Roman" w:eastAsia="方正仿宋_GBK" w:hAnsi="Times New Roman" w:cs="仿宋_GB2312" w:hint="eastAsia"/>
          <w:color w:val="auto"/>
          <w:kern w:val="2"/>
          <w:sz w:val="32"/>
        </w:rPr>
        <w:t>100.0</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，主要原因是节能环保支出</w:t>
      </w:r>
      <w:r>
        <w:rPr>
          <w:rFonts w:ascii="Times New Roman" w:eastAsia="方正仿宋_GBK" w:hAnsi="Times New Roman" w:cs="仿宋_GB2312" w:hint="eastAsia"/>
          <w:color w:val="auto"/>
          <w:kern w:val="2"/>
          <w:sz w:val="32"/>
        </w:rPr>
        <w:t>为年中新增项目，年初预算为零。</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8</w:t>
      </w:r>
      <w:r>
        <w:rPr>
          <w:rFonts w:ascii="Times New Roman" w:eastAsia="方正仿宋_GBK" w:hAnsi="Times New Roman" w:cs="仿宋_GB2312"/>
          <w:color w:val="auto"/>
          <w:kern w:val="2"/>
          <w:sz w:val="32"/>
        </w:rPr>
        <w:t>）城乡社区支出</w:t>
      </w:r>
      <w:r>
        <w:rPr>
          <w:rFonts w:ascii="Times New Roman" w:eastAsia="方正仿宋_GBK" w:hAnsi="Times New Roman" w:cs="仿宋_GB2312"/>
          <w:color w:val="auto"/>
          <w:kern w:val="2"/>
          <w:sz w:val="32"/>
        </w:rPr>
        <w:t>133.44</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2.5%</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38.17</w:t>
      </w:r>
      <w:r>
        <w:rPr>
          <w:rFonts w:ascii="Times New Roman" w:eastAsia="方正仿宋_GBK" w:hAnsi="Times New Roman" w:cs="仿宋_GB2312"/>
          <w:color w:val="auto"/>
          <w:kern w:val="2"/>
          <w:sz w:val="32"/>
        </w:rPr>
        <w:t>万元，增</w:t>
      </w:r>
      <w:r>
        <w:rPr>
          <w:rFonts w:ascii="Times New Roman" w:eastAsia="方正仿宋_GBK" w:hAnsi="Times New Roman" w:cs="仿宋_GB2312"/>
          <w:color w:val="auto"/>
          <w:kern w:val="2"/>
          <w:sz w:val="32"/>
        </w:rPr>
        <w:t>长</w:t>
      </w:r>
      <w:r>
        <w:rPr>
          <w:rFonts w:ascii="Times New Roman" w:eastAsia="方正仿宋_GBK" w:hAnsi="Times New Roman" w:cs="仿宋_GB2312"/>
          <w:color w:val="auto"/>
          <w:kern w:val="2"/>
          <w:sz w:val="32"/>
        </w:rPr>
        <w:t>40.1%</w:t>
      </w:r>
      <w:r>
        <w:rPr>
          <w:rFonts w:ascii="Times New Roman" w:eastAsia="方正仿宋_GBK" w:hAnsi="Times New Roman" w:cs="仿宋_GB2312"/>
          <w:color w:val="auto"/>
          <w:kern w:val="2"/>
          <w:sz w:val="32"/>
        </w:rPr>
        <w:t>，主要原因是</w:t>
      </w:r>
      <w:r>
        <w:rPr>
          <w:rFonts w:ascii="Times New Roman" w:eastAsia="方正仿宋_GBK" w:hAnsi="Times New Roman" w:cs="仿宋_GB2312" w:hint="eastAsia"/>
          <w:color w:val="auto"/>
          <w:kern w:val="2"/>
          <w:sz w:val="32"/>
        </w:rPr>
        <w:t>人员类和公用经费增加。</w:t>
      </w:r>
      <w:r>
        <w:rPr>
          <w:rFonts w:ascii="Times New Roman" w:eastAsia="方正仿宋_GBK" w:hAnsi="Times New Roman" w:cs="仿宋_GB2312" w:hint="eastAsia"/>
          <w:color w:val="auto"/>
          <w:kern w:val="2"/>
          <w:sz w:val="32"/>
        </w:rPr>
        <w:t xml:space="preserve">      </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hint="eastAsia"/>
          <w:color w:val="auto"/>
          <w:kern w:val="2"/>
          <w:sz w:val="32"/>
        </w:rPr>
        <w:t>9</w:t>
      </w:r>
      <w:r>
        <w:rPr>
          <w:rFonts w:ascii="Times New Roman" w:eastAsia="方正仿宋_GBK" w:hAnsi="Times New Roman" w:cs="仿宋_GB2312"/>
          <w:color w:val="auto"/>
          <w:kern w:val="2"/>
          <w:sz w:val="32"/>
        </w:rPr>
        <w:t>）农林水支出</w:t>
      </w:r>
      <w:r>
        <w:rPr>
          <w:rFonts w:ascii="Times New Roman" w:eastAsia="方正仿宋_GBK" w:hAnsi="Times New Roman" w:cs="仿宋_GB2312"/>
          <w:color w:val="auto"/>
          <w:kern w:val="2"/>
          <w:sz w:val="32"/>
        </w:rPr>
        <w:t>2,480.29</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46.2%</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1,737.43</w:t>
      </w:r>
      <w:r>
        <w:rPr>
          <w:rFonts w:ascii="Times New Roman" w:eastAsia="方正仿宋_GBK" w:hAnsi="Times New Roman" w:cs="仿宋_GB2312"/>
          <w:color w:val="auto"/>
          <w:kern w:val="2"/>
          <w:sz w:val="32"/>
        </w:rPr>
        <w:t>万元，增长</w:t>
      </w:r>
      <w:r>
        <w:rPr>
          <w:rFonts w:ascii="Times New Roman" w:eastAsia="方正仿宋_GBK" w:hAnsi="Times New Roman" w:cs="仿宋_GB2312"/>
          <w:color w:val="auto"/>
          <w:kern w:val="2"/>
          <w:sz w:val="32"/>
        </w:rPr>
        <w:t>233.9%</w:t>
      </w:r>
      <w:r>
        <w:rPr>
          <w:rFonts w:ascii="Times New Roman" w:eastAsia="方正仿宋_GBK" w:hAnsi="Times New Roman" w:cs="仿宋_GB2312"/>
          <w:color w:val="auto"/>
          <w:kern w:val="2"/>
          <w:sz w:val="32"/>
        </w:rPr>
        <w:t>，主要原因是</w:t>
      </w:r>
      <w:r>
        <w:rPr>
          <w:rFonts w:ascii="Times New Roman" w:eastAsia="方正仿宋_GBK" w:hAnsi="Times New Roman" w:cs="仿宋_GB2312" w:hint="eastAsia"/>
          <w:color w:val="auto"/>
          <w:kern w:val="2"/>
          <w:sz w:val="32"/>
        </w:rPr>
        <w:t>部门项目绝大多数为年中新增项目，年初没有预算。</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1</w:t>
      </w:r>
      <w:r>
        <w:rPr>
          <w:rFonts w:ascii="Times New Roman" w:eastAsia="方正仿宋_GBK" w:hAnsi="Times New Roman" w:cs="仿宋_GB2312" w:hint="eastAsia"/>
          <w:color w:val="auto"/>
          <w:kern w:val="2"/>
          <w:sz w:val="32"/>
        </w:rPr>
        <w:t>0</w:t>
      </w:r>
      <w:r>
        <w:rPr>
          <w:rFonts w:ascii="Times New Roman" w:eastAsia="方正仿宋_GBK" w:hAnsi="Times New Roman" w:cs="仿宋_GB2312"/>
          <w:color w:val="auto"/>
          <w:kern w:val="2"/>
          <w:sz w:val="32"/>
        </w:rPr>
        <w:t>）交通运输支出</w:t>
      </w:r>
      <w:r>
        <w:rPr>
          <w:rFonts w:ascii="Times New Roman" w:eastAsia="方正仿宋_GBK" w:hAnsi="Times New Roman" w:cs="仿宋_GB2312"/>
          <w:color w:val="auto"/>
          <w:kern w:val="2"/>
          <w:sz w:val="32"/>
        </w:rPr>
        <w:t>167.95</w:t>
      </w:r>
      <w:r>
        <w:rPr>
          <w:rFonts w:ascii="Times New Roman" w:eastAsia="方正仿宋_GBK" w:hAnsi="Times New Roman" w:cs="仿宋_GB2312"/>
          <w:color w:val="auto"/>
          <w:kern w:val="2"/>
          <w:sz w:val="32"/>
        </w:rPr>
        <w:t>万元，占</w:t>
      </w:r>
      <w:r>
        <w:rPr>
          <w:rFonts w:ascii="Times New Roman" w:eastAsia="方正仿宋_GBK" w:hAnsi="Times New Roman" w:cs="仿宋_GB2312"/>
          <w:color w:val="auto"/>
          <w:kern w:val="2"/>
          <w:sz w:val="32"/>
        </w:rPr>
        <w:t>3.1%</w:t>
      </w:r>
      <w:r>
        <w:rPr>
          <w:rFonts w:ascii="Times New Roman" w:eastAsia="方正仿宋_GBK" w:hAnsi="Times New Roman" w:cs="仿宋_GB2312"/>
          <w:color w:val="auto"/>
          <w:kern w:val="2"/>
          <w:sz w:val="32"/>
        </w:rPr>
        <w:t>，较年初预算数增加</w:t>
      </w:r>
      <w:r>
        <w:rPr>
          <w:rFonts w:ascii="Times New Roman" w:eastAsia="方正仿宋_GBK" w:hAnsi="Times New Roman" w:cs="仿宋_GB2312"/>
          <w:color w:val="auto"/>
          <w:kern w:val="2"/>
          <w:sz w:val="32"/>
        </w:rPr>
        <w:t>167.95</w:t>
      </w:r>
      <w:r>
        <w:rPr>
          <w:rFonts w:ascii="Times New Roman" w:eastAsia="方正仿宋_GBK" w:hAnsi="Times New Roman" w:cs="仿宋_GB2312"/>
          <w:color w:val="auto"/>
          <w:kern w:val="2"/>
          <w:sz w:val="32"/>
        </w:rPr>
        <w:t>万元，增长</w:t>
      </w:r>
      <w:r>
        <w:rPr>
          <w:rFonts w:ascii="Times New Roman" w:eastAsia="方正仿宋_GBK" w:hAnsi="Times New Roman" w:cs="仿宋_GB2312" w:hint="eastAsia"/>
          <w:color w:val="auto"/>
          <w:kern w:val="2"/>
          <w:sz w:val="32"/>
        </w:rPr>
        <w:t>100.0</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，主要原因是交通运输支出</w:t>
      </w:r>
      <w:r>
        <w:rPr>
          <w:rFonts w:ascii="Times New Roman" w:eastAsia="方正仿宋_GBK" w:hAnsi="Times New Roman" w:cs="仿宋_GB2312" w:hint="eastAsia"/>
          <w:color w:val="auto"/>
          <w:kern w:val="2"/>
          <w:sz w:val="32"/>
        </w:rPr>
        <w:t>为年中新增项目，年初预算为零。</w:t>
      </w:r>
    </w:p>
    <w:p w:rsidR="0003194E" w:rsidRDefault="00B32C91">
      <w:pPr>
        <w:pStyle w:val="a7"/>
        <w:widowControl/>
        <w:shd w:val="clear" w:color="auto" w:fill="FFFFFF"/>
        <w:spacing w:before="0" w:beforeAutospacing="0" w:after="0" w:afterAutospacing="0"/>
        <w:ind w:firstLineChars="200" w:firstLine="640"/>
        <w:rPr>
          <w:rFonts w:cs="仿宋_GB2312"/>
          <w:color w:val="0000FF"/>
          <w:kern w:val="2"/>
          <w:sz w:val="32"/>
        </w:rPr>
      </w:pPr>
      <w:r>
        <w:rPr>
          <w:rFonts w:cs="仿宋_GB2312"/>
          <w:kern w:val="2"/>
          <w:sz w:val="32"/>
        </w:rPr>
        <w:t>（</w:t>
      </w:r>
      <w:r>
        <w:rPr>
          <w:rFonts w:cs="仿宋_GB2312"/>
          <w:kern w:val="2"/>
          <w:sz w:val="32"/>
        </w:rPr>
        <w:t>1</w:t>
      </w:r>
      <w:r>
        <w:rPr>
          <w:rFonts w:cs="仿宋_GB2312" w:hint="eastAsia"/>
          <w:kern w:val="2"/>
          <w:sz w:val="32"/>
        </w:rPr>
        <w:t>1</w:t>
      </w:r>
      <w:r>
        <w:rPr>
          <w:rFonts w:cs="仿宋_GB2312"/>
          <w:kern w:val="2"/>
          <w:sz w:val="32"/>
        </w:rPr>
        <w:t>）住房保障支出</w:t>
      </w:r>
      <w:r>
        <w:rPr>
          <w:rFonts w:cs="仿宋_GB2312"/>
          <w:kern w:val="2"/>
          <w:sz w:val="32"/>
        </w:rPr>
        <w:t>120.27</w:t>
      </w:r>
      <w:r>
        <w:rPr>
          <w:rFonts w:cs="仿宋_GB2312"/>
          <w:kern w:val="2"/>
          <w:sz w:val="32"/>
        </w:rPr>
        <w:t>万元，占</w:t>
      </w:r>
      <w:r>
        <w:rPr>
          <w:rFonts w:cs="仿宋_GB2312"/>
          <w:kern w:val="2"/>
          <w:sz w:val="32"/>
        </w:rPr>
        <w:t>2.2%</w:t>
      </w:r>
      <w:r>
        <w:rPr>
          <w:rFonts w:cs="仿宋_GB2312"/>
          <w:kern w:val="2"/>
          <w:sz w:val="32"/>
        </w:rPr>
        <w:t>，较年初预算数减少</w:t>
      </w:r>
      <w:r>
        <w:rPr>
          <w:rFonts w:cs="仿宋_GB2312"/>
          <w:kern w:val="2"/>
          <w:sz w:val="32"/>
        </w:rPr>
        <w:t>8.45</w:t>
      </w:r>
      <w:r>
        <w:rPr>
          <w:rFonts w:cs="仿宋_GB2312"/>
          <w:kern w:val="2"/>
          <w:sz w:val="32"/>
        </w:rPr>
        <w:t>万元，下降</w:t>
      </w:r>
      <w:r>
        <w:rPr>
          <w:rFonts w:cs="仿宋_GB2312"/>
          <w:kern w:val="2"/>
          <w:sz w:val="32"/>
        </w:rPr>
        <w:t>6.6%</w:t>
      </w:r>
      <w:r>
        <w:rPr>
          <w:rFonts w:cs="仿宋_GB2312"/>
          <w:kern w:val="2"/>
          <w:sz w:val="32"/>
        </w:rPr>
        <w:t>，主要原因是</w:t>
      </w:r>
      <w:r>
        <w:rPr>
          <w:rFonts w:cs="仿宋_GB2312" w:hint="eastAsia"/>
          <w:kern w:val="2"/>
          <w:sz w:val="32"/>
        </w:rPr>
        <w:t>2022</w:t>
      </w:r>
      <w:r>
        <w:rPr>
          <w:rFonts w:cs="仿宋_GB2312" w:hint="eastAsia"/>
          <w:kern w:val="2"/>
          <w:sz w:val="32"/>
        </w:rPr>
        <w:t>对公积金进行清理调整，公积金支出减少。</w:t>
      </w:r>
    </w:p>
    <w:p w:rsidR="0003194E" w:rsidRDefault="00B32C91">
      <w:pPr>
        <w:pStyle w:val="a7"/>
        <w:widowControl/>
        <w:shd w:val="clear" w:color="auto" w:fill="FFFFFF"/>
        <w:spacing w:before="0" w:beforeAutospacing="0" w:after="0" w:afterAutospacing="0"/>
        <w:ind w:firstLineChars="200" w:firstLine="640"/>
        <w:rPr>
          <w:rFonts w:cs="仿宋_GB2312"/>
          <w:kern w:val="2"/>
          <w:sz w:val="32"/>
        </w:rPr>
      </w:pPr>
      <w:r>
        <w:rPr>
          <w:rFonts w:cs="仿宋_GB2312"/>
          <w:kern w:val="2"/>
          <w:sz w:val="32"/>
        </w:rPr>
        <w:lastRenderedPageBreak/>
        <w:t>（</w:t>
      </w:r>
      <w:r>
        <w:rPr>
          <w:rFonts w:cs="仿宋_GB2312" w:hint="eastAsia"/>
          <w:kern w:val="2"/>
          <w:sz w:val="32"/>
        </w:rPr>
        <w:t>1</w:t>
      </w:r>
      <w:r>
        <w:rPr>
          <w:rFonts w:cs="仿宋_GB2312"/>
          <w:kern w:val="2"/>
          <w:sz w:val="32"/>
        </w:rPr>
        <w:t>2</w:t>
      </w:r>
      <w:r>
        <w:rPr>
          <w:rFonts w:cs="仿宋_GB2312"/>
          <w:kern w:val="2"/>
          <w:sz w:val="32"/>
        </w:rPr>
        <w:t>）灾害防治及应急管理支出</w:t>
      </w:r>
      <w:r>
        <w:rPr>
          <w:rFonts w:cs="仿宋_GB2312"/>
          <w:kern w:val="2"/>
          <w:sz w:val="32"/>
        </w:rPr>
        <w:t>175.93</w:t>
      </w:r>
      <w:r>
        <w:rPr>
          <w:rFonts w:cs="仿宋_GB2312"/>
          <w:kern w:val="2"/>
          <w:sz w:val="32"/>
        </w:rPr>
        <w:t>万元，占</w:t>
      </w:r>
      <w:r>
        <w:rPr>
          <w:rFonts w:cs="仿宋_GB2312"/>
          <w:kern w:val="2"/>
          <w:sz w:val="32"/>
        </w:rPr>
        <w:t>3.3%</w:t>
      </w:r>
      <w:r>
        <w:rPr>
          <w:rFonts w:cs="仿宋_GB2312"/>
          <w:kern w:val="2"/>
          <w:sz w:val="32"/>
        </w:rPr>
        <w:t>，较年初预算数增加</w:t>
      </w:r>
      <w:r>
        <w:rPr>
          <w:rFonts w:cs="仿宋_GB2312"/>
          <w:kern w:val="2"/>
          <w:sz w:val="32"/>
        </w:rPr>
        <w:t>143.43</w:t>
      </w:r>
      <w:r>
        <w:rPr>
          <w:rFonts w:cs="仿宋_GB2312"/>
          <w:kern w:val="2"/>
          <w:sz w:val="32"/>
        </w:rPr>
        <w:t>万元，增长</w:t>
      </w:r>
      <w:r>
        <w:rPr>
          <w:rFonts w:cs="仿宋_GB2312"/>
          <w:kern w:val="2"/>
          <w:sz w:val="32"/>
        </w:rPr>
        <w:t>441.3%</w:t>
      </w:r>
      <w:r>
        <w:rPr>
          <w:rFonts w:cs="仿宋_GB2312"/>
          <w:kern w:val="2"/>
          <w:sz w:val="32"/>
        </w:rPr>
        <w:t>，主要原因是</w:t>
      </w:r>
      <w:r>
        <w:rPr>
          <w:rFonts w:cs="仿宋_GB2312" w:hint="eastAsia"/>
          <w:kern w:val="2"/>
          <w:sz w:val="32"/>
        </w:rPr>
        <w:t>农村供水等年中项目的增加。</w:t>
      </w:r>
    </w:p>
    <w:p w:rsidR="0003194E" w:rsidRDefault="00B32C91">
      <w:pPr>
        <w:pStyle w:val="a7"/>
        <w:widowControl/>
        <w:shd w:val="clear" w:color="auto" w:fill="FFFFFF"/>
        <w:spacing w:before="0" w:beforeAutospacing="0" w:after="0" w:afterAutospacing="0"/>
        <w:ind w:firstLineChars="200" w:firstLine="640"/>
        <w:rPr>
          <w:rFonts w:cs="仿宋_GB2312"/>
          <w:kern w:val="2"/>
          <w:sz w:val="32"/>
        </w:rPr>
      </w:pPr>
      <w:r>
        <w:rPr>
          <w:rFonts w:cs="仿宋_GB2312" w:hint="eastAsia"/>
          <w:kern w:val="2"/>
          <w:sz w:val="32"/>
        </w:rPr>
        <w:t>本单位</w:t>
      </w:r>
      <w:r>
        <w:rPr>
          <w:rFonts w:cs="仿宋_GB2312" w:hint="eastAsia"/>
          <w:kern w:val="2"/>
          <w:sz w:val="32"/>
        </w:rPr>
        <w:t>2022</w:t>
      </w:r>
      <w:r>
        <w:rPr>
          <w:rFonts w:cs="仿宋_GB2312" w:hint="eastAsia"/>
          <w:kern w:val="2"/>
          <w:sz w:val="32"/>
        </w:rPr>
        <w:t>年度政府性基金支出主要用于以下几个方面：</w:t>
      </w:r>
    </w:p>
    <w:p w:rsidR="0003194E" w:rsidRDefault="00B32C91">
      <w:pPr>
        <w:pStyle w:val="a7"/>
        <w:widowControl/>
        <w:shd w:val="clear" w:color="auto" w:fill="FFFFFF"/>
        <w:spacing w:before="0" w:beforeAutospacing="0" w:after="0" w:afterAutospacing="0"/>
        <w:ind w:firstLineChars="2200" w:firstLine="7040"/>
        <w:rPr>
          <w:rFonts w:cs="仿宋_GB2312"/>
          <w:kern w:val="2"/>
          <w:sz w:val="32"/>
        </w:rPr>
      </w:pPr>
      <w:r>
        <w:rPr>
          <w:rFonts w:cs="仿宋_GB2312" w:hint="eastAsia"/>
          <w:kern w:val="2"/>
          <w:sz w:val="32"/>
        </w:rPr>
        <w:t>单位：万元</w:t>
      </w:r>
    </w:p>
    <w:tbl>
      <w:tblPr>
        <w:tblW w:w="8865"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2200"/>
        <w:gridCol w:w="2395"/>
        <w:gridCol w:w="2160"/>
        <w:gridCol w:w="2110"/>
      </w:tblGrid>
      <w:tr w:rsidR="0003194E">
        <w:trPr>
          <w:trHeight w:val="345"/>
        </w:trPr>
        <w:tc>
          <w:tcPr>
            <w:tcW w:w="8865" w:type="dxa"/>
            <w:gridSpan w:val="4"/>
            <w:tcBorders>
              <w:top w:val="single" w:sz="6" w:space="0" w:color="E5E5E5"/>
              <w:left w:val="single" w:sz="6" w:space="0" w:color="E5E5E5"/>
              <w:bottom w:val="single" w:sz="8" w:space="0" w:color="E5E5E5"/>
              <w:right w:val="single" w:sz="6"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jc w:val="center"/>
              <w:textAlignment w:val="center"/>
              <w:rPr>
                <w:szCs w:val="24"/>
              </w:rPr>
            </w:pPr>
            <w:r>
              <w:rPr>
                <w:rFonts w:ascii="方正小标宋_GBK" w:eastAsia="方正小标宋_GBK" w:hAnsi="方正小标宋_GBK" w:cs="方正小标宋_GBK"/>
                <w:szCs w:val="24"/>
              </w:rPr>
              <w:t>2022</w:t>
            </w:r>
            <w:r>
              <w:rPr>
                <w:rFonts w:ascii="方正小标宋_GBK" w:eastAsia="方正小标宋_GBK" w:hAnsi="方正小标宋_GBK" w:cs="方正小标宋_GBK"/>
                <w:szCs w:val="24"/>
              </w:rPr>
              <w:t>年政府性基金支出决算数与预算数的比较</w:t>
            </w:r>
          </w:p>
        </w:tc>
      </w:tr>
      <w:tr w:rsidR="0003194E">
        <w:trPr>
          <w:trHeight w:val="285"/>
        </w:trPr>
        <w:tc>
          <w:tcPr>
            <w:tcW w:w="2200" w:type="dxa"/>
            <w:tcBorders>
              <w:top w:val="single" w:sz="6" w:space="0" w:color="E5E5E5"/>
              <w:left w:val="single" w:sz="6" w:space="0" w:color="E5E5E5"/>
              <w:bottom w:val="single" w:sz="8" w:space="0" w:color="E5E5E5"/>
              <w:right w:val="single" w:sz="8"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jc w:val="center"/>
              <w:textAlignment w:val="center"/>
              <w:rPr>
                <w:sz w:val="20"/>
                <w:szCs w:val="20"/>
              </w:rPr>
            </w:pPr>
            <w:r>
              <w:rPr>
                <w:rFonts w:ascii="宋体" w:eastAsia="宋体" w:hAnsi="宋体" w:cs="宋体" w:hint="eastAsia"/>
                <w:sz w:val="20"/>
                <w:szCs w:val="20"/>
              </w:rPr>
              <w:t>项目（按功能分类）</w:t>
            </w:r>
          </w:p>
        </w:tc>
        <w:tc>
          <w:tcPr>
            <w:tcW w:w="2395" w:type="dxa"/>
            <w:tcBorders>
              <w:top w:val="single" w:sz="8"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center"/>
              <w:textAlignment w:val="center"/>
              <w:rPr>
                <w:sz w:val="20"/>
                <w:szCs w:val="20"/>
              </w:rPr>
            </w:pPr>
            <w:r>
              <w:rPr>
                <w:rFonts w:ascii="宋体" w:eastAsia="宋体" w:hAnsi="宋体" w:cs="宋体" w:hint="eastAsia"/>
                <w:sz w:val="20"/>
                <w:szCs w:val="20"/>
              </w:rPr>
              <w:t>年初预算数</w:t>
            </w:r>
          </w:p>
        </w:tc>
        <w:tc>
          <w:tcPr>
            <w:tcW w:w="2160" w:type="dxa"/>
            <w:tcBorders>
              <w:top w:val="single" w:sz="8"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center"/>
              <w:textAlignment w:val="center"/>
              <w:rPr>
                <w:sz w:val="20"/>
                <w:szCs w:val="20"/>
              </w:rPr>
            </w:pPr>
            <w:r>
              <w:rPr>
                <w:rFonts w:ascii="宋体" w:eastAsia="宋体" w:hAnsi="宋体" w:cs="宋体" w:hint="eastAsia"/>
                <w:sz w:val="20"/>
                <w:szCs w:val="20"/>
              </w:rPr>
              <w:t>决算数</w:t>
            </w:r>
          </w:p>
        </w:tc>
        <w:tc>
          <w:tcPr>
            <w:tcW w:w="2110" w:type="dxa"/>
            <w:tcBorders>
              <w:top w:val="single" w:sz="8" w:space="0" w:color="E5E5E5"/>
              <w:left w:val="single" w:sz="6" w:space="0" w:color="E5E5E5"/>
              <w:bottom w:val="single" w:sz="8" w:space="0" w:color="E5E5E5"/>
              <w:right w:val="single" w:sz="6"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center"/>
              <w:textAlignment w:val="center"/>
              <w:rPr>
                <w:sz w:val="20"/>
                <w:szCs w:val="20"/>
              </w:rPr>
            </w:pPr>
            <w:r>
              <w:rPr>
                <w:rFonts w:ascii="宋体" w:eastAsia="宋体" w:hAnsi="宋体" w:cs="宋体" w:hint="eastAsia"/>
                <w:sz w:val="20"/>
                <w:szCs w:val="20"/>
              </w:rPr>
              <w:t>差额</w:t>
            </w:r>
          </w:p>
        </w:tc>
      </w:tr>
      <w:tr w:rsidR="0003194E">
        <w:trPr>
          <w:trHeight w:val="285"/>
        </w:trPr>
        <w:tc>
          <w:tcPr>
            <w:tcW w:w="2200" w:type="dxa"/>
            <w:tcBorders>
              <w:top w:val="single" w:sz="6" w:space="0" w:color="E5E5E5"/>
              <w:left w:val="single" w:sz="6" w:space="0" w:color="E5E5E5"/>
              <w:bottom w:val="single" w:sz="8" w:space="0" w:color="E5E5E5"/>
              <w:right w:val="single" w:sz="8"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textAlignment w:val="center"/>
              <w:rPr>
                <w:sz w:val="20"/>
                <w:szCs w:val="20"/>
              </w:rPr>
            </w:pPr>
            <w:r>
              <w:rPr>
                <w:rFonts w:ascii="宋体" w:eastAsia="宋体" w:hAnsi="宋体" w:cs="宋体" w:hint="eastAsia"/>
                <w:sz w:val="20"/>
                <w:szCs w:val="20"/>
              </w:rPr>
              <w:t>十一、城乡社区支出</w:t>
            </w:r>
          </w:p>
        </w:tc>
        <w:tc>
          <w:tcPr>
            <w:tcW w:w="2395"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hint="eastAsia"/>
                <w:sz w:val="20"/>
                <w:szCs w:val="20"/>
              </w:rPr>
              <w:t>20</w:t>
            </w:r>
          </w:p>
        </w:tc>
        <w:tc>
          <w:tcPr>
            <w:tcW w:w="2160"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617.45</w:t>
            </w:r>
          </w:p>
        </w:tc>
        <w:tc>
          <w:tcPr>
            <w:tcW w:w="2110" w:type="dxa"/>
            <w:tcBorders>
              <w:top w:val="single" w:sz="6" w:space="0" w:color="E5E5E5"/>
              <w:left w:val="single" w:sz="6" w:space="0" w:color="E5E5E5"/>
              <w:bottom w:val="single" w:sz="8" w:space="0" w:color="E5E5E5"/>
              <w:right w:val="single" w:sz="6"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597.45</w:t>
            </w:r>
          </w:p>
        </w:tc>
      </w:tr>
      <w:tr w:rsidR="0003194E">
        <w:trPr>
          <w:trHeight w:val="285"/>
        </w:trPr>
        <w:tc>
          <w:tcPr>
            <w:tcW w:w="2200" w:type="dxa"/>
            <w:tcBorders>
              <w:top w:val="single" w:sz="6" w:space="0" w:color="E5E5E5"/>
              <w:left w:val="single" w:sz="6" w:space="0" w:color="E5E5E5"/>
              <w:bottom w:val="single" w:sz="8" w:space="0" w:color="E5E5E5"/>
              <w:right w:val="single" w:sz="8"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textAlignment w:val="center"/>
              <w:rPr>
                <w:sz w:val="20"/>
                <w:szCs w:val="20"/>
              </w:rPr>
            </w:pPr>
            <w:r>
              <w:rPr>
                <w:rFonts w:ascii="宋体" w:eastAsia="宋体" w:hAnsi="宋体" w:cs="宋体" w:hint="eastAsia"/>
                <w:sz w:val="20"/>
                <w:szCs w:val="20"/>
              </w:rPr>
              <w:t>十二、农林水支出</w:t>
            </w:r>
          </w:p>
        </w:tc>
        <w:tc>
          <w:tcPr>
            <w:tcW w:w="2395"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0</w:t>
            </w:r>
          </w:p>
        </w:tc>
        <w:tc>
          <w:tcPr>
            <w:tcW w:w="2160"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0.84</w:t>
            </w:r>
          </w:p>
        </w:tc>
        <w:tc>
          <w:tcPr>
            <w:tcW w:w="2110" w:type="dxa"/>
            <w:tcBorders>
              <w:top w:val="single" w:sz="6" w:space="0" w:color="E5E5E5"/>
              <w:left w:val="single" w:sz="6" w:space="0" w:color="E5E5E5"/>
              <w:bottom w:val="single" w:sz="8" w:space="0" w:color="E5E5E5"/>
              <w:right w:val="single" w:sz="6"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0.84</w:t>
            </w:r>
          </w:p>
        </w:tc>
      </w:tr>
      <w:tr w:rsidR="0003194E">
        <w:trPr>
          <w:trHeight w:val="285"/>
        </w:trPr>
        <w:tc>
          <w:tcPr>
            <w:tcW w:w="2200" w:type="dxa"/>
            <w:tcBorders>
              <w:top w:val="single" w:sz="6" w:space="0" w:color="E5E5E5"/>
              <w:left w:val="single" w:sz="6" w:space="0" w:color="E5E5E5"/>
              <w:bottom w:val="single" w:sz="8" w:space="0" w:color="E5E5E5"/>
              <w:right w:val="single" w:sz="8"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textAlignment w:val="center"/>
              <w:rPr>
                <w:sz w:val="20"/>
                <w:szCs w:val="20"/>
              </w:rPr>
            </w:pPr>
            <w:r>
              <w:rPr>
                <w:rFonts w:ascii="宋体" w:eastAsia="宋体" w:hAnsi="宋体" w:cs="宋体" w:hint="eastAsia"/>
                <w:sz w:val="20"/>
                <w:szCs w:val="20"/>
              </w:rPr>
              <w:t>二十三、其他支出</w:t>
            </w:r>
          </w:p>
        </w:tc>
        <w:tc>
          <w:tcPr>
            <w:tcW w:w="2395"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0</w:t>
            </w:r>
          </w:p>
        </w:tc>
        <w:tc>
          <w:tcPr>
            <w:tcW w:w="2160" w:type="dxa"/>
            <w:tcBorders>
              <w:top w:val="single" w:sz="6" w:space="0" w:color="E5E5E5"/>
              <w:left w:val="single" w:sz="6" w:space="0" w:color="E5E5E5"/>
              <w:bottom w:val="single" w:sz="8"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45</w:t>
            </w:r>
          </w:p>
        </w:tc>
        <w:tc>
          <w:tcPr>
            <w:tcW w:w="2110" w:type="dxa"/>
            <w:tcBorders>
              <w:top w:val="single" w:sz="6" w:space="0" w:color="E5E5E5"/>
              <w:left w:val="single" w:sz="6" w:space="0" w:color="E5E5E5"/>
              <w:bottom w:val="single" w:sz="8" w:space="0" w:color="E5E5E5"/>
              <w:right w:val="single" w:sz="6"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45</w:t>
            </w:r>
          </w:p>
        </w:tc>
      </w:tr>
      <w:tr w:rsidR="0003194E">
        <w:trPr>
          <w:trHeight w:val="285"/>
        </w:trPr>
        <w:tc>
          <w:tcPr>
            <w:tcW w:w="2200" w:type="dxa"/>
            <w:tcBorders>
              <w:top w:val="single" w:sz="6" w:space="0" w:color="E5E5E5"/>
              <w:left w:val="single" w:sz="6" w:space="0" w:color="E5E5E5"/>
              <w:bottom w:val="single" w:sz="6" w:space="0" w:color="E5E5E5"/>
              <w:right w:val="single" w:sz="8" w:space="0" w:color="E5E5E5"/>
            </w:tcBorders>
            <w:shd w:val="clear" w:color="auto" w:fill="auto"/>
            <w:tcMar>
              <w:top w:w="15" w:type="dxa"/>
              <w:left w:w="5" w:type="dxa"/>
              <w:right w:w="5" w:type="dxa"/>
            </w:tcMar>
            <w:vAlign w:val="center"/>
          </w:tcPr>
          <w:p w:rsidR="0003194E" w:rsidRDefault="00B32C91">
            <w:pPr>
              <w:pStyle w:val="a7"/>
              <w:widowControl/>
              <w:wordWrap w:val="0"/>
              <w:spacing w:before="0" w:beforeAutospacing="0" w:after="0" w:afterAutospacing="0"/>
              <w:jc w:val="center"/>
              <w:textAlignment w:val="center"/>
              <w:rPr>
                <w:sz w:val="20"/>
                <w:szCs w:val="20"/>
              </w:rPr>
            </w:pPr>
            <w:r>
              <w:rPr>
                <w:rFonts w:ascii="宋体" w:eastAsia="宋体" w:hAnsi="宋体" w:cs="宋体" w:hint="eastAsia"/>
                <w:b/>
                <w:sz w:val="20"/>
                <w:szCs w:val="20"/>
              </w:rPr>
              <w:t>本年支出合计</w:t>
            </w:r>
          </w:p>
        </w:tc>
        <w:tc>
          <w:tcPr>
            <w:tcW w:w="2395" w:type="dxa"/>
            <w:tcBorders>
              <w:top w:val="single" w:sz="6" w:space="0" w:color="E5E5E5"/>
              <w:left w:val="single" w:sz="6" w:space="0" w:color="E5E5E5"/>
              <w:bottom w:val="single" w:sz="6"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20</w:t>
            </w:r>
          </w:p>
        </w:tc>
        <w:tc>
          <w:tcPr>
            <w:tcW w:w="2160" w:type="dxa"/>
            <w:tcBorders>
              <w:top w:val="single" w:sz="6" w:space="0" w:color="E5E5E5"/>
              <w:left w:val="single" w:sz="6" w:space="0" w:color="E5E5E5"/>
              <w:bottom w:val="single" w:sz="6" w:space="0" w:color="E5E5E5"/>
              <w:right w:val="single" w:sz="8"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ascii="宋体" w:eastAsia="宋体" w:hAnsi="宋体" w:cs="宋体" w:hint="eastAsia"/>
                <w:sz w:val="20"/>
                <w:szCs w:val="20"/>
              </w:rPr>
              <w:t>663.29</w:t>
            </w:r>
          </w:p>
        </w:tc>
        <w:tc>
          <w:tcPr>
            <w:tcW w:w="2110" w:type="dxa"/>
            <w:tcBorders>
              <w:top w:val="single" w:sz="6" w:space="0" w:color="E5E5E5"/>
              <w:left w:val="single" w:sz="6" w:space="0" w:color="E5E5E5"/>
              <w:bottom w:val="single" w:sz="6" w:space="0" w:color="E5E5E5"/>
              <w:right w:val="single" w:sz="6" w:space="0" w:color="E5E5E5"/>
            </w:tcBorders>
            <w:shd w:val="clear" w:color="auto" w:fill="auto"/>
            <w:tcMar>
              <w:top w:w="15" w:type="dxa"/>
              <w:left w:w="15" w:type="dxa"/>
              <w:right w:w="5" w:type="dxa"/>
            </w:tcMar>
            <w:vAlign w:val="center"/>
          </w:tcPr>
          <w:p w:rsidR="0003194E" w:rsidRDefault="00B32C91">
            <w:pPr>
              <w:pStyle w:val="a7"/>
              <w:widowControl/>
              <w:wordWrap w:val="0"/>
              <w:spacing w:before="0" w:beforeAutospacing="0" w:after="0" w:afterAutospacing="0"/>
              <w:jc w:val="right"/>
              <w:textAlignment w:val="center"/>
              <w:rPr>
                <w:sz w:val="20"/>
                <w:szCs w:val="20"/>
              </w:rPr>
            </w:pPr>
            <w:r>
              <w:rPr>
                <w:rFonts w:hint="eastAsia"/>
                <w:sz w:val="20"/>
                <w:szCs w:val="20"/>
              </w:rPr>
              <w:t>643.29</w:t>
            </w:r>
          </w:p>
        </w:tc>
      </w:tr>
    </w:tbl>
    <w:p w:rsidR="0003194E" w:rsidRDefault="00B32C91">
      <w:pPr>
        <w:pStyle w:val="a7"/>
        <w:widowControl/>
        <w:shd w:val="clear" w:color="auto" w:fill="FFFFFF"/>
        <w:spacing w:before="0" w:beforeAutospacing="0" w:after="0" w:afterAutospacing="0" w:line="600" w:lineRule="atLeast"/>
        <w:ind w:firstLine="640"/>
        <w:rPr>
          <w:rFonts w:ascii="微软雅黑" w:eastAsia="微软雅黑" w:hAnsi="微软雅黑" w:cs="微软雅黑"/>
          <w:color w:val="0000FF"/>
          <w:szCs w:val="24"/>
        </w:rPr>
      </w:pPr>
      <w:r>
        <w:rPr>
          <w:rFonts w:ascii="微软雅黑" w:eastAsia="微软雅黑" w:hAnsi="微软雅黑" w:cs="微软雅黑" w:hint="eastAsia"/>
          <w:color w:val="0000FF"/>
          <w:sz w:val="32"/>
          <w:szCs w:val="32"/>
          <w:shd w:val="clear" w:color="auto" w:fill="FFFFFF"/>
        </w:rPr>
        <w:t> </w:t>
      </w:r>
    </w:p>
    <w:p w:rsidR="0003194E" w:rsidRDefault="00B32C91">
      <w:pPr>
        <w:pStyle w:val="a7"/>
        <w:widowControl/>
        <w:shd w:val="clear" w:color="auto" w:fill="FFFFFF"/>
        <w:spacing w:before="0" w:beforeAutospacing="0" w:after="0" w:afterAutospacing="0"/>
        <w:ind w:firstLineChars="200" w:firstLine="640"/>
        <w:rPr>
          <w:rFonts w:cs="仿宋_GB2312"/>
          <w:kern w:val="2"/>
          <w:sz w:val="32"/>
        </w:rPr>
      </w:pPr>
      <w:r>
        <w:rPr>
          <w:rFonts w:cs="仿宋_GB2312" w:hint="eastAsia"/>
          <w:kern w:val="2"/>
          <w:sz w:val="32"/>
        </w:rPr>
        <w:t>城乡社区支出增加主要原因是农村基础设施建设支出增加。</w:t>
      </w:r>
    </w:p>
    <w:p w:rsidR="0003194E" w:rsidRDefault="00B32C91">
      <w:pPr>
        <w:pStyle w:val="a7"/>
        <w:widowControl/>
        <w:shd w:val="clear" w:color="auto" w:fill="FFFFFF"/>
        <w:spacing w:before="0" w:beforeAutospacing="0" w:after="0" w:afterAutospacing="0"/>
        <w:ind w:firstLineChars="200" w:firstLine="640"/>
        <w:rPr>
          <w:rFonts w:cs="仿宋_GB2312"/>
          <w:kern w:val="2"/>
          <w:sz w:val="32"/>
        </w:rPr>
      </w:pPr>
      <w:r>
        <w:rPr>
          <w:rFonts w:cs="仿宋_GB2312" w:hint="eastAsia"/>
          <w:kern w:val="2"/>
          <w:sz w:val="32"/>
        </w:rPr>
        <w:t>农林水事务支出增加主要原因是</w:t>
      </w:r>
      <w:r>
        <w:rPr>
          <w:rFonts w:cs="仿宋_GB2312" w:hint="eastAsia"/>
          <w:kern w:val="2"/>
          <w:sz w:val="32"/>
        </w:rPr>
        <w:t>2021</w:t>
      </w:r>
      <w:r>
        <w:rPr>
          <w:rFonts w:cs="仿宋_GB2312" w:hint="eastAsia"/>
          <w:kern w:val="2"/>
          <w:sz w:val="32"/>
        </w:rPr>
        <w:t>至</w:t>
      </w:r>
      <w:r>
        <w:rPr>
          <w:rFonts w:cs="仿宋_GB2312" w:hint="eastAsia"/>
          <w:kern w:val="2"/>
          <w:sz w:val="32"/>
        </w:rPr>
        <w:t>2023</w:t>
      </w:r>
      <w:r>
        <w:rPr>
          <w:rFonts w:cs="仿宋_GB2312" w:hint="eastAsia"/>
          <w:kern w:val="2"/>
          <w:sz w:val="32"/>
        </w:rPr>
        <w:t>年三峡水库基金项目支出。</w:t>
      </w:r>
    </w:p>
    <w:p w:rsidR="0003194E" w:rsidRDefault="00B32C91">
      <w:pPr>
        <w:pStyle w:val="a7"/>
        <w:widowControl/>
        <w:shd w:val="clear" w:color="auto" w:fill="FFFFFF"/>
        <w:spacing w:before="0" w:beforeAutospacing="0" w:after="0" w:afterAutospacing="0"/>
        <w:ind w:firstLineChars="200" w:firstLine="640"/>
        <w:rPr>
          <w:rFonts w:cs="仿宋_GB2312"/>
          <w:color w:val="0000FF"/>
          <w:kern w:val="2"/>
          <w:sz w:val="32"/>
        </w:rPr>
      </w:pPr>
      <w:r>
        <w:rPr>
          <w:rFonts w:cs="仿宋_GB2312" w:hint="eastAsia"/>
          <w:kern w:val="2"/>
          <w:sz w:val="32"/>
        </w:rPr>
        <w:t>其他支出增加主要原因是福彩事业支出。</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（四）一般公共预算财政拨款基本支出决算情况说明</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年度一般公共预算财政拨款基本支出</w:t>
      </w:r>
      <w:r>
        <w:rPr>
          <w:rFonts w:ascii="Times New Roman" w:eastAsia="方正仿宋_GBK" w:hAnsi="Times New Roman" w:cs="仿宋_GB2312" w:hint="eastAsia"/>
          <w:color w:val="auto"/>
          <w:kern w:val="2"/>
          <w:sz w:val="32"/>
        </w:rPr>
        <w:t>2,088.55</w:t>
      </w:r>
      <w:r>
        <w:rPr>
          <w:rFonts w:ascii="Times New Roman" w:eastAsia="方正仿宋_GBK" w:hAnsi="Times New Roman" w:cs="仿宋_GB2312" w:hint="eastAsia"/>
          <w:color w:val="auto"/>
          <w:kern w:val="2"/>
          <w:sz w:val="32"/>
        </w:rPr>
        <w:t>万元。其中：人员经费</w:t>
      </w:r>
      <w:r>
        <w:rPr>
          <w:rFonts w:ascii="Times New Roman" w:eastAsia="方正仿宋_GBK" w:hAnsi="Times New Roman" w:cs="仿宋_GB2312" w:hint="eastAsia"/>
          <w:color w:val="auto"/>
          <w:kern w:val="2"/>
          <w:sz w:val="32"/>
        </w:rPr>
        <w:t>1,796.58</w:t>
      </w:r>
      <w:r>
        <w:rPr>
          <w:rFonts w:ascii="Times New Roman" w:eastAsia="方正仿宋_GBK" w:hAnsi="Times New Roman" w:cs="仿宋_GB2312" w:hint="eastAsia"/>
          <w:color w:val="auto"/>
          <w:kern w:val="2"/>
          <w:sz w:val="32"/>
        </w:rPr>
        <w:t>万元，较上年决算数减少</w:t>
      </w:r>
      <w:r>
        <w:rPr>
          <w:rFonts w:ascii="Times New Roman" w:eastAsia="方正仿宋_GBK" w:hAnsi="Times New Roman" w:cs="仿宋_GB2312" w:hint="eastAsia"/>
          <w:color w:val="auto"/>
          <w:kern w:val="2"/>
          <w:sz w:val="32"/>
        </w:rPr>
        <w:t>130.53</w:t>
      </w:r>
      <w:r>
        <w:rPr>
          <w:rFonts w:ascii="Times New Roman" w:eastAsia="方正仿宋_GBK" w:hAnsi="Times New Roman" w:cs="仿宋_GB2312" w:hint="eastAsia"/>
          <w:color w:val="auto"/>
          <w:kern w:val="2"/>
          <w:sz w:val="32"/>
        </w:rPr>
        <w:t>万元，下降</w:t>
      </w:r>
      <w:r>
        <w:rPr>
          <w:rFonts w:ascii="Times New Roman" w:eastAsia="方正仿宋_GBK" w:hAnsi="Times New Roman" w:cs="仿宋_GB2312" w:hint="eastAsia"/>
          <w:color w:val="auto"/>
          <w:kern w:val="2"/>
          <w:sz w:val="32"/>
        </w:rPr>
        <w:t>6.8%</w:t>
      </w:r>
      <w:r>
        <w:rPr>
          <w:rFonts w:ascii="Times New Roman" w:eastAsia="方正仿宋_GBK" w:hAnsi="Times New Roman" w:cs="仿宋_GB2312" w:hint="eastAsia"/>
          <w:color w:val="auto"/>
          <w:kern w:val="2"/>
          <w:sz w:val="32"/>
        </w:rPr>
        <w:t>，主要原因是在职人员减少。人员经费用途主要包括工资待遇支出。公用经费</w:t>
      </w:r>
      <w:r>
        <w:rPr>
          <w:rFonts w:ascii="Times New Roman" w:eastAsia="方正仿宋_GBK" w:hAnsi="Times New Roman" w:cs="仿宋_GB2312" w:hint="eastAsia"/>
          <w:color w:val="auto"/>
          <w:kern w:val="2"/>
          <w:sz w:val="32"/>
        </w:rPr>
        <w:t>291.96</w:t>
      </w:r>
      <w:r>
        <w:rPr>
          <w:rFonts w:ascii="Times New Roman" w:eastAsia="方正仿宋_GBK" w:hAnsi="Times New Roman" w:cs="仿宋_GB2312" w:hint="eastAsia"/>
          <w:color w:val="auto"/>
          <w:kern w:val="2"/>
          <w:sz w:val="32"/>
        </w:rPr>
        <w:t>万元，较上年决算数减少</w:t>
      </w:r>
      <w:r>
        <w:rPr>
          <w:rFonts w:ascii="Times New Roman" w:eastAsia="方正仿宋_GBK" w:hAnsi="Times New Roman" w:cs="仿宋_GB2312" w:hint="eastAsia"/>
          <w:color w:val="auto"/>
          <w:kern w:val="2"/>
          <w:sz w:val="32"/>
        </w:rPr>
        <w:t>208.38</w:t>
      </w:r>
      <w:r>
        <w:rPr>
          <w:rFonts w:ascii="Times New Roman" w:eastAsia="方正仿宋_GBK" w:hAnsi="Times New Roman" w:cs="仿宋_GB2312" w:hint="eastAsia"/>
          <w:color w:val="auto"/>
          <w:kern w:val="2"/>
          <w:sz w:val="32"/>
        </w:rPr>
        <w:lastRenderedPageBreak/>
        <w:t>万元，下降</w:t>
      </w:r>
      <w:r>
        <w:rPr>
          <w:rFonts w:ascii="Times New Roman" w:eastAsia="方正仿宋_GBK" w:hAnsi="Times New Roman" w:cs="仿宋_GB2312" w:hint="eastAsia"/>
          <w:color w:val="auto"/>
          <w:kern w:val="2"/>
          <w:sz w:val="32"/>
        </w:rPr>
        <w:t>41.6%</w:t>
      </w:r>
      <w:r>
        <w:rPr>
          <w:rFonts w:ascii="Times New Roman" w:eastAsia="方正仿宋_GBK" w:hAnsi="Times New Roman" w:cs="仿宋_GB2312" w:hint="eastAsia"/>
          <w:color w:val="auto"/>
          <w:kern w:val="2"/>
          <w:sz w:val="32"/>
        </w:rPr>
        <w:t>，主要原因是严格按照相关规定，控制公用经费支出。公用经费用途主要包括办公费、</w:t>
      </w:r>
      <w:r w:rsidR="00916A46">
        <w:rPr>
          <w:rFonts w:ascii="Times New Roman" w:eastAsia="方正仿宋_GBK" w:hAnsi="Times New Roman" w:cs="仿宋_GB2312" w:hint="eastAsia"/>
          <w:color w:val="auto"/>
          <w:kern w:val="2"/>
          <w:sz w:val="32"/>
        </w:rPr>
        <w:t>水</w:t>
      </w:r>
      <w:r>
        <w:rPr>
          <w:rFonts w:ascii="Times New Roman" w:eastAsia="方正仿宋_GBK" w:hAnsi="Times New Roman" w:cs="仿宋_GB2312" w:hint="eastAsia"/>
          <w:color w:val="auto"/>
          <w:kern w:val="2"/>
          <w:sz w:val="32"/>
        </w:rPr>
        <w:t>电费、培训费、邮电费等。</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（五）政府性基金预算收支决算情况说明</w:t>
      </w:r>
    </w:p>
    <w:p w:rsidR="0003194E" w:rsidRDefault="00B32C91">
      <w:pPr>
        <w:pStyle w:val="a7"/>
        <w:widowControl/>
        <w:snapToGrid w:val="0"/>
        <w:spacing w:before="0" w:beforeAutospacing="0" w:after="0"/>
        <w:ind w:firstLineChars="200" w:firstLine="640"/>
        <w:rPr>
          <w:rFonts w:ascii="宋体" w:eastAsia="宋体" w:hAnsi="宋体" w:cs="宋体"/>
          <w:szCs w:val="24"/>
          <w:shd w:val="clear" w:color="auto" w:fill="FFFFFF"/>
          <w:lang/>
        </w:rPr>
      </w:pPr>
      <w:r>
        <w:rPr>
          <w:rFonts w:cs="仿宋_GB2312" w:hint="eastAsia"/>
          <w:kern w:val="2"/>
          <w:sz w:val="32"/>
        </w:rPr>
        <w:t>2022</w:t>
      </w:r>
      <w:r>
        <w:rPr>
          <w:rFonts w:cs="仿宋_GB2312" w:hint="eastAsia"/>
          <w:kern w:val="2"/>
          <w:sz w:val="32"/>
        </w:rPr>
        <w:t>年度政府性基金预算财政拨款年初结转结余</w:t>
      </w:r>
      <w:r>
        <w:rPr>
          <w:rFonts w:cs="仿宋_GB2312" w:hint="eastAsia"/>
          <w:kern w:val="2"/>
          <w:sz w:val="32"/>
        </w:rPr>
        <w:t>0</w:t>
      </w:r>
      <w:r>
        <w:rPr>
          <w:rFonts w:cs="仿宋_GB2312" w:hint="eastAsia"/>
          <w:kern w:val="2"/>
          <w:sz w:val="32"/>
        </w:rPr>
        <w:t>万元，年末结转结余</w:t>
      </w:r>
      <w:r>
        <w:rPr>
          <w:rFonts w:cs="仿宋_GB2312" w:hint="eastAsia"/>
          <w:kern w:val="2"/>
          <w:sz w:val="32"/>
        </w:rPr>
        <w:t>0</w:t>
      </w:r>
      <w:r>
        <w:rPr>
          <w:rFonts w:cs="仿宋_GB2312" w:hint="eastAsia"/>
          <w:kern w:val="2"/>
          <w:sz w:val="32"/>
        </w:rPr>
        <w:t>万元。本年收入</w:t>
      </w:r>
      <w:r>
        <w:rPr>
          <w:rFonts w:cs="仿宋_GB2312" w:hint="eastAsia"/>
          <w:kern w:val="2"/>
          <w:sz w:val="32"/>
        </w:rPr>
        <w:t>663.29</w:t>
      </w:r>
      <w:r>
        <w:rPr>
          <w:rFonts w:cs="仿宋_GB2312" w:hint="eastAsia"/>
          <w:kern w:val="2"/>
          <w:sz w:val="32"/>
        </w:rPr>
        <w:t>万元，较上年决算数增加</w:t>
      </w:r>
      <w:r>
        <w:rPr>
          <w:rFonts w:cs="仿宋_GB2312" w:hint="eastAsia"/>
          <w:kern w:val="2"/>
          <w:sz w:val="32"/>
        </w:rPr>
        <w:t>133.14</w:t>
      </w:r>
      <w:r>
        <w:rPr>
          <w:rFonts w:cs="仿宋_GB2312" w:hint="eastAsia"/>
          <w:kern w:val="2"/>
          <w:sz w:val="32"/>
        </w:rPr>
        <w:t>万元，增长</w:t>
      </w:r>
      <w:r>
        <w:rPr>
          <w:rFonts w:cs="仿宋_GB2312" w:hint="eastAsia"/>
          <w:kern w:val="2"/>
          <w:sz w:val="32"/>
        </w:rPr>
        <w:t>25.1%</w:t>
      </w:r>
      <w:r>
        <w:rPr>
          <w:rFonts w:cs="仿宋_GB2312" w:hint="eastAsia"/>
          <w:kern w:val="2"/>
          <w:sz w:val="32"/>
        </w:rPr>
        <w:t>，主要原因是政府基金预算项目收入增加。本年支出</w:t>
      </w:r>
      <w:r>
        <w:rPr>
          <w:rFonts w:cs="仿宋_GB2312" w:hint="eastAsia"/>
          <w:kern w:val="2"/>
          <w:sz w:val="32"/>
        </w:rPr>
        <w:t>663.29</w:t>
      </w:r>
      <w:r>
        <w:rPr>
          <w:rFonts w:cs="仿宋_GB2312" w:hint="eastAsia"/>
          <w:kern w:val="2"/>
          <w:sz w:val="32"/>
        </w:rPr>
        <w:t>万元，较上年决算数增加</w:t>
      </w:r>
      <w:r>
        <w:rPr>
          <w:rFonts w:cs="仿宋_GB2312" w:hint="eastAsia"/>
          <w:kern w:val="2"/>
          <w:sz w:val="32"/>
        </w:rPr>
        <w:t>133.14</w:t>
      </w:r>
      <w:r>
        <w:rPr>
          <w:rFonts w:cs="仿宋_GB2312" w:hint="eastAsia"/>
          <w:kern w:val="2"/>
          <w:sz w:val="32"/>
        </w:rPr>
        <w:t>万元，增长</w:t>
      </w:r>
      <w:r>
        <w:rPr>
          <w:rFonts w:cs="仿宋_GB2312" w:hint="eastAsia"/>
          <w:kern w:val="2"/>
          <w:sz w:val="32"/>
        </w:rPr>
        <w:t>25.1%</w:t>
      </w:r>
      <w:r>
        <w:rPr>
          <w:rFonts w:cs="仿宋_GB2312" w:hint="eastAsia"/>
          <w:kern w:val="2"/>
          <w:sz w:val="32"/>
        </w:rPr>
        <w:t>，主要原因是政府基金预算项目支出增加</w:t>
      </w:r>
      <w:r>
        <w:rPr>
          <w:rFonts w:ascii="宋体" w:eastAsia="宋体" w:hAnsi="宋体" w:cs="宋体" w:hint="eastAsia"/>
          <w:szCs w:val="24"/>
          <w:shd w:val="clear" w:color="auto" w:fill="FFFFFF"/>
          <w:lang/>
        </w:rPr>
        <w:t>。</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（六）</w:t>
      </w:r>
      <w:r>
        <w:rPr>
          <w:rFonts w:ascii="Times New Roman" w:eastAsia="方正仿宋_GBK" w:hAnsi="Times New Roman" w:cs="仿宋_GB2312"/>
          <w:color w:val="auto"/>
          <w:kern w:val="2"/>
          <w:sz w:val="32"/>
        </w:rPr>
        <w:t>国有资本经营预算财政拨款支出决算情况说明</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本单位</w:t>
      </w: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年度无</w:t>
      </w:r>
      <w:r>
        <w:rPr>
          <w:rFonts w:ascii="Times New Roman" w:eastAsia="方正仿宋_GBK" w:hAnsi="Times New Roman" w:cs="仿宋_GB2312"/>
          <w:color w:val="auto"/>
          <w:kern w:val="2"/>
          <w:sz w:val="32"/>
        </w:rPr>
        <w:t>国有资本经营预算财政拨款支出</w:t>
      </w:r>
      <w:r>
        <w:rPr>
          <w:rFonts w:ascii="Times New Roman" w:eastAsia="方正仿宋_GBK" w:hAnsi="Times New Roman" w:cs="仿宋_GB2312" w:hint="eastAsia"/>
          <w:color w:val="auto"/>
          <w:kern w:val="2"/>
          <w:sz w:val="32"/>
        </w:rPr>
        <w:t>。</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三、“三公”经费情况说明</w:t>
      </w:r>
      <w:r>
        <w:rPr>
          <w:rFonts w:ascii="Times New Roman" w:eastAsia="方正仿宋_GBK" w:hAnsi="Times New Roman" w:cs="仿宋_GB2312" w:hint="eastAsia"/>
          <w:color w:val="auto"/>
          <w:kern w:val="2"/>
          <w:sz w:val="32"/>
        </w:rPr>
        <w:t xml:space="preserve"> </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（一）</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三公</w:t>
      </w:r>
      <w:r>
        <w:rPr>
          <w:rFonts w:ascii="Times New Roman" w:eastAsia="方正仿宋_GBK" w:hAnsi="Times New Roman" w:cs="仿宋_GB2312"/>
          <w:color w:val="auto"/>
          <w:kern w:val="2"/>
          <w:sz w:val="32"/>
        </w:rPr>
        <w:t>”</w:t>
      </w:r>
      <w:r>
        <w:rPr>
          <w:rFonts w:ascii="Times New Roman" w:eastAsia="方正仿宋_GBK" w:hAnsi="Times New Roman" w:cs="仿宋_GB2312"/>
          <w:color w:val="auto"/>
          <w:kern w:val="2"/>
          <w:sz w:val="32"/>
        </w:rPr>
        <w:t>经费支出情况</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t xml:space="preserve">1. </w:t>
      </w:r>
      <w:r>
        <w:rPr>
          <w:rFonts w:cs="仿宋_GB2312" w:hint="eastAsia"/>
          <w:kern w:val="2"/>
          <w:sz w:val="32"/>
        </w:rPr>
        <w:t>总体情况。</w:t>
      </w:r>
      <w:r>
        <w:rPr>
          <w:rFonts w:cs="仿宋_GB2312" w:hint="eastAsia"/>
          <w:kern w:val="2"/>
          <w:sz w:val="32"/>
        </w:rPr>
        <w:t>2022</w:t>
      </w:r>
      <w:r>
        <w:rPr>
          <w:rFonts w:cs="仿宋_GB2312" w:hint="eastAsia"/>
          <w:kern w:val="2"/>
          <w:sz w:val="32"/>
        </w:rPr>
        <w:t>年度“三公”经费支出共计</w:t>
      </w:r>
      <w:r>
        <w:rPr>
          <w:rFonts w:cs="仿宋_GB2312" w:hint="eastAsia"/>
          <w:kern w:val="2"/>
          <w:sz w:val="32"/>
        </w:rPr>
        <w:t>4.96</w:t>
      </w:r>
      <w:r>
        <w:rPr>
          <w:rFonts w:cs="仿宋_GB2312" w:hint="eastAsia"/>
          <w:kern w:val="2"/>
          <w:sz w:val="32"/>
        </w:rPr>
        <w:t>万元，较年初预算数增加</w:t>
      </w:r>
      <w:r>
        <w:rPr>
          <w:rFonts w:cs="仿宋_GB2312" w:hint="eastAsia"/>
          <w:kern w:val="2"/>
          <w:sz w:val="32"/>
        </w:rPr>
        <w:t>0.16</w:t>
      </w:r>
      <w:r>
        <w:rPr>
          <w:rFonts w:cs="仿宋_GB2312" w:hint="eastAsia"/>
          <w:kern w:val="2"/>
          <w:sz w:val="32"/>
        </w:rPr>
        <w:t>万元，增长</w:t>
      </w:r>
      <w:r>
        <w:rPr>
          <w:rFonts w:cs="仿宋_GB2312" w:hint="eastAsia"/>
          <w:kern w:val="2"/>
          <w:sz w:val="32"/>
        </w:rPr>
        <w:t>3.3%</w:t>
      </w:r>
      <w:r>
        <w:rPr>
          <w:rFonts w:cs="仿宋_GB2312" w:hint="eastAsia"/>
          <w:kern w:val="2"/>
          <w:sz w:val="32"/>
        </w:rPr>
        <w:t>，主要原因是公务用车年久适修，维修成本增加；较</w:t>
      </w:r>
      <w:r>
        <w:rPr>
          <w:rFonts w:cs="仿宋_GB2312" w:hint="eastAsia"/>
          <w:kern w:val="2"/>
          <w:sz w:val="32"/>
        </w:rPr>
        <w:t>上年支出数减少</w:t>
      </w:r>
      <w:r>
        <w:rPr>
          <w:rFonts w:cs="仿宋_GB2312" w:hint="eastAsia"/>
          <w:kern w:val="2"/>
          <w:sz w:val="32"/>
        </w:rPr>
        <w:t>0.99</w:t>
      </w:r>
      <w:r>
        <w:rPr>
          <w:rFonts w:cs="仿宋_GB2312" w:hint="eastAsia"/>
          <w:kern w:val="2"/>
          <w:sz w:val="32"/>
        </w:rPr>
        <w:t>万元，下降</w:t>
      </w:r>
      <w:r>
        <w:rPr>
          <w:rFonts w:cs="仿宋_GB2312" w:hint="eastAsia"/>
          <w:kern w:val="2"/>
          <w:sz w:val="32"/>
        </w:rPr>
        <w:t>16.6%</w:t>
      </w:r>
      <w:r>
        <w:rPr>
          <w:rFonts w:cs="仿宋_GB2312" w:hint="eastAsia"/>
          <w:kern w:val="2"/>
          <w:sz w:val="32"/>
        </w:rPr>
        <w:t>，主要原因是严格按照相关规定，控制公务接待费，减少开支。</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 xml:space="preserve">2. </w:t>
      </w:r>
      <w:r>
        <w:rPr>
          <w:rFonts w:ascii="Times New Roman" w:eastAsia="方正仿宋_GBK" w:hAnsi="Times New Roman" w:cs="仿宋_GB2312" w:hint="eastAsia"/>
          <w:color w:val="auto"/>
          <w:kern w:val="2"/>
          <w:sz w:val="32"/>
        </w:rPr>
        <w:t>分项支出情况。</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本单位无因公出国（境）费。</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lastRenderedPageBreak/>
        <w:t>公务车运行维护费</w:t>
      </w:r>
      <w:r>
        <w:rPr>
          <w:rFonts w:cs="仿宋_GB2312" w:hint="eastAsia"/>
          <w:kern w:val="2"/>
          <w:sz w:val="32"/>
        </w:rPr>
        <w:t>2.16</w:t>
      </w:r>
      <w:r>
        <w:rPr>
          <w:rFonts w:cs="仿宋_GB2312" w:hint="eastAsia"/>
          <w:kern w:val="2"/>
          <w:sz w:val="32"/>
        </w:rPr>
        <w:t>万元，主要用于公务用车的使用维修费用，支出较年初预算数增加</w:t>
      </w:r>
      <w:r>
        <w:rPr>
          <w:rFonts w:cs="仿宋_GB2312" w:hint="eastAsia"/>
          <w:kern w:val="2"/>
          <w:sz w:val="32"/>
        </w:rPr>
        <w:t>0.16</w:t>
      </w:r>
      <w:r>
        <w:rPr>
          <w:rFonts w:cs="仿宋_GB2312" w:hint="eastAsia"/>
          <w:kern w:val="2"/>
          <w:sz w:val="32"/>
        </w:rPr>
        <w:t>万元，增长</w:t>
      </w:r>
      <w:r>
        <w:rPr>
          <w:rFonts w:cs="仿宋_GB2312" w:hint="eastAsia"/>
          <w:kern w:val="2"/>
          <w:sz w:val="32"/>
        </w:rPr>
        <w:t>8</w:t>
      </w:r>
      <w:r>
        <w:rPr>
          <w:rFonts w:cs="仿宋_GB2312" w:hint="eastAsia"/>
          <w:kern w:val="2"/>
          <w:sz w:val="32"/>
        </w:rPr>
        <w:t>.0</w:t>
      </w:r>
      <w:r>
        <w:rPr>
          <w:rFonts w:cs="仿宋_GB2312" w:hint="eastAsia"/>
          <w:kern w:val="2"/>
          <w:sz w:val="32"/>
        </w:rPr>
        <w:t>%</w:t>
      </w:r>
      <w:r w:rsidR="00916A46">
        <w:rPr>
          <w:rFonts w:cs="仿宋_GB2312" w:hint="eastAsia"/>
          <w:kern w:val="2"/>
          <w:sz w:val="32"/>
        </w:rPr>
        <w:t>，主要原因是公务用车年久失</w:t>
      </w:r>
      <w:r>
        <w:rPr>
          <w:rFonts w:cs="仿宋_GB2312" w:hint="eastAsia"/>
          <w:kern w:val="2"/>
          <w:sz w:val="32"/>
        </w:rPr>
        <w:t>修，维修成本增加。较上年支出数增加</w:t>
      </w:r>
      <w:r>
        <w:rPr>
          <w:rFonts w:cs="仿宋_GB2312" w:hint="eastAsia"/>
          <w:kern w:val="2"/>
          <w:sz w:val="32"/>
        </w:rPr>
        <w:t>0.11</w:t>
      </w:r>
      <w:r>
        <w:rPr>
          <w:rFonts w:cs="仿宋_GB2312" w:hint="eastAsia"/>
          <w:kern w:val="2"/>
          <w:sz w:val="32"/>
        </w:rPr>
        <w:t>万元，增长</w:t>
      </w:r>
      <w:r>
        <w:rPr>
          <w:rFonts w:cs="仿宋_GB2312" w:hint="eastAsia"/>
          <w:kern w:val="2"/>
          <w:sz w:val="32"/>
        </w:rPr>
        <w:t>5.4%</w:t>
      </w:r>
      <w:r w:rsidR="00916A46">
        <w:rPr>
          <w:rFonts w:cs="仿宋_GB2312" w:hint="eastAsia"/>
          <w:kern w:val="2"/>
          <w:sz w:val="32"/>
        </w:rPr>
        <w:t>，主要原因是公务用车年久失</w:t>
      </w:r>
      <w:r>
        <w:rPr>
          <w:rFonts w:cs="仿宋_GB2312" w:hint="eastAsia"/>
          <w:kern w:val="2"/>
          <w:sz w:val="32"/>
        </w:rPr>
        <w:t>修，维修成本增加。</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t>公务接待费</w:t>
      </w:r>
      <w:r>
        <w:rPr>
          <w:rFonts w:cs="仿宋_GB2312" w:hint="eastAsia"/>
          <w:kern w:val="2"/>
          <w:sz w:val="32"/>
        </w:rPr>
        <w:t>2.8</w:t>
      </w:r>
      <w:r>
        <w:rPr>
          <w:rFonts w:cs="仿宋_GB2312" w:hint="eastAsia"/>
          <w:kern w:val="2"/>
          <w:sz w:val="32"/>
        </w:rPr>
        <w:t>万元，主要用于接待区级以上部门人员的公务用餐，费用支出较年初预算数增加</w:t>
      </w:r>
      <w:r>
        <w:rPr>
          <w:rFonts w:cs="仿宋_GB2312" w:hint="eastAsia"/>
          <w:kern w:val="2"/>
          <w:sz w:val="32"/>
        </w:rPr>
        <w:t>0</w:t>
      </w:r>
      <w:r>
        <w:rPr>
          <w:rFonts w:cs="仿宋_GB2312" w:hint="eastAsia"/>
          <w:kern w:val="2"/>
          <w:sz w:val="32"/>
        </w:rPr>
        <w:t>万元，增长</w:t>
      </w:r>
      <w:r>
        <w:rPr>
          <w:rFonts w:cs="仿宋_GB2312" w:hint="eastAsia"/>
          <w:kern w:val="2"/>
          <w:sz w:val="32"/>
        </w:rPr>
        <w:t>0</w:t>
      </w:r>
      <w:r>
        <w:rPr>
          <w:rFonts w:cs="仿宋_GB2312" w:hint="eastAsia"/>
          <w:kern w:val="2"/>
          <w:sz w:val="32"/>
        </w:rPr>
        <w:t>.0</w:t>
      </w:r>
      <w:r>
        <w:rPr>
          <w:rFonts w:cs="仿宋_GB2312" w:hint="eastAsia"/>
          <w:kern w:val="2"/>
          <w:sz w:val="32"/>
        </w:rPr>
        <w:t>%</w:t>
      </w:r>
      <w:r>
        <w:rPr>
          <w:rFonts w:cs="仿宋_GB2312" w:hint="eastAsia"/>
          <w:kern w:val="2"/>
          <w:sz w:val="32"/>
        </w:rPr>
        <w:t>，较上年支出数减少</w:t>
      </w:r>
      <w:r>
        <w:rPr>
          <w:rFonts w:cs="仿宋_GB2312" w:hint="eastAsia"/>
          <w:kern w:val="2"/>
          <w:sz w:val="32"/>
        </w:rPr>
        <w:t>1.1</w:t>
      </w:r>
      <w:r>
        <w:rPr>
          <w:rFonts w:cs="仿宋_GB2312" w:hint="eastAsia"/>
          <w:kern w:val="2"/>
          <w:sz w:val="32"/>
        </w:rPr>
        <w:t>万元，下降</w:t>
      </w:r>
      <w:r>
        <w:rPr>
          <w:rFonts w:cs="仿宋_GB2312" w:hint="eastAsia"/>
          <w:kern w:val="2"/>
          <w:sz w:val="32"/>
        </w:rPr>
        <w:t>28.2%</w:t>
      </w:r>
      <w:r>
        <w:rPr>
          <w:rFonts w:cs="仿宋_GB2312" w:hint="eastAsia"/>
          <w:kern w:val="2"/>
          <w:sz w:val="32"/>
        </w:rPr>
        <w:t>，主要原因是按照相关规定，严格控制“三公”经费支出。</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（二）“三公”经费实物量情况</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t>2022</w:t>
      </w:r>
      <w:r>
        <w:rPr>
          <w:rFonts w:cs="仿宋_GB2312" w:hint="eastAsia"/>
          <w:kern w:val="2"/>
          <w:sz w:val="32"/>
        </w:rPr>
        <w:t>年度本部门因公出国（境）共计</w:t>
      </w:r>
      <w:r>
        <w:rPr>
          <w:rFonts w:cs="仿宋_GB2312" w:hint="eastAsia"/>
          <w:kern w:val="2"/>
          <w:sz w:val="32"/>
        </w:rPr>
        <w:t>0</w:t>
      </w:r>
      <w:r>
        <w:rPr>
          <w:rFonts w:cs="仿宋_GB2312" w:hint="eastAsia"/>
          <w:kern w:val="2"/>
          <w:sz w:val="32"/>
        </w:rPr>
        <w:t>个团组，</w:t>
      </w:r>
      <w:r>
        <w:rPr>
          <w:rFonts w:cs="仿宋_GB2312" w:hint="eastAsia"/>
          <w:kern w:val="2"/>
          <w:sz w:val="32"/>
        </w:rPr>
        <w:t>0</w:t>
      </w:r>
      <w:r>
        <w:rPr>
          <w:rFonts w:cs="仿宋_GB2312" w:hint="eastAsia"/>
          <w:kern w:val="2"/>
          <w:sz w:val="32"/>
        </w:rPr>
        <w:t>人；公务用车购置</w:t>
      </w:r>
      <w:r>
        <w:rPr>
          <w:rFonts w:cs="仿宋_GB2312" w:hint="eastAsia"/>
          <w:kern w:val="2"/>
          <w:sz w:val="32"/>
        </w:rPr>
        <w:t>0</w:t>
      </w:r>
      <w:r>
        <w:rPr>
          <w:rFonts w:cs="仿宋_GB2312" w:hint="eastAsia"/>
          <w:kern w:val="2"/>
          <w:sz w:val="32"/>
        </w:rPr>
        <w:t>辆，公务车保有量为</w:t>
      </w:r>
      <w:r>
        <w:rPr>
          <w:rFonts w:cs="仿宋_GB2312" w:hint="eastAsia"/>
          <w:kern w:val="2"/>
          <w:sz w:val="32"/>
        </w:rPr>
        <w:t>3</w:t>
      </w:r>
      <w:r>
        <w:rPr>
          <w:rFonts w:cs="仿宋_GB2312" w:hint="eastAsia"/>
          <w:kern w:val="2"/>
          <w:sz w:val="32"/>
        </w:rPr>
        <w:t>辆；国内公务接待</w:t>
      </w:r>
      <w:r>
        <w:rPr>
          <w:rFonts w:cs="仿宋_GB2312" w:hint="eastAsia"/>
          <w:kern w:val="2"/>
          <w:sz w:val="32"/>
        </w:rPr>
        <w:t>250</w:t>
      </w:r>
      <w:r>
        <w:rPr>
          <w:rFonts w:cs="仿宋_GB2312" w:hint="eastAsia"/>
          <w:kern w:val="2"/>
          <w:sz w:val="32"/>
        </w:rPr>
        <w:t>批次</w:t>
      </w:r>
      <w:r>
        <w:rPr>
          <w:rFonts w:cs="仿宋_GB2312" w:hint="eastAsia"/>
          <w:kern w:val="2"/>
          <w:sz w:val="32"/>
        </w:rPr>
        <w:t>500</w:t>
      </w:r>
      <w:r>
        <w:rPr>
          <w:rFonts w:cs="仿宋_GB2312" w:hint="eastAsia"/>
          <w:kern w:val="2"/>
          <w:sz w:val="32"/>
        </w:rPr>
        <w:t>人，其中：国内外事接待</w:t>
      </w:r>
      <w:r>
        <w:rPr>
          <w:rFonts w:cs="仿宋_GB2312" w:hint="eastAsia"/>
          <w:kern w:val="2"/>
          <w:sz w:val="32"/>
        </w:rPr>
        <w:t>0</w:t>
      </w:r>
      <w:r>
        <w:rPr>
          <w:rFonts w:cs="仿宋_GB2312" w:hint="eastAsia"/>
          <w:kern w:val="2"/>
          <w:sz w:val="32"/>
        </w:rPr>
        <w:t>批次，</w:t>
      </w:r>
      <w:r>
        <w:rPr>
          <w:rFonts w:cs="仿宋_GB2312" w:hint="eastAsia"/>
          <w:kern w:val="2"/>
          <w:sz w:val="32"/>
        </w:rPr>
        <w:t>0</w:t>
      </w:r>
      <w:r>
        <w:rPr>
          <w:rFonts w:cs="仿宋_GB2312" w:hint="eastAsia"/>
          <w:kern w:val="2"/>
          <w:sz w:val="32"/>
        </w:rPr>
        <w:t>人；国（境）外公务接待</w:t>
      </w:r>
      <w:r>
        <w:rPr>
          <w:rFonts w:cs="仿宋_GB2312" w:hint="eastAsia"/>
          <w:kern w:val="2"/>
          <w:sz w:val="32"/>
        </w:rPr>
        <w:t>0</w:t>
      </w:r>
      <w:r>
        <w:rPr>
          <w:rFonts w:cs="仿宋_GB2312" w:hint="eastAsia"/>
          <w:kern w:val="2"/>
          <w:sz w:val="32"/>
        </w:rPr>
        <w:t>批次，</w:t>
      </w:r>
      <w:r>
        <w:rPr>
          <w:rFonts w:cs="仿宋_GB2312" w:hint="eastAsia"/>
          <w:kern w:val="2"/>
          <w:sz w:val="32"/>
        </w:rPr>
        <w:t>0</w:t>
      </w:r>
      <w:r>
        <w:rPr>
          <w:rFonts w:cs="仿宋_GB2312" w:hint="eastAsia"/>
          <w:kern w:val="2"/>
          <w:sz w:val="32"/>
        </w:rPr>
        <w:t>人。</w:t>
      </w:r>
      <w:r>
        <w:rPr>
          <w:rFonts w:cs="仿宋_GB2312" w:hint="eastAsia"/>
          <w:kern w:val="2"/>
          <w:sz w:val="32"/>
        </w:rPr>
        <w:t>2022</w:t>
      </w:r>
      <w:r>
        <w:rPr>
          <w:rFonts w:cs="仿宋_GB2312" w:hint="eastAsia"/>
          <w:kern w:val="2"/>
          <w:sz w:val="32"/>
        </w:rPr>
        <w:t>年本部门人均接待费</w:t>
      </w:r>
      <w:r>
        <w:rPr>
          <w:rFonts w:cs="仿宋_GB2312" w:hint="eastAsia"/>
          <w:kern w:val="2"/>
          <w:sz w:val="32"/>
        </w:rPr>
        <w:t>56</w:t>
      </w:r>
      <w:r>
        <w:rPr>
          <w:rFonts w:cs="仿宋_GB2312" w:hint="eastAsia"/>
          <w:kern w:val="2"/>
          <w:sz w:val="32"/>
        </w:rPr>
        <w:t>元，车均购置费</w:t>
      </w:r>
      <w:r>
        <w:rPr>
          <w:rFonts w:cs="仿宋_GB2312" w:hint="eastAsia"/>
          <w:kern w:val="2"/>
          <w:sz w:val="32"/>
        </w:rPr>
        <w:t>0</w:t>
      </w:r>
      <w:r>
        <w:rPr>
          <w:rFonts w:cs="仿宋_GB2312" w:hint="eastAsia"/>
          <w:kern w:val="2"/>
          <w:sz w:val="32"/>
        </w:rPr>
        <w:t>万元，车均维护费</w:t>
      </w:r>
      <w:r>
        <w:rPr>
          <w:rFonts w:cs="仿宋_GB2312" w:hint="eastAsia"/>
          <w:kern w:val="2"/>
          <w:sz w:val="32"/>
        </w:rPr>
        <w:t>0.72</w:t>
      </w:r>
      <w:r>
        <w:rPr>
          <w:rFonts w:cs="仿宋_GB2312" w:hint="eastAsia"/>
          <w:kern w:val="2"/>
          <w:sz w:val="32"/>
        </w:rPr>
        <w:t>万元。</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四、其他需要说明的事项</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t>（一）财政拨款会议费和培训费情况说明</w:t>
      </w:r>
    </w:p>
    <w:p w:rsidR="0003194E" w:rsidRDefault="00B32C91">
      <w:pPr>
        <w:pStyle w:val="a7"/>
        <w:widowControl/>
        <w:snapToGrid w:val="0"/>
        <w:spacing w:before="0" w:beforeAutospacing="0" w:after="0"/>
        <w:ind w:firstLineChars="200" w:firstLine="640"/>
        <w:rPr>
          <w:rFonts w:cs="仿宋_GB2312"/>
          <w:kern w:val="2"/>
          <w:sz w:val="32"/>
        </w:rPr>
      </w:pPr>
      <w:r>
        <w:rPr>
          <w:rFonts w:cs="仿宋_GB2312" w:hint="eastAsia"/>
          <w:kern w:val="2"/>
          <w:sz w:val="32"/>
        </w:rPr>
        <w:t>本年度会议费支出</w:t>
      </w:r>
      <w:r>
        <w:rPr>
          <w:rFonts w:cs="仿宋_GB2312" w:hint="eastAsia"/>
          <w:kern w:val="2"/>
          <w:sz w:val="32"/>
        </w:rPr>
        <w:t>1.31</w:t>
      </w:r>
      <w:r>
        <w:rPr>
          <w:rFonts w:cs="仿宋_GB2312" w:hint="eastAsia"/>
          <w:kern w:val="2"/>
          <w:sz w:val="32"/>
        </w:rPr>
        <w:t>万元，较上年决算数减少</w:t>
      </w:r>
      <w:r>
        <w:rPr>
          <w:rFonts w:cs="仿宋_GB2312" w:hint="eastAsia"/>
          <w:kern w:val="2"/>
          <w:sz w:val="32"/>
        </w:rPr>
        <w:t>7.69</w:t>
      </w:r>
      <w:r>
        <w:rPr>
          <w:rFonts w:cs="仿宋_GB2312" w:hint="eastAsia"/>
          <w:kern w:val="2"/>
          <w:sz w:val="32"/>
        </w:rPr>
        <w:t>万元，下降</w:t>
      </w:r>
      <w:r>
        <w:rPr>
          <w:rFonts w:cs="仿宋_GB2312" w:hint="eastAsia"/>
          <w:kern w:val="2"/>
          <w:sz w:val="32"/>
        </w:rPr>
        <w:t>85.4%</w:t>
      </w:r>
      <w:r>
        <w:rPr>
          <w:rFonts w:cs="仿宋_GB2312" w:hint="eastAsia"/>
          <w:kern w:val="2"/>
          <w:sz w:val="32"/>
        </w:rPr>
        <w:t>，主要原因是受疫情影响，大多数会议改为线上开展</w:t>
      </w:r>
      <w:r>
        <w:rPr>
          <w:rFonts w:cs="仿宋_GB2312" w:hint="eastAsia"/>
          <w:kern w:val="2"/>
          <w:sz w:val="32"/>
        </w:rPr>
        <w:t>，</w:t>
      </w:r>
      <w:r>
        <w:rPr>
          <w:rFonts w:cs="仿宋_GB2312" w:hint="eastAsia"/>
          <w:kern w:val="2"/>
          <w:sz w:val="32"/>
        </w:rPr>
        <w:lastRenderedPageBreak/>
        <w:t>节约了</w:t>
      </w:r>
      <w:r>
        <w:rPr>
          <w:rFonts w:cs="仿宋_GB2312" w:hint="eastAsia"/>
          <w:kern w:val="2"/>
          <w:sz w:val="32"/>
        </w:rPr>
        <w:t>会议费开支</w:t>
      </w:r>
      <w:r>
        <w:rPr>
          <w:rFonts w:cs="仿宋_GB2312" w:hint="eastAsia"/>
          <w:kern w:val="2"/>
          <w:sz w:val="32"/>
        </w:rPr>
        <w:t>，本年度培训费支出</w:t>
      </w:r>
      <w:r>
        <w:rPr>
          <w:rFonts w:cs="仿宋_GB2312" w:hint="eastAsia"/>
          <w:kern w:val="2"/>
          <w:sz w:val="32"/>
        </w:rPr>
        <w:t>3.06</w:t>
      </w:r>
      <w:r>
        <w:rPr>
          <w:rFonts w:cs="仿宋_GB2312" w:hint="eastAsia"/>
          <w:kern w:val="2"/>
          <w:sz w:val="32"/>
        </w:rPr>
        <w:t>万元，较上年决算数减少</w:t>
      </w:r>
      <w:r>
        <w:rPr>
          <w:rFonts w:cs="仿宋_GB2312" w:hint="eastAsia"/>
          <w:kern w:val="2"/>
          <w:sz w:val="32"/>
        </w:rPr>
        <w:t>2.54</w:t>
      </w:r>
      <w:r>
        <w:rPr>
          <w:rFonts w:cs="仿宋_GB2312" w:hint="eastAsia"/>
          <w:kern w:val="2"/>
          <w:sz w:val="32"/>
        </w:rPr>
        <w:t>万元，下降</w:t>
      </w:r>
      <w:r>
        <w:rPr>
          <w:rFonts w:cs="仿宋_GB2312" w:hint="eastAsia"/>
          <w:kern w:val="2"/>
          <w:sz w:val="32"/>
        </w:rPr>
        <w:t>45.4%</w:t>
      </w:r>
      <w:r>
        <w:rPr>
          <w:rFonts w:cs="仿宋_GB2312" w:hint="eastAsia"/>
          <w:kern w:val="2"/>
          <w:sz w:val="32"/>
        </w:rPr>
        <w:t>，主要原因是受疫情影响，大多数培训改为线上开展，节约了</w:t>
      </w:r>
      <w:r>
        <w:rPr>
          <w:rFonts w:cs="仿宋_GB2312" w:hint="eastAsia"/>
          <w:kern w:val="2"/>
          <w:sz w:val="32"/>
        </w:rPr>
        <w:t>培训费开支</w:t>
      </w:r>
      <w:r>
        <w:rPr>
          <w:rFonts w:cs="仿宋_GB2312" w:hint="eastAsia"/>
          <w:kern w:val="2"/>
          <w:sz w:val="32"/>
        </w:rPr>
        <w:t>。</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（二）机关运行经费情况说明</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hint="eastAsia"/>
          <w:color w:val="auto"/>
          <w:kern w:val="2"/>
          <w:sz w:val="32"/>
        </w:rPr>
        <w:t>2022</w:t>
      </w:r>
      <w:r>
        <w:rPr>
          <w:rFonts w:ascii="Times New Roman" w:eastAsia="方正仿宋_GBK" w:hAnsi="Times New Roman" w:cs="仿宋_GB2312" w:hint="eastAsia"/>
          <w:color w:val="auto"/>
          <w:kern w:val="2"/>
          <w:sz w:val="32"/>
        </w:rPr>
        <w:t>年度本部门机关运行经费支出</w:t>
      </w:r>
      <w:r>
        <w:rPr>
          <w:rFonts w:ascii="Times New Roman" w:eastAsia="方正仿宋_GBK" w:hAnsi="Times New Roman" w:cs="仿宋_GB2312" w:hint="eastAsia"/>
          <w:color w:val="auto"/>
          <w:kern w:val="2"/>
          <w:sz w:val="32"/>
        </w:rPr>
        <w:t>109.75</w:t>
      </w:r>
      <w:r>
        <w:rPr>
          <w:rFonts w:ascii="Times New Roman" w:eastAsia="方正仿宋_GBK" w:hAnsi="Times New Roman" w:cs="仿宋_GB2312" w:hint="eastAsia"/>
          <w:color w:val="auto"/>
          <w:kern w:val="2"/>
          <w:sz w:val="32"/>
        </w:rPr>
        <w:t>万元，主要用于开支水费</w:t>
      </w:r>
      <w:r>
        <w:rPr>
          <w:rFonts w:ascii="Times New Roman" w:eastAsia="方正仿宋_GBK" w:hAnsi="Times New Roman" w:cs="仿宋_GB2312" w:hint="eastAsia"/>
          <w:color w:val="auto"/>
          <w:kern w:val="2"/>
          <w:sz w:val="32"/>
        </w:rPr>
        <w:t>4</w:t>
      </w:r>
      <w:r>
        <w:rPr>
          <w:rFonts w:ascii="Times New Roman" w:eastAsia="方正仿宋_GBK" w:hAnsi="Times New Roman" w:cs="仿宋_GB2312" w:hint="eastAsia"/>
          <w:color w:val="auto"/>
          <w:kern w:val="2"/>
          <w:sz w:val="32"/>
        </w:rPr>
        <w:t>万元，电费</w:t>
      </w:r>
      <w:r>
        <w:rPr>
          <w:rFonts w:ascii="Times New Roman" w:eastAsia="方正仿宋_GBK" w:hAnsi="Times New Roman" w:cs="仿宋_GB2312" w:hint="eastAsia"/>
          <w:color w:val="auto"/>
          <w:kern w:val="2"/>
          <w:sz w:val="32"/>
        </w:rPr>
        <w:t>2.7</w:t>
      </w:r>
      <w:r>
        <w:rPr>
          <w:rFonts w:ascii="Times New Roman" w:eastAsia="方正仿宋_GBK" w:hAnsi="Times New Roman" w:cs="仿宋_GB2312" w:hint="eastAsia"/>
          <w:color w:val="auto"/>
          <w:kern w:val="2"/>
          <w:sz w:val="32"/>
        </w:rPr>
        <w:t>万元，邮电费</w:t>
      </w:r>
      <w:r>
        <w:rPr>
          <w:rFonts w:ascii="Times New Roman" w:eastAsia="方正仿宋_GBK" w:hAnsi="Times New Roman" w:cs="仿宋_GB2312" w:hint="eastAsia"/>
          <w:color w:val="auto"/>
          <w:kern w:val="2"/>
          <w:sz w:val="32"/>
        </w:rPr>
        <w:t>13.42</w:t>
      </w:r>
      <w:r>
        <w:rPr>
          <w:rFonts w:ascii="Times New Roman" w:eastAsia="方正仿宋_GBK" w:hAnsi="Times New Roman" w:cs="仿宋_GB2312" w:hint="eastAsia"/>
          <w:color w:val="auto"/>
          <w:kern w:val="2"/>
          <w:sz w:val="32"/>
        </w:rPr>
        <w:t>万元，会议费</w:t>
      </w:r>
      <w:r>
        <w:rPr>
          <w:rFonts w:ascii="Times New Roman" w:eastAsia="方正仿宋_GBK" w:hAnsi="Times New Roman" w:cs="仿宋_GB2312" w:hint="eastAsia"/>
          <w:color w:val="auto"/>
          <w:kern w:val="2"/>
          <w:sz w:val="32"/>
        </w:rPr>
        <w:t>1.31</w:t>
      </w:r>
      <w:r>
        <w:rPr>
          <w:rFonts w:ascii="Times New Roman" w:eastAsia="方正仿宋_GBK" w:hAnsi="Times New Roman" w:cs="仿宋_GB2312" w:hint="eastAsia"/>
          <w:color w:val="auto"/>
          <w:kern w:val="2"/>
          <w:sz w:val="32"/>
        </w:rPr>
        <w:t>万元，培训费</w:t>
      </w:r>
      <w:r>
        <w:rPr>
          <w:rFonts w:ascii="Times New Roman" w:eastAsia="方正仿宋_GBK" w:hAnsi="Times New Roman" w:cs="仿宋_GB2312" w:hint="eastAsia"/>
          <w:color w:val="auto"/>
          <w:kern w:val="2"/>
          <w:sz w:val="32"/>
        </w:rPr>
        <w:t>3.06</w:t>
      </w:r>
      <w:r>
        <w:rPr>
          <w:rFonts w:ascii="Times New Roman" w:eastAsia="方正仿宋_GBK" w:hAnsi="Times New Roman" w:cs="仿宋_GB2312" w:hint="eastAsia"/>
          <w:color w:val="auto"/>
          <w:kern w:val="2"/>
          <w:sz w:val="32"/>
        </w:rPr>
        <w:t>万元，公务接待费</w:t>
      </w:r>
      <w:r>
        <w:rPr>
          <w:rFonts w:ascii="Times New Roman" w:eastAsia="方正仿宋_GBK" w:hAnsi="Times New Roman" w:cs="仿宋_GB2312" w:hint="eastAsia"/>
          <w:color w:val="auto"/>
          <w:kern w:val="2"/>
          <w:sz w:val="32"/>
        </w:rPr>
        <w:t>2.8</w:t>
      </w:r>
      <w:r>
        <w:rPr>
          <w:rFonts w:ascii="Times New Roman" w:eastAsia="方正仿宋_GBK" w:hAnsi="Times New Roman" w:cs="仿宋_GB2312" w:hint="eastAsia"/>
          <w:color w:val="auto"/>
          <w:kern w:val="2"/>
          <w:sz w:val="32"/>
        </w:rPr>
        <w:t>万元，工会经费</w:t>
      </w:r>
      <w:r>
        <w:rPr>
          <w:rFonts w:ascii="Times New Roman" w:eastAsia="方正仿宋_GBK" w:hAnsi="Times New Roman" w:cs="仿宋_GB2312" w:hint="eastAsia"/>
          <w:color w:val="auto"/>
          <w:kern w:val="2"/>
          <w:sz w:val="32"/>
        </w:rPr>
        <w:t>13.95</w:t>
      </w:r>
      <w:r>
        <w:rPr>
          <w:rFonts w:ascii="Times New Roman" w:eastAsia="方正仿宋_GBK" w:hAnsi="Times New Roman" w:cs="仿宋_GB2312" w:hint="eastAsia"/>
          <w:color w:val="auto"/>
          <w:kern w:val="2"/>
          <w:sz w:val="32"/>
        </w:rPr>
        <w:t>万元，福</w:t>
      </w:r>
      <w:r>
        <w:rPr>
          <w:rFonts w:ascii="Times New Roman" w:eastAsia="方正仿宋_GBK" w:hAnsi="Times New Roman" w:cs="仿宋_GB2312" w:hint="eastAsia"/>
          <w:color w:val="auto"/>
          <w:kern w:val="2"/>
          <w:sz w:val="32"/>
        </w:rPr>
        <w:t>利费</w:t>
      </w:r>
      <w:r>
        <w:rPr>
          <w:rFonts w:ascii="Times New Roman" w:eastAsia="方正仿宋_GBK" w:hAnsi="Times New Roman" w:cs="仿宋_GB2312" w:hint="eastAsia"/>
          <w:color w:val="auto"/>
          <w:kern w:val="2"/>
          <w:sz w:val="32"/>
        </w:rPr>
        <w:t>11.09</w:t>
      </w:r>
      <w:r>
        <w:rPr>
          <w:rFonts w:ascii="Times New Roman" w:eastAsia="方正仿宋_GBK" w:hAnsi="Times New Roman" w:cs="仿宋_GB2312" w:hint="eastAsia"/>
          <w:color w:val="auto"/>
          <w:kern w:val="2"/>
          <w:sz w:val="32"/>
        </w:rPr>
        <w:t>万元，公务用车运行维护费</w:t>
      </w:r>
      <w:r>
        <w:rPr>
          <w:rFonts w:ascii="Times New Roman" w:eastAsia="方正仿宋_GBK" w:hAnsi="Times New Roman" w:cs="仿宋_GB2312" w:hint="eastAsia"/>
          <w:color w:val="auto"/>
          <w:kern w:val="2"/>
          <w:sz w:val="32"/>
        </w:rPr>
        <w:t>2.16</w:t>
      </w:r>
      <w:r>
        <w:rPr>
          <w:rFonts w:ascii="Times New Roman" w:eastAsia="方正仿宋_GBK" w:hAnsi="Times New Roman" w:cs="仿宋_GB2312" w:hint="eastAsia"/>
          <w:color w:val="auto"/>
          <w:kern w:val="2"/>
          <w:sz w:val="32"/>
        </w:rPr>
        <w:t>万元，其他交通费用</w:t>
      </w:r>
      <w:r>
        <w:rPr>
          <w:rFonts w:ascii="Times New Roman" w:eastAsia="方正仿宋_GBK" w:hAnsi="Times New Roman" w:cs="仿宋_GB2312" w:hint="eastAsia"/>
          <w:color w:val="auto"/>
          <w:kern w:val="2"/>
          <w:sz w:val="32"/>
        </w:rPr>
        <w:t>39.07</w:t>
      </w:r>
      <w:r>
        <w:rPr>
          <w:rFonts w:ascii="Times New Roman" w:eastAsia="方正仿宋_GBK" w:hAnsi="Times New Roman" w:cs="仿宋_GB2312" w:hint="eastAsia"/>
          <w:color w:val="auto"/>
          <w:kern w:val="2"/>
          <w:sz w:val="32"/>
        </w:rPr>
        <w:t>万元，维修费</w:t>
      </w:r>
      <w:r>
        <w:rPr>
          <w:rFonts w:ascii="Times New Roman" w:eastAsia="方正仿宋_GBK" w:hAnsi="Times New Roman" w:cs="仿宋_GB2312" w:hint="eastAsia"/>
          <w:color w:val="auto"/>
          <w:kern w:val="2"/>
          <w:sz w:val="32"/>
        </w:rPr>
        <w:t>1</w:t>
      </w:r>
      <w:r>
        <w:rPr>
          <w:rFonts w:ascii="Times New Roman" w:eastAsia="方正仿宋_GBK" w:hAnsi="Times New Roman" w:cs="仿宋_GB2312" w:hint="eastAsia"/>
          <w:color w:val="auto"/>
          <w:kern w:val="2"/>
          <w:sz w:val="32"/>
        </w:rPr>
        <w:t>万元（事业单位不在机关运行经费统计范围之内）。机关运行经费较上年决算数减少</w:t>
      </w:r>
      <w:r>
        <w:rPr>
          <w:rFonts w:ascii="Times New Roman" w:eastAsia="方正仿宋_GBK" w:hAnsi="Times New Roman" w:cs="仿宋_GB2312" w:hint="eastAsia"/>
          <w:color w:val="auto"/>
          <w:kern w:val="2"/>
          <w:sz w:val="32"/>
        </w:rPr>
        <w:t>303.45</w:t>
      </w:r>
      <w:r>
        <w:rPr>
          <w:rFonts w:ascii="Times New Roman" w:eastAsia="方正仿宋_GBK" w:hAnsi="Times New Roman" w:cs="仿宋_GB2312" w:hint="eastAsia"/>
          <w:color w:val="auto"/>
          <w:kern w:val="2"/>
          <w:sz w:val="32"/>
        </w:rPr>
        <w:t>万元，下降</w:t>
      </w:r>
      <w:r>
        <w:rPr>
          <w:rFonts w:ascii="Times New Roman" w:eastAsia="方正仿宋_GBK" w:hAnsi="Times New Roman" w:cs="仿宋_GB2312" w:hint="eastAsia"/>
          <w:color w:val="auto"/>
          <w:kern w:val="2"/>
          <w:sz w:val="32"/>
        </w:rPr>
        <w:t>73.4%</w:t>
      </w:r>
      <w:r>
        <w:rPr>
          <w:rFonts w:ascii="Times New Roman" w:eastAsia="方正仿宋_GBK" w:hAnsi="Times New Roman" w:cs="仿宋_GB2312" w:hint="eastAsia"/>
          <w:color w:val="auto"/>
          <w:kern w:val="2"/>
          <w:sz w:val="32"/>
        </w:rPr>
        <w:t>，主要原因是政策调减。机关运行经费较年初预算数减少</w:t>
      </w:r>
      <w:r>
        <w:rPr>
          <w:rFonts w:ascii="Times New Roman" w:eastAsia="方正仿宋_GBK" w:hAnsi="Times New Roman" w:cs="仿宋_GB2312" w:hint="eastAsia"/>
          <w:color w:val="auto"/>
          <w:kern w:val="2"/>
          <w:sz w:val="32"/>
        </w:rPr>
        <w:t>10.74</w:t>
      </w:r>
      <w:r>
        <w:rPr>
          <w:rFonts w:ascii="Times New Roman" w:eastAsia="方正仿宋_GBK" w:hAnsi="Times New Roman" w:cs="仿宋_GB2312" w:hint="eastAsia"/>
          <w:color w:val="auto"/>
          <w:kern w:val="2"/>
          <w:sz w:val="32"/>
        </w:rPr>
        <w:t>万元，主要原因是严格按照相关规定，控制机关运行经费。</w:t>
      </w:r>
    </w:p>
    <w:p w:rsidR="0003194E" w:rsidRDefault="00B32C91" w:rsidP="00916A46">
      <w:pPr>
        <w:pStyle w:val="a4"/>
        <w:snapToGrid w:val="0"/>
        <w:spacing w:line="600" w:lineRule="exact"/>
        <w:ind w:leftChars="200" w:left="640"/>
        <w:rPr>
          <w:rFonts w:ascii="Times New Roman" w:eastAsia="方正楷体_GBK" w:hAnsi="Times New Roman" w:cs="方正楷体_GBK"/>
          <w:color w:val="auto"/>
          <w:kern w:val="2"/>
          <w:sz w:val="32"/>
        </w:rPr>
      </w:pPr>
      <w:r>
        <w:rPr>
          <w:rFonts w:ascii="Times New Roman" w:eastAsia="方正楷体_GBK" w:hAnsi="Times New Roman" w:cs="方正楷体_GBK" w:hint="eastAsia"/>
          <w:color w:val="auto"/>
          <w:kern w:val="2"/>
          <w:sz w:val="32"/>
        </w:rPr>
        <w:t>（三）国有资产占用情况说明</w:t>
      </w:r>
    </w:p>
    <w:p w:rsidR="0003194E" w:rsidRDefault="00B32C91">
      <w:pPr>
        <w:pStyle w:val="a4"/>
        <w:snapToGrid w:val="0"/>
        <w:spacing w:line="600" w:lineRule="exact"/>
        <w:ind w:firstLineChars="200" w:firstLine="640"/>
        <w:rPr>
          <w:rFonts w:ascii="Times New Roman" w:eastAsia="方正仿宋_GBK" w:hAnsi="Times New Roman" w:cs="仿宋_GB2312"/>
          <w:color w:val="auto"/>
          <w:kern w:val="2"/>
          <w:sz w:val="32"/>
        </w:rPr>
      </w:pPr>
      <w:r>
        <w:rPr>
          <w:rFonts w:ascii="Times New Roman" w:eastAsia="方正仿宋_GBK" w:hAnsi="Times New Roman" w:cs="仿宋_GB2312"/>
          <w:color w:val="auto"/>
          <w:kern w:val="2"/>
          <w:sz w:val="32"/>
        </w:rPr>
        <w:t>截至</w:t>
      </w:r>
      <w:r>
        <w:rPr>
          <w:rFonts w:ascii="Times New Roman" w:eastAsia="方正仿宋_GBK" w:hAnsi="Times New Roman" w:cs="仿宋_GB2312"/>
          <w:color w:val="auto"/>
          <w:kern w:val="2"/>
          <w:sz w:val="32"/>
        </w:rPr>
        <w:t>202</w:t>
      </w:r>
      <w:r>
        <w:rPr>
          <w:rFonts w:ascii="Times New Roman" w:eastAsia="方正仿宋_GBK" w:hAnsi="Times New Roman" w:cs="仿宋_GB2312" w:hint="eastAsia"/>
          <w:color w:val="auto"/>
          <w:kern w:val="2"/>
          <w:sz w:val="32"/>
        </w:rPr>
        <w:t>1</w:t>
      </w:r>
      <w:r>
        <w:rPr>
          <w:rFonts w:ascii="Times New Roman" w:eastAsia="方正仿宋_GBK" w:hAnsi="Times New Roman" w:cs="仿宋_GB2312"/>
          <w:color w:val="auto"/>
          <w:kern w:val="2"/>
          <w:sz w:val="32"/>
        </w:rPr>
        <w:t>年</w:t>
      </w:r>
      <w:r>
        <w:rPr>
          <w:rFonts w:ascii="Times New Roman" w:eastAsia="方正仿宋_GBK" w:hAnsi="Times New Roman" w:cs="仿宋_GB2312"/>
          <w:color w:val="auto"/>
          <w:kern w:val="2"/>
          <w:sz w:val="32"/>
        </w:rPr>
        <w:t>12</w:t>
      </w:r>
      <w:r>
        <w:rPr>
          <w:rFonts w:ascii="Times New Roman" w:eastAsia="方正仿宋_GBK" w:hAnsi="Times New Roman" w:cs="仿宋_GB2312"/>
          <w:color w:val="auto"/>
          <w:kern w:val="2"/>
          <w:sz w:val="32"/>
        </w:rPr>
        <w:t>月</w:t>
      </w:r>
      <w:r>
        <w:rPr>
          <w:rFonts w:ascii="Times New Roman" w:eastAsia="方正仿宋_GBK" w:hAnsi="Times New Roman" w:cs="仿宋_GB2312"/>
          <w:color w:val="auto"/>
          <w:kern w:val="2"/>
          <w:sz w:val="32"/>
        </w:rPr>
        <w:t>31</w:t>
      </w:r>
      <w:r>
        <w:rPr>
          <w:rFonts w:ascii="Times New Roman" w:eastAsia="方正仿宋_GBK" w:hAnsi="Times New Roman" w:cs="仿宋_GB2312"/>
          <w:color w:val="auto"/>
          <w:kern w:val="2"/>
          <w:sz w:val="32"/>
        </w:rPr>
        <w:t>日，本部门共有车辆</w:t>
      </w:r>
      <w:r>
        <w:rPr>
          <w:rFonts w:ascii="Times New Roman" w:eastAsia="方正仿宋_GBK" w:hAnsi="Times New Roman" w:cs="仿宋_GB2312" w:hint="eastAsia"/>
          <w:color w:val="auto"/>
          <w:kern w:val="2"/>
          <w:sz w:val="32"/>
        </w:rPr>
        <w:t>2</w:t>
      </w:r>
      <w:r>
        <w:rPr>
          <w:rFonts w:ascii="Times New Roman" w:eastAsia="方正仿宋_GBK" w:hAnsi="Times New Roman" w:cs="仿宋_GB2312"/>
          <w:color w:val="auto"/>
          <w:kern w:val="2"/>
          <w:sz w:val="32"/>
        </w:rPr>
        <w:t>辆。</w:t>
      </w:r>
      <w:r>
        <w:rPr>
          <w:rFonts w:ascii="Times New Roman" w:eastAsia="方正仿宋_GBK" w:hAnsi="Times New Roman" w:cs="仿宋_GB2312" w:hint="eastAsia"/>
          <w:color w:val="auto"/>
          <w:kern w:val="2"/>
          <w:sz w:val="32"/>
        </w:rPr>
        <w:t>为</w:t>
      </w:r>
      <w:r>
        <w:rPr>
          <w:rFonts w:ascii="Times New Roman" w:eastAsia="方正仿宋_GBK" w:hAnsi="Times New Roman" w:cs="仿宋_GB2312"/>
          <w:color w:val="auto"/>
          <w:kern w:val="2"/>
          <w:sz w:val="32"/>
        </w:rPr>
        <w:t>应急保障用车</w:t>
      </w:r>
      <w:r>
        <w:rPr>
          <w:rFonts w:ascii="Times New Roman" w:eastAsia="方正仿宋_GBK" w:hAnsi="Times New Roman" w:cs="仿宋_GB2312" w:hint="eastAsia"/>
          <w:color w:val="auto"/>
          <w:kern w:val="2"/>
          <w:sz w:val="32"/>
        </w:rPr>
        <w:t>2</w:t>
      </w:r>
      <w:r>
        <w:rPr>
          <w:rFonts w:ascii="Times New Roman" w:eastAsia="方正仿宋_GBK" w:hAnsi="Times New Roman" w:cs="仿宋_GB2312"/>
          <w:color w:val="auto"/>
          <w:kern w:val="2"/>
          <w:sz w:val="32"/>
        </w:rPr>
        <w:t>辆</w:t>
      </w:r>
      <w:r>
        <w:rPr>
          <w:rFonts w:ascii="Times New Roman" w:eastAsia="方正仿宋_GBK" w:hAnsi="Times New Roman" w:cs="仿宋_GB2312" w:hint="eastAsia"/>
          <w:color w:val="auto"/>
          <w:kern w:val="2"/>
          <w:sz w:val="32"/>
        </w:rPr>
        <w:t>。无</w:t>
      </w:r>
      <w:r>
        <w:rPr>
          <w:rFonts w:ascii="Times New Roman" w:eastAsia="方正仿宋_GBK" w:hAnsi="Times New Roman" w:cs="仿宋_GB2312"/>
          <w:color w:val="auto"/>
          <w:kern w:val="2"/>
          <w:sz w:val="32"/>
        </w:rPr>
        <w:t>单价</w:t>
      </w:r>
      <w:r>
        <w:rPr>
          <w:rFonts w:ascii="Times New Roman" w:eastAsia="方正仿宋_GBK" w:hAnsi="Times New Roman" w:cs="仿宋_GB2312"/>
          <w:color w:val="auto"/>
          <w:kern w:val="2"/>
          <w:sz w:val="32"/>
        </w:rPr>
        <w:t>50</w:t>
      </w:r>
      <w:r>
        <w:rPr>
          <w:rFonts w:ascii="Times New Roman" w:eastAsia="方正仿宋_GBK" w:hAnsi="Times New Roman" w:cs="仿宋_GB2312"/>
          <w:color w:val="auto"/>
          <w:kern w:val="2"/>
          <w:sz w:val="32"/>
        </w:rPr>
        <w:t>万元（含）以上通用设备，</w:t>
      </w:r>
      <w:r>
        <w:rPr>
          <w:rFonts w:ascii="Times New Roman" w:eastAsia="方正仿宋_GBK" w:hAnsi="Times New Roman" w:cs="仿宋_GB2312" w:hint="eastAsia"/>
          <w:color w:val="auto"/>
          <w:kern w:val="2"/>
          <w:sz w:val="32"/>
        </w:rPr>
        <w:t>无</w:t>
      </w:r>
      <w:r>
        <w:rPr>
          <w:rFonts w:ascii="Times New Roman" w:eastAsia="方正仿宋_GBK" w:hAnsi="Times New Roman" w:cs="仿宋_GB2312"/>
          <w:color w:val="auto"/>
          <w:kern w:val="2"/>
          <w:sz w:val="32"/>
        </w:rPr>
        <w:t>单价</w:t>
      </w:r>
      <w:r>
        <w:rPr>
          <w:rFonts w:ascii="Times New Roman" w:eastAsia="方正仿宋_GBK" w:hAnsi="Times New Roman" w:cs="仿宋_GB2312"/>
          <w:color w:val="auto"/>
          <w:kern w:val="2"/>
          <w:sz w:val="32"/>
        </w:rPr>
        <w:t>100</w:t>
      </w:r>
      <w:r>
        <w:rPr>
          <w:rFonts w:ascii="Times New Roman" w:eastAsia="方正仿宋_GBK" w:hAnsi="Times New Roman" w:cs="仿宋_GB2312"/>
          <w:color w:val="auto"/>
          <w:kern w:val="2"/>
          <w:sz w:val="32"/>
        </w:rPr>
        <w:t>万元（含）以上专用设备。</w:t>
      </w:r>
    </w:p>
    <w:p w:rsidR="0003194E" w:rsidRDefault="00B32C91">
      <w:pPr>
        <w:pStyle w:val="a4"/>
        <w:snapToGrid w:val="0"/>
        <w:spacing w:line="600" w:lineRule="exact"/>
        <w:ind w:firstLineChars="200" w:firstLine="640"/>
        <w:rPr>
          <w:rFonts w:ascii="Times New Roman" w:eastAsia="方正楷体_GBK" w:hAnsi="Times New Roman" w:cs="方正楷体_GBK"/>
          <w:color w:val="auto"/>
          <w:kern w:val="2"/>
          <w:sz w:val="32"/>
        </w:rPr>
      </w:pPr>
      <w:r>
        <w:rPr>
          <w:rFonts w:ascii="Times New Roman" w:eastAsia="方正楷体_GBK" w:hAnsi="Times New Roman" w:cs="方正楷体_GBK" w:hint="eastAsia"/>
          <w:color w:val="auto"/>
          <w:kern w:val="2"/>
          <w:sz w:val="32"/>
        </w:rPr>
        <w:t>（四）政府采购支出情况说明</w:t>
      </w:r>
    </w:p>
    <w:p w:rsidR="0003194E" w:rsidRDefault="00B32C91">
      <w:pPr>
        <w:pStyle w:val="a7"/>
        <w:widowControl/>
        <w:snapToGrid w:val="0"/>
        <w:spacing w:before="0" w:beforeAutospacing="0" w:after="0"/>
        <w:ind w:firstLineChars="200" w:firstLine="640"/>
        <w:rPr>
          <w:rFonts w:eastAsia="方正黑体_GBK"/>
          <w:sz w:val="32"/>
          <w:szCs w:val="32"/>
        </w:rPr>
      </w:pPr>
      <w:r>
        <w:rPr>
          <w:rFonts w:cs="仿宋_GB2312" w:hint="eastAsia"/>
          <w:kern w:val="2"/>
          <w:sz w:val="32"/>
        </w:rPr>
        <w:lastRenderedPageBreak/>
        <w:t>2022</w:t>
      </w:r>
      <w:r>
        <w:rPr>
          <w:rFonts w:cs="仿宋_GB2312" w:hint="eastAsia"/>
          <w:kern w:val="2"/>
          <w:sz w:val="32"/>
        </w:rPr>
        <w:t>年度本部门政府采购支出总额</w:t>
      </w:r>
      <w:r>
        <w:rPr>
          <w:rFonts w:cs="仿宋_GB2312" w:hint="eastAsia"/>
          <w:kern w:val="2"/>
          <w:sz w:val="32"/>
        </w:rPr>
        <w:t>546.1</w:t>
      </w:r>
      <w:r>
        <w:rPr>
          <w:rFonts w:cs="仿宋_GB2312" w:hint="eastAsia"/>
          <w:kern w:val="2"/>
          <w:sz w:val="32"/>
        </w:rPr>
        <w:t>万元，其中：政府采购工程支出</w:t>
      </w:r>
      <w:r>
        <w:rPr>
          <w:rFonts w:cs="仿宋_GB2312" w:hint="eastAsia"/>
          <w:kern w:val="2"/>
          <w:sz w:val="32"/>
        </w:rPr>
        <w:t>546.1</w:t>
      </w:r>
      <w:r>
        <w:rPr>
          <w:rFonts w:cs="仿宋_GB2312" w:hint="eastAsia"/>
          <w:kern w:val="2"/>
          <w:sz w:val="32"/>
        </w:rPr>
        <w:t>万元。授予中小企业合同金额</w:t>
      </w:r>
      <w:r>
        <w:rPr>
          <w:rFonts w:cs="仿宋_GB2312" w:hint="eastAsia"/>
          <w:kern w:val="2"/>
          <w:sz w:val="32"/>
        </w:rPr>
        <w:t>546.1</w:t>
      </w:r>
      <w:r>
        <w:rPr>
          <w:rFonts w:cs="仿宋_GB2312" w:hint="eastAsia"/>
          <w:kern w:val="2"/>
          <w:sz w:val="32"/>
        </w:rPr>
        <w:t>万元，占政府采购支出总额的</w:t>
      </w:r>
      <w:r>
        <w:rPr>
          <w:rFonts w:cs="仿宋_GB2312" w:hint="eastAsia"/>
          <w:kern w:val="2"/>
          <w:sz w:val="32"/>
        </w:rPr>
        <w:t>100</w:t>
      </w:r>
      <w:r>
        <w:rPr>
          <w:rFonts w:cs="仿宋_GB2312" w:hint="eastAsia"/>
          <w:kern w:val="2"/>
          <w:sz w:val="32"/>
        </w:rPr>
        <w:t>.0</w:t>
      </w:r>
      <w:r>
        <w:rPr>
          <w:rFonts w:cs="仿宋_GB2312" w:hint="eastAsia"/>
          <w:kern w:val="2"/>
          <w:sz w:val="32"/>
        </w:rPr>
        <w:t>%</w:t>
      </w:r>
      <w:r>
        <w:rPr>
          <w:rFonts w:cs="仿宋_GB2312" w:hint="eastAsia"/>
          <w:kern w:val="2"/>
          <w:sz w:val="32"/>
        </w:rPr>
        <w:t>。</w:t>
      </w:r>
    </w:p>
    <w:p w:rsidR="0003194E" w:rsidRDefault="00B32C91">
      <w:pPr>
        <w:spacing w:line="560" w:lineRule="exact"/>
        <w:ind w:firstLineChars="200" w:firstLine="640"/>
        <w:outlineLvl w:val="0"/>
        <w:rPr>
          <w:rFonts w:eastAsia="方正黑体_GBK"/>
          <w:kern w:val="0"/>
          <w:szCs w:val="32"/>
        </w:rPr>
      </w:pPr>
      <w:r>
        <w:rPr>
          <w:rFonts w:eastAsia="方正黑体_GBK"/>
          <w:kern w:val="0"/>
          <w:szCs w:val="32"/>
        </w:rPr>
        <w:t>五、预算绩效管理情况说明</w:t>
      </w:r>
    </w:p>
    <w:p w:rsidR="0003194E" w:rsidRDefault="00B32C91">
      <w:pPr>
        <w:pStyle w:val="a9"/>
        <w:autoSpaceDE w:val="0"/>
        <w:spacing w:line="590" w:lineRule="exact"/>
        <w:ind w:firstLine="640"/>
        <w:jc w:val="left"/>
        <w:outlineLvl w:val="1"/>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lang/>
        </w:rPr>
        <w:t>（一）</w:t>
      </w:r>
      <w:r>
        <w:rPr>
          <w:rFonts w:ascii="方正楷体_GBK" w:eastAsia="方正楷体_GBK" w:hAnsi="方正楷体_GBK" w:cs="方正楷体_GBK" w:hint="eastAsia"/>
          <w:kern w:val="0"/>
          <w:szCs w:val="32"/>
        </w:rPr>
        <w:t>单位自评情况</w:t>
      </w:r>
    </w:p>
    <w:p w:rsidR="0003194E" w:rsidRDefault="00B32C91">
      <w:pPr>
        <w:pStyle w:val="a7"/>
        <w:widowControl/>
        <w:snapToGrid w:val="0"/>
        <w:spacing w:before="0" w:beforeAutospacing="0" w:after="0"/>
        <w:ind w:firstLineChars="200" w:firstLine="600"/>
        <w:rPr>
          <w:rFonts w:cs="仿宋_GB2312"/>
          <w:kern w:val="2"/>
          <w:sz w:val="30"/>
          <w:szCs w:val="30"/>
        </w:rPr>
      </w:pPr>
      <w:r>
        <w:rPr>
          <w:rFonts w:cs="仿宋_GB2312" w:hint="eastAsia"/>
          <w:kern w:val="2"/>
          <w:sz w:val="30"/>
          <w:szCs w:val="30"/>
        </w:rPr>
        <w:t>根据预算绩效管理要求，我单位对部门整体绩效和</w:t>
      </w:r>
      <w:r>
        <w:rPr>
          <w:rFonts w:cs="仿宋_GB2312" w:hint="eastAsia"/>
          <w:kern w:val="2"/>
          <w:sz w:val="30"/>
          <w:szCs w:val="30"/>
        </w:rPr>
        <w:t>143</w:t>
      </w:r>
      <w:r>
        <w:rPr>
          <w:rFonts w:cs="仿宋_GB2312" w:hint="eastAsia"/>
          <w:kern w:val="2"/>
          <w:sz w:val="30"/>
          <w:szCs w:val="30"/>
        </w:rPr>
        <w:t>个项目开展了绩效自评，其中，以填报自评表形式开展自评</w:t>
      </w:r>
      <w:r>
        <w:rPr>
          <w:rFonts w:cs="仿宋_GB2312" w:hint="eastAsia"/>
          <w:kern w:val="2"/>
          <w:sz w:val="30"/>
          <w:szCs w:val="30"/>
        </w:rPr>
        <w:t>143</w:t>
      </w:r>
      <w:r>
        <w:rPr>
          <w:rFonts w:cs="仿宋_GB2312" w:hint="eastAsia"/>
          <w:kern w:val="2"/>
          <w:sz w:val="30"/>
          <w:szCs w:val="30"/>
        </w:rPr>
        <w:t>项，涉及资金</w:t>
      </w:r>
      <w:r>
        <w:rPr>
          <w:rFonts w:cs="仿宋_GB2312" w:hint="eastAsia"/>
          <w:kern w:val="2"/>
          <w:sz w:val="30"/>
          <w:szCs w:val="30"/>
        </w:rPr>
        <w:t>4689.5</w:t>
      </w:r>
      <w:r>
        <w:rPr>
          <w:rFonts w:cs="仿宋_GB2312" w:hint="eastAsia"/>
          <w:kern w:val="2"/>
          <w:sz w:val="30"/>
          <w:szCs w:val="30"/>
        </w:rPr>
        <w:t>7</w:t>
      </w:r>
      <w:r>
        <w:rPr>
          <w:rFonts w:cs="仿宋_GB2312" w:hint="eastAsia"/>
          <w:kern w:val="2"/>
          <w:sz w:val="30"/>
          <w:szCs w:val="30"/>
        </w:rPr>
        <w:t>万元</w:t>
      </w:r>
      <w:r>
        <w:rPr>
          <w:rFonts w:cs="仿宋_GB2312" w:hint="eastAsia"/>
          <w:kern w:val="2"/>
          <w:sz w:val="30"/>
          <w:szCs w:val="30"/>
        </w:rPr>
        <w:t>。</w:t>
      </w:r>
    </w:p>
    <w:p w:rsidR="0003194E" w:rsidRDefault="00B32C91">
      <w:pPr>
        <w:pStyle w:val="a7"/>
        <w:widowControl/>
        <w:numPr>
          <w:ilvl w:val="0"/>
          <w:numId w:val="1"/>
        </w:numPr>
        <w:snapToGrid w:val="0"/>
        <w:spacing w:before="0" w:beforeAutospacing="0" w:after="0"/>
        <w:ind w:leftChars="200" w:left="640"/>
        <w:rPr>
          <w:rFonts w:ascii="方正楷体_GBK" w:eastAsia="方正楷体_GBK" w:hAnsi="方正楷体_GBK" w:cs="方正楷体_GBK"/>
          <w:sz w:val="32"/>
          <w:szCs w:val="32"/>
          <w:lang/>
        </w:rPr>
      </w:pPr>
      <w:r>
        <w:rPr>
          <w:rFonts w:ascii="方正楷体_GBK" w:eastAsia="方正楷体_GBK" w:hAnsi="方正楷体_GBK" w:cs="方正楷体_GBK" w:hint="eastAsia"/>
          <w:sz w:val="32"/>
          <w:szCs w:val="32"/>
          <w:lang/>
        </w:rPr>
        <w:t>绩效自评结果。</w:t>
      </w: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p>
    <w:p w:rsidR="0003194E" w:rsidRDefault="0003194E">
      <w:pPr>
        <w:pStyle w:val="a7"/>
        <w:widowControl/>
        <w:snapToGrid w:val="0"/>
        <w:spacing w:before="0" w:beforeAutospacing="0" w:after="0"/>
        <w:rPr>
          <w:rFonts w:ascii="方正楷体_GBK" w:eastAsia="方正楷体_GBK" w:hAnsi="方正楷体_GBK" w:cs="方正楷体_GBK"/>
          <w:sz w:val="32"/>
          <w:szCs w:val="32"/>
          <w:lang/>
        </w:rPr>
      </w:pPr>
      <w:bookmarkStart w:id="0" w:name="_GoBack"/>
      <w:bookmarkEnd w:id="0"/>
    </w:p>
    <w:tbl>
      <w:tblPr>
        <w:tblW w:w="8972" w:type="dxa"/>
        <w:tblInd w:w="93" w:type="dxa"/>
        <w:tblLayout w:type="fixed"/>
        <w:tblLook w:val="04A0"/>
      </w:tblPr>
      <w:tblGrid>
        <w:gridCol w:w="642"/>
        <w:gridCol w:w="1935"/>
        <w:gridCol w:w="1404"/>
        <w:gridCol w:w="576"/>
        <w:gridCol w:w="599"/>
        <w:gridCol w:w="841"/>
        <w:gridCol w:w="930"/>
        <w:gridCol w:w="341"/>
        <w:gridCol w:w="559"/>
        <w:gridCol w:w="354"/>
        <w:gridCol w:w="791"/>
      </w:tblGrid>
      <w:tr w:rsidR="0003194E">
        <w:trPr>
          <w:trHeight w:val="596"/>
        </w:trPr>
        <w:tc>
          <w:tcPr>
            <w:tcW w:w="8972" w:type="dxa"/>
            <w:gridSpan w:val="11"/>
            <w:tcBorders>
              <w:top w:val="nil"/>
              <w:left w:val="nil"/>
              <w:bottom w:val="nil"/>
              <w:right w:val="nil"/>
            </w:tcBorders>
            <w:vAlign w:val="center"/>
          </w:tcPr>
          <w:p w:rsidR="0003194E" w:rsidRDefault="00B32C91">
            <w:pPr>
              <w:widowControl/>
              <w:spacing w:line="240" w:lineRule="auto"/>
              <w:jc w:val="center"/>
              <w:textAlignment w:val="center"/>
            </w:pPr>
            <w:r>
              <w:rPr>
                <w:rFonts w:ascii="方正小标宋_GBK" w:eastAsia="方正小标宋_GBK" w:hAnsi="方正小标宋_GBK" w:cs="方正小标宋_GBK"/>
                <w:kern w:val="0"/>
                <w:sz w:val="44"/>
                <w:szCs w:val="44"/>
                <w:lang/>
              </w:rPr>
              <w:lastRenderedPageBreak/>
              <w:t>2022</w:t>
            </w:r>
            <w:r>
              <w:rPr>
                <w:rFonts w:ascii="方正小标宋_GBK" w:eastAsia="方正小标宋_GBK" w:hAnsi="方正小标宋_GBK" w:cs="方正小标宋_GBK"/>
                <w:kern w:val="0"/>
                <w:sz w:val="44"/>
                <w:szCs w:val="44"/>
                <w:lang/>
              </w:rPr>
              <w:t>年度部门整体绩效自评表</w:t>
            </w:r>
          </w:p>
        </w:tc>
      </w:tr>
      <w:tr w:rsidR="0003194E">
        <w:trPr>
          <w:trHeight w:val="1480"/>
        </w:trPr>
        <w:tc>
          <w:tcPr>
            <w:tcW w:w="642"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sz w:val="18"/>
                <w:szCs w:val="18"/>
              </w:rPr>
            </w:pPr>
            <w:r>
              <w:rPr>
                <w:kern w:val="0"/>
                <w:sz w:val="18"/>
                <w:szCs w:val="18"/>
                <w:lang/>
              </w:rPr>
              <w:t>主管部门</w:t>
            </w: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spacing w:line="240" w:lineRule="auto"/>
              <w:jc w:val="center"/>
              <w:rPr>
                <w:sz w:val="18"/>
                <w:szCs w:val="18"/>
              </w:rPr>
            </w:pPr>
            <w:r>
              <w:rPr>
                <w:rFonts w:hint="eastAsia"/>
                <w:sz w:val="18"/>
                <w:szCs w:val="18"/>
              </w:rPr>
              <w:t>重庆市万州区余家镇人民政府</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sz w:val="18"/>
                <w:szCs w:val="18"/>
              </w:rPr>
            </w:pPr>
            <w:r>
              <w:rPr>
                <w:kern w:val="0"/>
                <w:sz w:val="18"/>
                <w:szCs w:val="18"/>
                <w:lang/>
              </w:rPr>
              <w:t>部门</w:t>
            </w:r>
            <w:r>
              <w:rPr>
                <w:kern w:val="0"/>
                <w:sz w:val="18"/>
                <w:szCs w:val="18"/>
                <w:lang/>
              </w:rPr>
              <w:br/>
            </w:r>
            <w:r>
              <w:rPr>
                <w:kern w:val="0"/>
                <w:sz w:val="18"/>
                <w:szCs w:val="18"/>
                <w:lang/>
              </w:rPr>
              <w:t>联系人</w:t>
            </w:r>
          </w:p>
        </w:tc>
        <w:tc>
          <w:tcPr>
            <w:tcW w:w="57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sz w:val="20"/>
                <w:szCs w:val="20"/>
              </w:rPr>
            </w:pPr>
            <w:r>
              <w:rPr>
                <w:rFonts w:hint="eastAsia"/>
                <w:sz w:val="20"/>
                <w:szCs w:val="20"/>
              </w:rPr>
              <w:t>陈志明</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sz w:val="18"/>
                <w:szCs w:val="18"/>
              </w:rPr>
            </w:pPr>
            <w:r>
              <w:rPr>
                <w:kern w:val="0"/>
                <w:sz w:val="18"/>
                <w:szCs w:val="18"/>
                <w:lang/>
              </w:rPr>
              <w:t>联系电话</w:t>
            </w:r>
          </w:p>
        </w:tc>
        <w:tc>
          <w:tcPr>
            <w:tcW w:w="2112" w:type="dxa"/>
            <w:gridSpan w:val="3"/>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sz w:val="20"/>
                <w:szCs w:val="20"/>
              </w:rPr>
            </w:pPr>
            <w:r>
              <w:rPr>
                <w:rFonts w:hint="eastAsia"/>
                <w:sz w:val="20"/>
                <w:szCs w:val="20"/>
              </w:rPr>
              <w:t>58452139</w:t>
            </w:r>
          </w:p>
        </w:tc>
        <w:tc>
          <w:tcPr>
            <w:tcW w:w="913"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sz w:val="18"/>
                <w:szCs w:val="18"/>
              </w:rPr>
            </w:pPr>
            <w:r>
              <w:rPr>
                <w:kern w:val="0"/>
                <w:sz w:val="18"/>
                <w:szCs w:val="18"/>
                <w:lang/>
              </w:rPr>
              <w:t>自评总分</w:t>
            </w:r>
            <w:r>
              <w:rPr>
                <w:kern w:val="0"/>
                <w:sz w:val="18"/>
                <w:szCs w:val="18"/>
                <w:lang/>
              </w:rPr>
              <w:br/>
            </w:r>
            <w:r>
              <w:rPr>
                <w:kern w:val="0"/>
                <w:sz w:val="18"/>
                <w:szCs w:val="18"/>
                <w:lang/>
              </w:rPr>
              <w:t>（分）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rPr>
                <w:sz w:val="20"/>
                <w:szCs w:val="20"/>
              </w:rPr>
            </w:pPr>
            <w:r>
              <w:rPr>
                <w:rFonts w:hint="eastAsia"/>
                <w:sz w:val="20"/>
                <w:szCs w:val="20"/>
              </w:rPr>
              <w:t>99.02</w:t>
            </w:r>
          </w:p>
        </w:tc>
      </w:tr>
      <w:tr w:rsidR="0003194E">
        <w:trPr>
          <w:trHeight w:val="590"/>
        </w:trPr>
        <w:tc>
          <w:tcPr>
            <w:tcW w:w="642" w:type="dxa"/>
            <w:vMerge w:val="restart"/>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sz w:val="18"/>
                <w:szCs w:val="18"/>
              </w:rPr>
            </w:pPr>
            <w:r>
              <w:rPr>
                <w:kern w:val="0"/>
                <w:sz w:val="18"/>
                <w:szCs w:val="18"/>
                <w:lang/>
              </w:rPr>
              <w:t>当年绩效</w:t>
            </w:r>
            <w:r>
              <w:rPr>
                <w:kern w:val="0"/>
                <w:sz w:val="18"/>
                <w:szCs w:val="18"/>
                <w:lang/>
              </w:rPr>
              <w:br/>
            </w:r>
            <w:r>
              <w:rPr>
                <w:kern w:val="0"/>
                <w:sz w:val="18"/>
                <w:szCs w:val="18"/>
                <w:lang/>
              </w:rPr>
              <w:t>目标</w:t>
            </w:r>
          </w:p>
        </w:tc>
        <w:tc>
          <w:tcPr>
            <w:tcW w:w="3339"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年初绩效目标</w:t>
            </w: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全年（调整）绩效目标</w:t>
            </w:r>
          </w:p>
        </w:tc>
        <w:tc>
          <w:tcPr>
            <w:tcW w:w="3816" w:type="dxa"/>
            <w:gridSpan w:val="6"/>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全年目标实际完成情况</w:t>
            </w:r>
          </w:p>
        </w:tc>
      </w:tr>
      <w:tr w:rsidR="0003194E">
        <w:trPr>
          <w:trHeight w:val="5186"/>
        </w:trPr>
        <w:tc>
          <w:tcPr>
            <w:tcW w:w="642" w:type="dxa"/>
            <w:vMerge/>
            <w:tcBorders>
              <w:top w:val="single" w:sz="4" w:space="0" w:color="000000"/>
              <w:left w:val="single" w:sz="4" w:space="0" w:color="000000"/>
              <w:bottom w:val="single" w:sz="4" w:space="0" w:color="000000"/>
              <w:right w:val="single" w:sz="4" w:space="0" w:color="000000"/>
            </w:tcBorders>
            <w:vAlign w:val="center"/>
          </w:tcPr>
          <w:p w:rsidR="0003194E" w:rsidRDefault="0003194E">
            <w:pPr>
              <w:jc w:val="center"/>
              <w:rPr>
                <w:sz w:val="18"/>
                <w:szCs w:val="18"/>
              </w:rPr>
            </w:pPr>
          </w:p>
        </w:tc>
        <w:tc>
          <w:tcPr>
            <w:tcW w:w="3339"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spacing w:line="240" w:lineRule="atLeast"/>
              <w:jc w:val="center"/>
              <w:rPr>
                <w:sz w:val="18"/>
                <w:szCs w:val="18"/>
              </w:rPr>
            </w:pPr>
            <w:r>
              <w:rPr>
                <w:sz w:val="16"/>
                <w:szCs w:val="16"/>
              </w:rPr>
              <w:t>完成全年任务</w:t>
            </w:r>
            <w:r>
              <w:rPr>
                <w:sz w:val="16"/>
                <w:szCs w:val="16"/>
              </w:rPr>
              <w:t>;</w:t>
            </w:r>
            <w:r>
              <w:rPr>
                <w:sz w:val="16"/>
                <w:szCs w:val="16"/>
              </w:rPr>
              <w:t>促进经济发展、增加农民收入，强化公共服务、着力改善民生，加强社会管理</w:t>
            </w:r>
            <w:r>
              <w:rPr>
                <w:rFonts w:hint="eastAsia"/>
                <w:sz w:val="16"/>
                <w:szCs w:val="16"/>
              </w:rPr>
              <w:t>，</w:t>
            </w:r>
            <w:r>
              <w:rPr>
                <w:sz w:val="16"/>
                <w:szCs w:val="16"/>
              </w:rPr>
              <w:t>推进基层民主</w:t>
            </w:r>
            <w:r>
              <w:rPr>
                <w:sz w:val="16"/>
                <w:szCs w:val="16"/>
              </w:rPr>
              <w:t>;</w:t>
            </w:r>
            <w:r>
              <w:rPr>
                <w:sz w:val="16"/>
                <w:szCs w:val="16"/>
              </w:rPr>
              <w:t>完成农林水职能职责</w:t>
            </w:r>
            <w:r>
              <w:rPr>
                <w:sz w:val="16"/>
                <w:szCs w:val="16"/>
              </w:rPr>
              <w:t>;</w:t>
            </w:r>
            <w:r>
              <w:rPr>
                <w:sz w:val="16"/>
                <w:szCs w:val="16"/>
              </w:rPr>
              <w:t>完成文化、宣传、科技、旅游等方面工作</w:t>
            </w:r>
            <w:r>
              <w:rPr>
                <w:sz w:val="16"/>
                <w:szCs w:val="16"/>
              </w:rPr>
              <w:t>;</w:t>
            </w:r>
            <w:r>
              <w:rPr>
                <w:sz w:val="16"/>
                <w:szCs w:val="16"/>
              </w:rPr>
              <w:t>完成劳动和社会保障</w:t>
            </w:r>
            <w:r>
              <w:rPr>
                <w:rFonts w:hint="eastAsia"/>
                <w:sz w:val="16"/>
                <w:szCs w:val="16"/>
              </w:rPr>
              <w:t>，</w:t>
            </w:r>
            <w:r>
              <w:rPr>
                <w:sz w:val="16"/>
                <w:szCs w:val="16"/>
              </w:rPr>
              <w:t>就业服务管理；完成辖区规划建设、环境保护等工作</w:t>
            </w:r>
            <w:r>
              <w:rPr>
                <w:sz w:val="16"/>
                <w:szCs w:val="16"/>
              </w:rPr>
              <w:t>;</w:t>
            </w:r>
            <w:r>
              <w:rPr>
                <w:sz w:val="16"/>
                <w:szCs w:val="16"/>
              </w:rPr>
              <w:t>完成退役军人的关系转接、完成行政执法权；负责道路交通安全监管和交通建设工作</w:t>
            </w:r>
            <w:r>
              <w:rPr>
                <w:sz w:val="16"/>
                <w:szCs w:val="16"/>
              </w:rPr>
              <w:t>;</w:t>
            </w:r>
            <w:r>
              <w:rPr>
                <w:sz w:val="16"/>
                <w:szCs w:val="16"/>
              </w:rPr>
              <w:t>完成纪检、宣传、统战、法制、武装等</w:t>
            </w:r>
            <w:r>
              <w:rPr>
                <w:sz w:val="16"/>
                <w:szCs w:val="16"/>
              </w:rPr>
              <w:t>;</w:t>
            </w:r>
            <w:r>
              <w:rPr>
                <w:sz w:val="16"/>
                <w:szCs w:val="16"/>
              </w:rPr>
              <w:t>完成党的建设、组织、编制、人事、群团、考核、老干部工作等</w:t>
            </w:r>
            <w:r>
              <w:rPr>
                <w:sz w:val="16"/>
                <w:szCs w:val="16"/>
              </w:rPr>
              <w:t>;</w:t>
            </w:r>
            <w:r>
              <w:rPr>
                <w:sz w:val="16"/>
                <w:szCs w:val="16"/>
              </w:rPr>
              <w:t>技能培训的指导管理，</w:t>
            </w:r>
            <w:r>
              <w:rPr>
                <w:sz w:val="16"/>
                <w:szCs w:val="16"/>
              </w:rPr>
              <w:t>;</w:t>
            </w:r>
            <w:r>
              <w:rPr>
                <w:sz w:val="16"/>
                <w:szCs w:val="16"/>
              </w:rPr>
              <w:t>完成村镇规划、环境保护、国土等工作</w:t>
            </w:r>
            <w:r>
              <w:rPr>
                <w:sz w:val="16"/>
                <w:szCs w:val="16"/>
              </w:rPr>
              <w:t>;</w:t>
            </w:r>
            <w:r>
              <w:rPr>
                <w:sz w:val="16"/>
                <w:szCs w:val="16"/>
              </w:rPr>
              <w:t>完成财政收支、预决算、总会计、完成应急管理、安全生产综合监管和综合防灾减灾救灾</w:t>
            </w:r>
            <w:r>
              <w:rPr>
                <w:rFonts w:hint="eastAsia"/>
                <w:sz w:val="16"/>
                <w:szCs w:val="16"/>
              </w:rPr>
              <w:t>，</w:t>
            </w:r>
            <w:r>
              <w:rPr>
                <w:sz w:val="16"/>
                <w:szCs w:val="16"/>
              </w:rPr>
              <w:t>安全生产日常工作</w:t>
            </w:r>
            <w:r>
              <w:rPr>
                <w:sz w:val="16"/>
                <w:szCs w:val="16"/>
              </w:rPr>
              <w:t>;</w:t>
            </w:r>
            <w:r>
              <w:rPr>
                <w:sz w:val="16"/>
                <w:szCs w:val="16"/>
              </w:rPr>
              <w:t>负责承办人大工作方面具体事务</w:t>
            </w:r>
            <w:r>
              <w:rPr>
                <w:sz w:val="16"/>
                <w:szCs w:val="16"/>
              </w:rPr>
              <w:t>;</w:t>
            </w: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jc w:val="center"/>
              <w:rPr>
                <w:sz w:val="18"/>
                <w:szCs w:val="18"/>
              </w:rPr>
            </w:pPr>
          </w:p>
        </w:tc>
        <w:tc>
          <w:tcPr>
            <w:tcW w:w="3816" w:type="dxa"/>
            <w:gridSpan w:val="6"/>
            <w:tcBorders>
              <w:top w:val="single" w:sz="4" w:space="0" w:color="000000"/>
              <w:left w:val="single" w:sz="4" w:space="0" w:color="000000"/>
              <w:bottom w:val="single" w:sz="4" w:space="0" w:color="000000"/>
              <w:right w:val="single" w:sz="4" w:space="0" w:color="000000"/>
            </w:tcBorders>
            <w:vAlign w:val="center"/>
          </w:tcPr>
          <w:p w:rsidR="0003194E" w:rsidRDefault="00B32C91">
            <w:pPr>
              <w:spacing w:line="240" w:lineRule="auto"/>
              <w:rPr>
                <w:sz w:val="18"/>
                <w:szCs w:val="18"/>
              </w:rPr>
            </w:pPr>
            <w:r>
              <w:rPr>
                <w:sz w:val="16"/>
                <w:szCs w:val="16"/>
              </w:rPr>
              <w:t>完成全年任务</w:t>
            </w:r>
            <w:r>
              <w:rPr>
                <w:sz w:val="16"/>
                <w:szCs w:val="16"/>
              </w:rPr>
              <w:t>;</w:t>
            </w:r>
            <w:r>
              <w:rPr>
                <w:sz w:val="16"/>
                <w:szCs w:val="16"/>
              </w:rPr>
              <w:t>促进经济发展、增加农民收入，强化公共服务、着力改善民生，加强社会管理</w:t>
            </w:r>
            <w:r>
              <w:rPr>
                <w:rFonts w:hint="eastAsia"/>
                <w:sz w:val="16"/>
                <w:szCs w:val="16"/>
              </w:rPr>
              <w:t>，</w:t>
            </w:r>
            <w:r>
              <w:rPr>
                <w:sz w:val="16"/>
                <w:szCs w:val="16"/>
              </w:rPr>
              <w:t>推进基层民主</w:t>
            </w:r>
            <w:r>
              <w:rPr>
                <w:sz w:val="16"/>
                <w:szCs w:val="16"/>
              </w:rPr>
              <w:t>;</w:t>
            </w:r>
            <w:r>
              <w:rPr>
                <w:sz w:val="16"/>
                <w:szCs w:val="16"/>
              </w:rPr>
              <w:t>完成农</w:t>
            </w:r>
            <w:r>
              <w:rPr>
                <w:sz w:val="16"/>
                <w:szCs w:val="16"/>
              </w:rPr>
              <w:t>林水职能职责</w:t>
            </w:r>
            <w:r>
              <w:rPr>
                <w:sz w:val="16"/>
                <w:szCs w:val="16"/>
              </w:rPr>
              <w:t>;</w:t>
            </w:r>
            <w:r>
              <w:rPr>
                <w:sz w:val="16"/>
                <w:szCs w:val="16"/>
              </w:rPr>
              <w:t>完成文化、宣传、科技、旅游等方面工作</w:t>
            </w:r>
            <w:r>
              <w:rPr>
                <w:sz w:val="16"/>
                <w:szCs w:val="16"/>
              </w:rPr>
              <w:t>;</w:t>
            </w:r>
            <w:r>
              <w:rPr>
                <w:sz w:val="16"/>
                <w:szCs w:val="16"/>
              </w:rPr>
              <w:t>完成劳动和社会保障</w:t>
            </w:r>
            <w:r>
              <w:rPr>
                <w:rFonts w:hint="eastAsia"/>
                <w:sz w:val="16"/>
                <w:szCs w:val="16"/>
              </w:rPr>
              <w:t>，</w:t>
            </w:r>
            <w:r>
              <w:rPr>
                <w:sz w:val="16"/>
                <w:szCs w:val="16"/>
              </w:rPr>
              <w:t>就业服务管理；完成辖区规划建设、环境保护等工作</w:t>
            </w:r>
            <w:r>
              <w:rPr>
                <w:sz w:val="16"/>
                <w:szCs w:val="16"/>
              </w:rPr>
              <w:t>;</w:t>
            </w:r>
            <w:r>
              <w:rPr>
                <w:sz w:val="16"/>
                <w:szCs w:val="16"/>
              </w:rPr>
              <w:t>完成退役军人的关系转接、联络接待、完成行政执法权；负责道路交通安全监管和交通建设工作</w:t>
            </w:r>
            <w:r>
              <w:rPr>
                <w:sz w:val="16"/>
                <w:szCs w:val="16"/>
              </w:rPr>
              <w:t>;</w:t>
            </w:r>
            <w:r>
              <w:rPr>
                <w:sz w:val="16"/>
                <w:szCs w:val="16"/>
              </w:rPr>
              <w:t>完成纪检、宣传、统战、法制、武装、等</w:t>
            </w:r>
            <w:r>
              <w:rPr>
                <w:sz w:val="16"/>
                <w:szCs w:val="16"/>
              </w:rPr>
              <w:t>;</w:t>
            </w:r>
            <w:r>
              <w:rPr>
                <w:sz w:val="16"/>
                <w:szCs w:val="16"/>
              </w:rPr>
              <w:t>完成党的建设、组织、编制、人事、群团、考核、老干部工作等</w:t>
            </w:r>
            <w:r>
              <w:rPr>
                <w:sz w:val="16"/>
                <w:szCs w:val="16"/>
              </w:rPr>
              <w:t>;</w:t>
            </w:r>
            <w:r>
              <w:rPr>
                <w:sz w:val="16"/>
                <w:szCs w:val="16"/>
              </w:rPr>
              <w:t>技能培训的指导管理，</w:t>
            </w:r>
            <w:r>
              <w:rPr>
                <w:sz w:val="16"/>
                <w:szCs w:val="16"/>
              </w:rPr>
              <w:t>;</w:t>
            </w:r>
            <w:r>
              <w:rPr>
                <w:sz w:val="16"/>
                <w:szCs w:val="16"/>
              </w:rPr>
              <w:t>完成村镇规划、环境保护、国土等工作</w:t>
            </w:r>
            <w:r>
              <w:rPr>
                <w:sz w:val="16"/>
                <w:szCs w:val="16"/>
              </w:rPr>
              <w:t>;</w:t>
            </w:r>
            <w:r>
              <w:rPr>
                <w:sz w:val="16"/>
                <w:szCs w:val="16"/>
              </w:rPr>
              <w:t>完成财政收支、预决算、总会计、完成应急管理、安全生产综合监管和综合防灾减灾救灾</w:t>
            </w:r>
            <w:r>
              <w:rPr>
                <w:rFonts w:hint="eastAsia"/>
                <w:sz w:val="16"/>
                <w:szCs w:val="16"/>
              </w:rPr>
              <w:t>，</w:t>
            </w:r>
            <w:r>
              <w:rPr>
                <w:sz w:val="16"/>
                <w:szCs w:val="16"/>
              </w:rPr>
              <w:t>安全生产日常工作</w:t>
            </w:r>
            <w:r>
              <w:rPr>
                <w:sz w:val="16"/>
                <w:szCs w:val="16"/>
              </w:rPr>
              <w:t>;</w:t>
            </w:r>
            <w:r>
              <w:rPr>
                <w:sz w:val="16"/>
                <w:szCs w:val="16"/>
              </w:rPr>
              <w:t>负责承办人大工作方面具体事务</w:t>
            </w:r>
            <w:r>
              <w:rPr>
                <w:sz w:val="16"/>
                <w:szCs w:val="16"/>
              </w:rPr>
              <w:t>;</w:t>
            </w:r>
          </w:p>
        </w:tc>
      </w:tr>
      <w:tr w:rsidR="0003194E">
        <w:trPr>
          <w:trHeight w:val="652"/>
        </w:trPr>
        <w:tc>
          <w:tcPr>
            <w:tcW w:w="64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B32C91">
            <w:pPr>
              <w:widowControl/>
              <w:jc w:val="center"/>
              <w:textAlignment w:val="center"/>
              <w:rPr>
                <w:sz w:val="18"/>
                <w:szCs w:val="18"/>
              </w:rPr>
            </w:pPr>
            <w:r>
              <w:rPr>
                <w:kern w:val="0"/>
                <w:sz w:val="18"/>
                <w:szCs w:val="18"/>
                <w:lang/>
              </w:rPr>
              <w:t>绩效指标</w:t>
            </w: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指标名称</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计量</w:t>
            </w:r>
            <w:r>
              <w:rPr>
                <w:kern w:val="0"/>
                <w:sz w:val="18"/>
                <w:szCs w:val="18"/>
                <w:lang/>
              </w:rPr>
              <w:br/>
            </w:r>
            <w:r>
              <w:rPr>
                <w:kern w:val="0"/>
                <w:sz w:val="18"/>
                <w:szCs w:val="18"/>
                <w:lang/>
              </w:rPr>
              <w:t>单位</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指标</w:t>
            </w:r>
            <w:r>
              <w:rPr>
                <w:kern w:val="0"/>
                <w:sz w:val="18"/>
                <w:szCs w:val="18"/>
                <w:lang/>
              </w:rPr>
              <w:br/>
            </w:r>
            <w:r>
              <w:rPr>
                <w:kern w:val="0"/>
                <w:sz w:val="18"/>
                <w:szCs w:val="18"/>
                <w:lang/>
              </w:rPr>
              <w:t>性质</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指标值</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指标权重</w:t>
            </w:r>
            <w:r>
              <w:rPr>
                <w:kern w:val="0"/>
                <w:sz w:val="18"/>
                <w:szCs w:val="18"/>
                <w:lang/>
              </w:rPr>
              <w:br/>
            </w:r>
            <w:r>
              <w:rPr>
                <w:kern w:val="0"/>
                <w:sz w:val="18"/>
                <w:szCs w:val="18"/>
                <w:lang/>
              </w:rPr>
              <w:t>（分）</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全年</w:t>
            </w:r>
            <w:r>
              <w:rPr>
                <w:kern w:val="0"/>
                <w:sz w:val="18"/>
                <w:szCs w:val="18"/>
                <w:lang/>
              </w:rPr>
              <w:br/>
            </w:r>
            <w:r>
              <w:rPr>
                <w:kern w:val="0"/>
                <w:sz w:val="18"/>
                <w:szCs w:val="18"/>
                <w:lang/>
              </w:rPr>
              <w:t>完成值</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指标得分</w:t>
            </w:r>
            <w:r>
              <w:rPr>
                <w:kern w:val="0"/>
                <w:sz w:val="18"/>
                <w:szCs w:val="18"/>
                <w:lang/>
              </w:rPr>
              <w:br/>
            </w:r>
            <w:r>
              <w:rPr>
                <w:kern w:val="0"/>
                <w:sz w:val="18"/>
                <w:szCs w:val="18"/>
                <w:lang/>
              </w:rPr>
              <w:t>（分）</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kern w:val="0"/>
                <w:sz w:val="18"/>
                <w:szCs w:val="18"/>
                <w:lang/>
              </w:rPr>
              <w:t>说明</w:t>
            </w:r>
          </w:p>
        </w:tc>
      </w:tr>
      <w:tr w:rsidR="0003194E">
        <w:trPr>
          <w:trHeight w:val="604"/>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年度预算执行率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 xml:space="preserve">100 </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10</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 xml:space="preserve"> 100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jc w:val="center"/>
              <w:rPr>
                <w:rFonts w:ascii="宋体" w:eastAsia="宋体" w:hAnsi="宋体" w:cs="宋体"/>
                <w:color w:val="000000"/>
                <w:kern w:val="0"/>
                <w:sz w:val="22"/>
                <w:lang/>
              </w:rPr>
            </w:pPr>
            <w:r>
              <w:rPr>
                <w:rFonts w:hint="eastAsia"/>
                <w:sz w:val="18"/>
                <w:szCs w:val="18"/>
              </w:rPr>
              <w:t>10</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04"/>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日均收运垃圾</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吨</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15</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15</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29"/>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维修养护安全饮水，渠塘数量</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座（处）</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15</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15</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29"/>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文化，旅游，法治等宣传次数</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次</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29"/>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新建，硬化农村公路</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公里</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29"/>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整治山坪塘数量</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座（处）</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29"/>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当年征兵入伍人数</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人</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vMerge/>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困难群众临时救助人次</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人</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次</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20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20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招商引资，个体工商户数量</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家</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加强党风廉政建设，杜绝违纪违法行为</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定性</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良</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8</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8</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贫困人口发生率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义务教育适龄儿童入学率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100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镇乡容貌环境整治等评比排名前十次数</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次</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2</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2</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区委区政府决策重点事项按时完成率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优抚对象，低保，特困，退耕还林等补助资金到人到户发放及时率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95</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95</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公务用车年均运行维修费用</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万元</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机关食堂日均运行费用</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元</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3000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3000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3</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建卡贫困户年人均纯收入</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元</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6000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7</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6000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7</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完成全年税收收入</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万元</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500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8</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500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8</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全年安全生产，道路交通事故发生有效改善</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18"/>
                <w:szCs w:val="18"/>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定性</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有效改善</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1</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天然保护覆盖率</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4</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r w:rsidR="0003194E">
        <w:trPr>
          <w:trHeight w:val="638"/>
        </w:trPr>
        <w:tc>
          <w:tcPr>
            <w:tcW w:w="642" w:type="dxa"/>
            <w:tcBorders>
              <w:top w:val="single" w:sz="4" w:space="0" w:color="000000"/>
              <w:left w:val="single" w:sz="4" w:space="0" w:color="000000"/>
              <w:bottom w:val="single" w:sz="4" w:space="0" w:color="000000"/>
              <w:right w:val="single" w:sz="4" w:space="0" w:color="000000"/>
            </w:tcBorders>
            <w:textDirection w:val="tbRlV"/>
            <w:vAlign w:val="center"/>
          </w:tcPr>
          <w:p w:rsidR="0003194E" w:rsidRDefault="0003194E">
            <w:pPr>
              <w:jc w:val="center"/>
              <w:rPr>
                <w:sz w:val="18"/>
                <w:szCs w:val="18"/>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180"/>
              <w:jc w:val="center"/>
              <w:textAlignment w:val="center"/>
              <w:rPr>
                <w:sz w:val="13"/>
                <w:szCs w:val="13"/>
              </w:rPr>
            </w:pPr>
            <w:r>
              <w:rPr>
                <w:rFonts w:ascii="宋体" w:eastAsia="宋体" w:hAnsi="宋体" w:cs="宋体" w:hint="eastAsia"/>
                <w:color w:val="000000"/>
                <w:kern w:val="0"/>
                <w:sz w:val="18"/>
                <w:szCs w:val="18"/>
                <w:lang/>
              </w:rPr>
              <w:t>辖区群众对政府工作满意度</w:t>
            </w:r>
          </w:p>
        </w:tc>
        <w:tc>
          <w:tcPr>
            <w:tcW w:w="1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7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ind w:firstLineChars="100" w:firstLine="220"/>
              <w:jc w:val="center"/>
              <w:textAlignment w:val="center"/>
              <w:rPr>
                <w:sz w:val="18"/>
                <w:szCs w:val="18"/>
              </w:rPr>
            </w:pPr>
            <w:r>
              <w:rPr>
                <w:rFonts w:ascii="宋体" w:eastAsia="宋体" w:hAnsi="宋体" w:cs="宋体" w:hint="eastAsia"/>
                <w:color w:val="000000"/>
                <w:kern w:val="0"/>
                <w:sz w:val="22"/>
                <w:lang/>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841"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90</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spacing w:line="240" w:lineRule="auto"/>
              <w:jc w:val="center"/>
              <w:textAlignment w:val="center"/>
              <w:rPr>
                <w:sz w:val="18"/>
                <w:szCs w:val="18"/>
              </w:rPr>
            </w:pPr>
            <w:r>
              <w:rPr>
                <w:rFonts w:ascii="宋体" w:eastAsia="宋体" w:hAnsi="宋体" w:cs="宋体" w:hint="eastAsia"/>
                <w:color w:val="000000"/>
                <w:kern w:val="0"/>
                <w:sz w:val="22"/>
                <w:lang/>
              </w:rPr>
              <w:t>5</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03194E" w:rsidRDefault="0003194E">
            <w:pPr>
              <w:spacing w:line="240" w:lineRule="auto"/>
              <w:jc w:val="center"/>
              <w:rPr>
                <w:sz w:val="20"/>
                <w:szCs w:val="20"/>
              </w:rPr>
            </w:pPr>
          </w:p>
        </w:tc>
      </w:tr>
    </w:tbl>
    <w:p w:rsidR="0003194E" w:rsidRDefault="0003194E">
      <w:pPr>
        <w:pStyle w:val="a9"/>
        <w:tabs>
          <w:tab w:val="center" w:pos="4153"/>
          <w:tab w:val="left" w:pos="7275"/>
        </w:tabs>
        <w:spacing w:line="600" w:lineRule="exact"/>
        <w:ind w:firstLineChars="0" w:firstLine="0"/>
        <w:rPr>
          <w:rFonts w:cs="仿宋_GB2312"/>
          <w:sz w:val="30"/>
          <w:szCs w:val="30"/>
        </w:rPr>
      </w:pPr>
    </w:p>
    <w:tbl>
      <w:tblPr>
        <w:tblW w:w="8547" w:type="dxa"/>
        <w:jc w:val="center"/>
        <w:tblLayout w:type="fixed"/>
        <w:tblLook w:val="04A0"/>
      </w:tblPr>
      <w:tblGrid>
        <w:gridCol w:w="509"/>
        <w:gridCol w:w="1198"/>
        <w:gridCol w:w="1186"/>
        <w:gridCol w:w="404"/>
        <w:gridCol w:w="780"/>
        <w:gridCol w:w="615"/>
        <w:gridCol w:w="765"/>
        <w:gridCol w:w="765"/>
        <w:gridCol w:w="945"/>
        <w:gridCol w:w="585"/>
        <w:gridCol w:w="795"/>
      </w:tblGrid>
      <w:tr w:rsidR="0003194E">
        <w:trPr>
          <w:trHeight w:val="780"/>
          <w:jc w:val="center"/>
        </w:trPr>
        <w:tc>
          <w:tcPr>
            <w:tcW w:w="8547" w:type="dxa"/>
            <w:gridSpan w:val="11"/>
            <w:tcBorders>
              <w:top w:val="nil"/>
              <w:left w:val="nil"/>
              <w:bottom w:val="single" w:sz="4" w:space="0" w:color="000000"/>
              <w:right w:val="nil"/>
            </w:tcBorders>
            <w:noWrap/>
            <w:vAlign w:val="center"/>
          </w:tcPr>
          <w:p w:rsidR="0003194E" w:rsidRDefault="00B32C91">
            <w:pPr>
              <w:widowControl/>
              <w:jc w:val="center"/>
              <w:textAlignment w:val="center"/>
              <w:rPr>
                <w:rFonts w:eastAsia="方正小标宋_GBK"/>
                <w:sz w:val="36"/>
                <w:szCs w:val="36"/>
              </w:rPr>
            </w:pPr>
            <w:r>
              <w:rPr>
                <w:rFonts w:ascii="方正小标宋_GBK" w:eastAsia="方正小标宋_GBK" w:hAnsi="方正小标宋_GBK" w:cs="方正小标宋_GBK"/>
                <w:kern w:val="0"/>
                <w:sz w:val="44"/>
                <w:szCs w:val="44"/>
                <w:lang/>
              </w:rPr>
              <w:t>2022</w:t>
            </w:r>
            <w:r>
              <w:rPr>
                <w:rFonts w:ascii="方正小标宋_GBK" w:eastAsia="方正小标宋_GBK" w:hAnsi="方正小标宋_GBK" w:cs="方正小标宋_GBK"/>
                <w:kern w:val="0"/>
                <w:sz w:val="44"/>
                <w:szCs w:val="44"/>
                <w:lang/>
              </w:rPr>
              <w:t>年度</w:t>
            </w:r>
            <w:r>
              <w:rPr>
                <w:rFonts w:ascii="方正小标宋_GBK" w:eastAsia="方正小标宋_GBK" w:hAnsi="方正小标宋_GBK" w:cs="方正小标宋_GBK"/>
                <w:kern w:val="0"/>
                <w:sz w:val="44"/>
                <w:szCs w:val="44"/>
                <w:lang/>
              </w:rPr>
              <w:t>一般性</w:t>
            </w:r>
            <w:r>
              <w:rPr>
                <w:rFonts w:ascii="方正小标宋_GBK" w:eastAsia="方正小标宋_GBK" w:hAnsi="方正小标宋_GBK" w:cs="方正小标宋_GBK"/>
                <w:kern w:val="0"/>
                <w:sz w:val="44"/>
                <w:szCs w:val="44"/>
                <w:lang/>
              </w:rPr>
              <w:t>项目支出绩效自评表</w:t>
            </w:r>
          </w:p>
        </w:tc>
      </w:tr>
      <w:tr w:rsidR="0003194E">
        <w:trPr>
          <w:trHeight w:val="2035"/>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序号</w:t>
            </w:r>
          </w:p>
        </w:tc>
        <w:tc>
          <w:tcPr>
            <w:tcW w:w="1198"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项目名称</w:t>
            </w:r>
          </w:p>
        </w:tc>
        <w:tc>
          <w:tcPr>
            <w:tcW w:w="1186"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指标名称</w:t>
            </w:r>
          </w:p>
        </w:tc>
        <w:tc>
          <w:tcPr>
            <w:tcW w:w="404"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指标性质</w:t>
            </w:r>
          </w:p>
        </w:tc>
        <w:tc>
          <w:tcPr>
            <w:tcW w:w="780"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指标值</w:t>
            </w:r>
          </w:p>
        </w:tc>
        <w:tc>
          <w:tcPr>
            <w:tcW w:w="61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计量单位</w:t>
            </w:r>
          </w:p>
        </w:tc>
        <w:tc>
          <w:tcPr>
            <w:tcW w:w="76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指标权重</w:t>
            </w:r>
          </w:p>
        </w:tc>
        <w:tc>
          <w:tcPr>
            <w:tcW w:w="76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全年完成值</w:t>
            </w:r>
          </w:p>
        </w:tc>
        <w:tc>
          <w:tcPr>
            <w:tcW w:w="94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指标得分</w:t>
            </w:r>
          </w:p>
        </w:tc>
        <w:tc>
          <w:tcPr>
            <w:tcW w:w="58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说明</w:t>
            </w:r>
          </w:p>
        </w:tc>
        <w:tc>
          <w:tcPr>
            <w:tcW w:w="795" w:type="dxa"/>
            <w:tcBorders>
              <w:top w:val="single" w:sz="4" w:space="0" w:color="000000"/>
              <w:left w:val="single" w:sz="4" w:space="0" w:color="000000"/>
              <w:bottom w:val="single" w:sz="4" w:space="0" w:color="000000"/>
              <w:right w:val="single" w:sz="4" w:space="0" w:color="000000"/>
            </w:tcBorders>
            <w:vAlign w:val="center"/>
          </w:tcPr>
          <w:p w:rsidR="0003194E" w:rsidRDefault="00B32C91">
            <w:pPr>
              <w:widowControl/>
              <w:jc w:val="center"/>
              <w:textAlignment w:val="center"/>
              <w:rPr>
                <w:rFonts w:eastAsia="方正黑体_GBK"/>
                <w:sz w:val="22"/>
              </w:rPr>
            </w:pPr>
            <w:r>
              <w:rPr>
                <w:rFonts w:eastAsia="方正黑体_GBK"/>
                <w:kern w:val="0"/>
                <w:sz w:val="22"/>
                <w:lang/>
              </w:rPr>
              <w:t>自评得分</w:t>
            </w:r>
          </w:p>
        </w:tc>
      </w:tr>
      <w:tr w:rsidR="0003194E">
        <w:trPr>
          <w:trHeight w:val="645"/>
          <w:jc w:val="center"/>
        </w:trPr>
        <w:tc>
          <w:tcPr>
            <w:tcW w:w="509" w:type="dxa"/>
            <w:tcBorders>
              <w:left w:val="single" w:sz="4" w:space="0" w:color="000000"/>
              <w:right w:val="single" w:sz="4" w:space="0" w:color="000000"/>
            </w:tcBorders>
            <w:noWrap/>
            <w:vAlign w:val="center"/>
          </w:tcPr>
          <w:p w:rsidR="0003194E" w:rsidRDefault="0003194E">
            <w:pPr>
              <w:jc w:val="center"/>
              <w:textAlignment w:val="center"/>
              <w:rPr>
                <w:sz w:val="22"/>
              </w:rPr>
            </w:pPr>
          </w:p>
        </w:tc>
        <w:tc>
          <w:tcPr>
            <w:tcW w:w="1198" w:type="dxa"/>
            <w:vMerge w:val="restart"/>
            <w:tcBorders>
              <w:top w:val="single" w:sz="4" w:space="0" w:color="000000"/>
              <w:left w:val="single" w:sz="4" w:space="0" w:color="000000"/>
              <w:right w:val="single" w:sz="4" w:space="0" w:color="000000"/>
            </w:tcBorders>
            <w:noWrap/>
            <w:vAlign w:val="center"/>
          </w:tcPr>
          <w:p w:rsidR="0003194E" w:rsidRDefault="00B32C91">
            <w:pPr>
              <w:spacing w:line="240" w:lineRule="atLeast"/>
              <w:jc w:val="center"/>
              <w:rPr>
                <w:sz w:val="21"/>
                <w:szCs w:val="21"/>
              </w:rPr>
            </w:pPr>
            <w:r>
              <w:rPr>
                <w:sz w:val="20"/>
                <w:szCs w:val="20"/>
              </w:rPr>
              <w:t>残疾人基本服务状况和需求动态调查</w:t>
            </w: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spacing w:line="240" w:lineRule="auto"/>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年度预算执行率</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ascii="宋体" w:eastAsia="宋体" w:hAnsi="宋体" w:cs="宋体" w:hint="eastAsia"/>
                <w:sz w:val="22"/>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eastAsia="宋体"/>
                <w:sz w:val="22"/>
              </w:rPr>
              <w:t>100</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eastAsia="宋体"/>
                <w:sz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eastAsia="宋体"/>
                <w:sz w:val="22"/>
              </w:rPr>
              <w:t>10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eastAsia="宋体"/>
                <w:sz w:val="22"/>
              </w:rPr>
              <w:t>100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1"/>
                <w:szCs w:val="21"/>
                <w:lang/>
              </w:rPr>
            </w:pPr>
            <w:r>
              <w:rPr>
                <w:rFonts w:eastAsia="宋体"/>
                <w:sz w:val="22"/>
              </w:rPr>
              <w:t>10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val="restart"/>
            <w:tcBorders>
              <w:top w:val="single" w:sz="4" w:space="0" w:color="000000"/>
              <w:left w:val="single" w:sz="4" w:space="0" w:color="000000"/>
              <w:right w:val="single" w:sz="4" w:space="0" w:color="000000"/>
            </w:tcBorders>
            <w:noWrap/>
            <w:vAlign w:val="center"/>
          </w:tcPr>
          <w:p w:rsidR="0003194E" w:rsidRDefault="00B32C91">
            <w:pPr>
              <w:jc w:val="center"/>
              <w:rPr>
                <w:sz w:val="22"/>
              </w:rPr>
            </w:pPr>
            <w:r>
              <w:rPr>
                <w:rFonts w:hint="eastAsia"/>
                <w:sz w:val="22"/>
              </w:rPr>
              <w:t>97.89</w:t>
            </w:r>
          </w:p>
        </w:tc>
      </w:tr>
      <w:tr w:rsidR="0003194E">
        <w:trPr>
          <w:trHeight w:val="432"/>
          <w:jc w:val="center"/>
        </w:trPr>
        <w:tc>
          <w:tcPr>
            <w:tcW w:w="509" w:type="dxa"/>
            <w:vMerge w:val="restart"/>
            <w:tcBorders>
              <w:left w:val="single" w:sz="4" w:space="0" w:color="000000"/>
              <w:right w:val="single" w:sz="4" w:space="0" w:color="000000"/>
            </w:tcBorders>
            <w:noWrap/>
            <w:vAlign w:val="center"/>
          </w:tcPr>
          <w:p w:rsidR="0003194E" w:rsidRDefault="00B32C91">
            <w:pPr>
              <w:jc w:val="center"/>
              <w:textAlignment w:val="center"/>
              <w:rPr>
                <w:sz w:val="22"/>
              </w:rPr>
            </w:pPr>
            <w:r>
              <w:rPr>
                <w:rFonts w:hint="eastAsia"/>
                <w:sz w:val="22"/>
              </w:rPr>
              <w:t>1</w:t>
            </w:r>
          </w:p>
        </w:tc>
        <w:tc>
          <w:tcPr>
            <w:tcW w:w="1198" w:type="dxa"/>
            <w:vMerge/>
            <w:tcBorders>
              <w:left w:val="single" w:sz="4" w:space="0" w:color="000000"/>
              <w:right w:val="single" w:sz="4" w:space="0" w:color="000000"/>
            </w:tcBorders>
            <w:noWrap/>
            <w:vAlign w:val="center"/>
          </w:tcPr>
          <w:p w:rsidR="0003194E" w:rsidRDefault="0003194E">
            <w:pPr>
              <w:spacing w:line="240" w:lineRule="atLeast"/>
              <w:jc w:val="center"/>
              <w:rPr>
                <w:sz w:val="21"/>
                <w:szCs w:val="21"/>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调查比例</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85</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50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85</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50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tcBorders>
              <w:left w:val="single" w:sz="4" w:space="0" w:color="000000"/>
              <w:right w:val="single" w:sz="4" w:space="0" w:color="000000"/>
            </w:tcBorders>
            <w:noWrap/>
            <w:vAlign w:val="center"/>
          </w:tcPr>
          <w:p w:rsidR="0003194E" w:rsidRDefault="0003194E">
            <w:pPr>
              <w:jc w:val="center"/>
              <w:rPr>
                <w:sz w:val="22"/>
              </w:rPr>
            </w:pPr>
          </w:p>
        </w:tc>
      </w:tr>
      <w:tr w:rsidR="0003194E">
        <w:trPr>
          <w:trHeight w:val="432"/>
          <w:jc w:val="center"/>
        </w:trPr>
        <w:tc>
          <w:tcPr>
            <w:tcW w:w="509" w:type="dxa"/>
            <w:vMerge/>
            <w:tcBorders>
              <w:left w:val="single" w:sz="4" w:space="0" w:color="000000"/>
              <w:right w:val="single" w:sz="4" w:space="0" w:color="000000"/>
            </w:tcBorders>
            <w:noWrap/>
            <w:vAlign w:val="center"/>
          </w:tcPr>
          <w:p w:rsidR="0003194E" w:rsidRDefault="0003194E">
            <w:pPr>
              <w:jc w:val="center"/>
              <w:textAlignment w:val="center"/>
              <w:rPr>
                <w:sz w:val="22"/>
              </w:rPr>
            </w:pPr>
          </w:p>
        </w:tc>
        <w:tc>
          <w:tcPr>
            <w:tcW w:w="1198" w:type="dxa"/>
            <w:vMerge/>
            <w:tcBorders>
              <w:left w:val="single" w:sz="4" w:space="0" w:color="000000"/>
              <w:right w:val="single" w:sz="4" w:space="0" w:color="000000"/>
            </w:tcBorders>
            <w:noWrap/>
            <w:vAlign w:val="center"/>
          </w:tcPr>
          <w:p w:rsidR="0003194E" w:rsidRDefault="0003194E">
            <w:pPr>
              <w:spacing w:line="240" w:lineRule="auto"/>
              <w:jc w:val="center"/>
              <w:rPr>
                <w:sz w:val="21"/>
                <w:szCs w:val="21"/>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政策知晓率</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100</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30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100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30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tcBorders>
              <w:left w:val="single" w:sz="4" w:space="0" w:color="000000"/>
              <w:right w:val="single" w:sz="4" w:space="0" w:color="000000"/>
            </w:tcBorders>
            <w:noWrap/>
            <w:vAlign w:val="center"/>
          </w:tcPr>
          <w:p w:rsidR="0003194E" w:rsidRDefault="0003194E">
            <w:pPr>
              <w:jc w:val="center"/>
              <w:rPr>
                <w:sz w:val="22"/>
              </w:rPr>
            </w:pPr>
          </w:p>
        </w:tc>
      </w:tr>
      <w:tr w:rsidR="0003194E">
        <w:trPr>
          <w:trHeight w:val="485"/>
          <w:jc w:val="center"/>
        </w:trPr>
        <w:tc>
          <w:tcPr>
            <w:tcW w:w="509" w:type="dxa"/>
            <w:vMerge/>
            <w:tcBorders>
              <w:left w:val="single" w:sz="4" w:space="0" w:color="000000"/>
              <w:right w:val="single" w:sz="4" w:space="0" w:color="000000"/>
            </w:tcBorders>
            <w:noWrap/>
            <w:vAlign w:val="center"/>
          </w:tcPr>
          <w:p w:rsidR="0003194E" w:rsidRDefault="0003194E">
            <w:pPr>
              <w:jc w:val="center"/>
              <w:textAlignment w:val="center"/>
              <w:rPr>
                <w:sz w:val="22"/>
              </w:rPr>
            </w:pPr>
          </w:p>
        </w:tc>
        <w:tc>
          <w:tcPr>
            <w:tcW w:w="1198" w:type="dxa"/>
            <w:vMerge/>
            <w:tcBorders>
              <w:left w:val="single" w:sz="4" w:space="0" w:color="000000"/>
              <w:bottom w:val="single" w:sz="4" w:space="0" w:color="000000"/>
              <w:right w:val="single" w:sz="4" w:space="0" w:color="000000"/>
            </w:tcBorders>
            <w:noWrap/>
            <w:vAlign w:val="center"/>
          </w:tcPr>
          <w:p w:rsidR="0003194E" w:rsidRDefault="0003194E">
            <w:pPr>
              <w:spacing w:line="240" w:lineRule="auto"/>
              <w:jc w:val="center"/>
              <w:rPr>
                <w:sz w:val="21"/>
                <w:szCs w:val="21"/>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群众满意度</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95</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10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93</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sz w:val="21"/>
                <w:szCs w:val="21"/>
              </w:rPr>
            </w:pPr>
            <w:r>
              <w:rPr>
                <w:rFonts w:ascii="宋体" w:eastAsia="宋体" w:hAnsi="宋体" w:cs="宋体" w:hint="eastAsia"/>
                <w:color w:val="000000"/>
                <w:kern w:val="0"/>
                <w:sz w:val="21"/>
                <w:szCs w:val="21"/>
                <w:lang/>
              </w:rPr>
              <w:t>7.89</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tcBorders>
              <w:left w:val="single" w:sz="4" w:space="0" w:color="000000"/>
              <w:bottom w:val="single" w:sz="4" w:space="0" w:color="000000"/>
              <w:right w:val="single" w:sz="4" w:space="0" w:color="000000"/>
            </w:tcBorders>
            <w:noWrap/>
            <w:vAlign w:val="center"/>
          </w:tcPr>
          <w:p w:rsidR="0003194E" w:rsidRDefault="0003194E">
            <w:pPr>
              <w:jc w:val="center"/>
              <w:rPr>
                <w:sz w:val="22"/>
              </w:rPr>
            </w:pPr>
          </w:p>
        </w:tc>
      </w:tr>
      <w:tr w:rsidR="0003194E">
        <w:trPr>
          <w:trHeight w:val="432"/>
          <w:jc w:val="center"/>
        </w:trPr>
        <w:tc>
          <w:tcPr>
            <w:tcW w:w="509" w:type="dxa"/>
            <w:vMerge w:val="restart"/>
            <w:tcBorders>
              <w:top w:val="single" w:sz="4" w:space="0" w:color="000000"/>
              <w:left w:val="single" w:sz="4" w:space="0" w:color="000000"/>
              <w:right w:val="single" w:sz="4" w:space="0" w:color="000000"/>
            </w:tcBorders>
            <w:noWrap/>
            <w:vAlign w:val="center"/>
          </w:tcPr>
          <w:p w:rsidR="0003194E" w:rsidRDefault="00B32C91">
            <w:pPr>
              <w:jc w:val="center"/>
              <w:textAlignment w:val="center"/>
              <w:rPr>
                <w:sz w:val="22"/>
              </w:rPr>
            </w:pPr>
            <w:r>
              <w:rPr>
                <w:kern w:val="0"/>
                <w:sz w:val="22"/>
                <w:lang/>
              </w:rPr>
              <w:t>2</w:t>
            </w:r>
          </w:p>
        </w:tc>
        <w:tc>
          <w:tcPr>
            <w:tcW w:w="1198" w:type="dxa"/>
            <w:vMerge w:val="restart"/>
            <w:tcBorders>
              <w:top w:val="single" w:sz="4" w:space="0" w:color="000000"/>
              <w:left w:val="single" w:sz="4" w:space="0" w:color="000000"/>
              <w:right w:val="single" w:sz="4" w:space="0" w:color="000000"/>
            </w:tcBorders>
            <w:noWrap/>
            <w:vAlign w:val="center"/>
          </w:tcPr>
          <w:p w:rsidR="0003194E" w:rsidRDefault="00B32C91">
            <w:pPr>
              <w:spacing w:line="240" w:lineRule="auto"/>
              <w:jc w:val="left"/>
              <w:rPr>
                <w:sz w:val="20"/>
                <w:szCs w:val="20"/>
              </w:rPr>
            </w:pPr>
            <w:r>
              <w:rPr>
                <w:sz w:val="20"/>
                <w:szCs w:val="20"/>
              </w:rPr>
              <w:t>万州区余家镇</w:t>
            </w:r>
            <w:r>
              <w:rPr>
                <w:sz w:val="20"/>
                <w:szCs w:val="20"/>
              </w:rPr>
              <w:t>2022</w:t>
            </w:r>
            <w:r>
              <w:rPr>
                <w:sz w:val="20"/>
                <w:szCs w:val="20"/>
              </w:rPr>
              <w:t>年农村饮水工程运行管护经费</w:t>
            </w: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spacing w:line="240" w:lineRule="auto"/>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年度预算执行率</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ascii="宋体" w:eastAsia="宋体" w:hAnsi="宋体" w:cs="宋体" w:hint="eastAsia"/>
                <w:sz w:val="22"/>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eastAsia="宋体"/>
                <w:sz w:val="22"/>
              </w:rPr>
              <w:t>100</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eastAsia="宋体"/>
                <w:sz w:val="22"/>
              </w:rPr>
              <w:t>%</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eastAsia="宋体"/>
                <w:sz w:val="22"/>
              </w:rPr>
              <w:t>10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eastAsia="宋体"/>
                <w:sz w:val="22"/>
              </w:rPr>
              <w:t>100</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jc w:val="center"/>
              <w:rPr>
                <w:rFonts w:ascii="宋体" w:eastAsia="宋体" w:hAnsi="宋体" w:cs="宋体"/>
                <w:color w:val="000000"/>
                <w:kern w:val="0"/>
                <w:sz w:val="22"/>
                <w:lang/>
              </w:rPr>
            </w:pPr>
            <w:r>
              <w:rPr>
                <w:rFonts w:eastAsia="宋体"/>
                <w:sz w:val="22"/>
              </w:rPr>
              <w:t>10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val="restart"/>
            <w:tcBorders>
              <w:top w:val="single" w:sz="4" w:space="0" w:color="000000"/>
              <w:left w:val="single" w:sz="4" w:space="0" w:color="000000"/>
              <w:right w:val="single" w:sz="4" w:space="0" w:color="000000"/>
            </w:tcBorders>
            <w:noWrap/>
            <w:vAlign w:val="center"/>
          </w:tcPr>
          <w:p w:rsidR="0003194E" w:rsidRDefault="00B32C91">
            <w:pPr>
              <w:jc w:val="center"/>
              <w:rPr>
                <w:sz w:val="22"/>
              </w:rPr>
            </w:pPr>
            <w:r>
              <w:rPr>
                <w:rFonts w:hint="eastAsia"/>
                <w:sz w:val="22"/>
              </w:rPr>
              <w:t>97.89</w:t>
            </w:r>
          </w:p>
        </w:tc>
      </w:tr>
      <w:tr w:rsidR="0003194E">
        <w:trPr>
          <w:trHeight w:val="432"/>
          <w:jc w:val="center"/>
        </w:trPr>
        <w:tc>
          <w:tcPr>
            <w:tcW w:w="509" w:type="dxa"/>
            <w:vMerge/>
            <w:tcBorders>
              <w:left w:val="single" w:sz="4" w:space="0" w:color="000000"/>
              <w:right w:val="single" w:sz="4" w:space="0" w:color="000000"/>
            </w:tcBorders>
            <w:noWrap/>
            <w:vAlign w:val="center"/>
          </w:tcPr>
          <w:p w:rsidR="0003194E" w:rsidRDefault="0003194E">
            <w:pPr>
              <w:jc w:val="center"/>
              <w:textAlignment w:val="center"/>
              <w:rPr>
                <w:sz w:val="22"/>
              </w:rPr>
            </w:pPr>
          </w:p>
        </w:tc>
        <w:tc>
          <w:tcPr>
            <w:tcW w:w="1198" w:type="dxa"/>
            <w:vMerge/>
            <w:tcBorders>
              <w:left w:val="single" w:sz="4" w:space="0" w:color="000000"/>
              <w:right w:val="single" w:sz="4" w:space="0" w:color="000000"/>
            </w:tcBorders>
            <w:noWrap/>
            <w:vAlign w:val="center"/>
          </w:tcPr>
          <w:p w:rsidR="0003194E" w:rsidRDefault="0003194E">
            <w:pPr>
              <w:spacing w:line="240" w:lineRule="auto"/>
              <w:jc w:val="left"/>
              <w:rPr>
                <w:sz w:val="20"/>
                <w:szCs w:val="20"/>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维护农村饮水设施数量</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6</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个</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50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6</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50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tcBorders>
              <w:left w:val="single" w:sz="4" w:space="0" w:color="000000"/>
              <w:right w:val="single" w:sz="4" w:space="0" w:color="000000"/>
            </w:tcBorders>
            <w:noWrap/>
            <w:vAlign w:val="center"/>
          </w:tcPr>
          <w:p w:rsidR="0003194E" w:rsidRDefault="0003194E">
            <w:pPr>
              <w:jc w:val="center"/>
              <w:rPr>
                <w:sz w:val="22"/>
              </w:rPr>
            </w:pPr>
          </w:p>
        </w:tc>
      </w:tr>
      <w:tr w:rsidR="0003194E">
        <w:trPr>
          <w:trHeight w:val="440"/>
          <w:jc w:val="center"/>
        </w:trPr>
        <w:tc>
          <w:tcPr>
            <w:tcW w:w="509" w:type="dxa"/>
            <w:vMerge/>
            <w:tcBorders>
              <w:left w:val="single" w:sz="4" w:space="0" w:color="000000"/>
              <w:right w:val="single" w:sz="4" w:space="0" w:color="000000"/>
            </w:tcBorders>
            <w:noWrap/>
            <w:vAlign w:val="center"/>
          </w:tcPr>
          <w:p w:rsidR="0003194E" w:rsidRDefault="0003194E">
            <w:pPr>
              <w:jc w:val="center"/>
              <w:textAlignment w:val="center"/>
              <w:rPr>
                <w:sz w:val="22"/>
              </w:rPr>
            </w:pPr>
          </w:p>
        </w:tc>
        <w:tc>
          <w:tcPr>
            <w:tcW w:w="1198" w:type="dxa"/>
            <w:vMerge/>
            <w:tcBorders>
              <w:left w:val="single" w:sz="4" w:space="0" w:color="000000"/>
              <w:right w:val="single" w:sz="4" w:space="0" w:color="000000"/>
            </w:tcBorders>
            <w:noWrap/>
            <w:vAlign w:val="center"/>
          </w:tcPr>
          <w:p w:rsidR="0003194E" w:rsidRDefault="0003194E">
            <w:pPr>
              <w:spacing w:line="240" w:lineRule="atLeast"/>
              <w:jc w:val="center"/>
              <w:rPr>
                <w:sz w:val="20"/>
                <w:szCs w:val="20"/>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spacing w:line="240" w:lineRule="auto"/>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使用年限</w:t>
            </w:r>
          </w:p>
        </w:tc>
        <w:tc>
          <w:tcPr>
            <w:tcW w:w="404"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年</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30</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30</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03194E" w:rsidRDefault="0003194E">
            <w:pPr>
              <w:rPr>
                <w:sz w:val="22"/>
              </w:rPr>
            </w:pPr>
          </w:p>
        </w:tc>
        <w:tc>
          <w:tcPr>
            <w:tcW w:w="795" w:type="dxa"/>
            <w:vMerge/>
            <w:tcBorders>
              <w:left w:val="single" w:sz="4" w:space="0" w:color="000000"/>
              <w:right w:val="single" w:sz="4" w:space="0" w:color="000000"/>
            </w:tcBorders>
            <w:noWrap/>
            <w:vAlign w:val="center"/>
          </w:tcPr>
          <w:p w:rsidR="0003194E" w:rsidRDefault="0003194E">
            <w:pPr>
              <w:jc w:val="center"/>
              <w:rPr>
                <w:sz w:val="22"/>
              </w:rPr>
            </w:pPr>
          </w:p>
        </w:tc>
      </w:tr>
      <w:tr w:rsidR="0003194E">
        <w:trPr>
          <w:trHeight w:val="486"/>
          <w:jc w:val="center"/>
        </w:trPr>
        <w:tc>
          <w:tcPr>
            <w:tcW w:w="509" w:type="dxa"/>
            <w:vMerge/>
            <w:tcBorders>
              <w:left w:val="single" w:sz="4" w:space="0" w:color="000000"/>
              <w:bottom w:val="single" w:sz="4" w:space="0" w:color="auto"/>
              <w:right w:val="single" w:sz="4" w:space="0" w:color="000000"/>
            </w:tcBorders>
            <w:noWrap/>
            <w:vAlign w:val="center"/>
          </w:tcPr>
          <w:p w:rsidR="0003194E" w:rsidRDefault="0003194E">
            <w:pPr>
              <w:jc w:val="center"/>
              <w:textAlignment w:val="center"/>
              <w:rPr>
                <w:sz w:val="22"/>
              </w:rPr>
            </w:pPr>
          </w:p>
        </w:tc>
        <w:tc>
          <w:tcPr>
            <w:tcW w:w="1198" w:type="dxa"/>
            <w:vMerge/>
            <w:tcBorders>
              <w:left w:val="single" w:sz="4" w:space="0" w:color="000000"/>
              <w:bottom w:val="single" w:sz="4" w:space="0" w:color="auto"/>
              <w:right w:val="single" w:sz="4" w:space="0" w:color="000000"/>
            </w:tcBorders>
            <w:noWrap/>
            <w:vAlign w:val="center"/>
          </w:tcPr>
          <w:p w:rsidR="0003194E" w:rsidRDefault="0003194E">
            <w:pPr>
              <w:spacing w:line="240" w:lineRule="atLeast"/>
              <w:jc w:val="center"/>
              <w:rPr>
                <w:sz w:val="20"/>
                <w:szCs w:val="20"/>
              </w:rPr>
            </w:pPr>
          </w:p>
        </w:tc>
        <w:tc>
          <w:tcPr>
            <w:tcW w:w="1186"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spacing w:line="240" w:lineRule="auto"/>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群众满意度</w:t>
            </w:r>
          </w:p>
        </w:tc>
        <w:tc>
          <w:tcPr>
            <w:tcW w:w="404"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80"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95</w:t>
            </w:r>
          </w:p>
        </w:tc>
        <w:tc>
          <w:tcPr>
            <w:tcW w:w="615"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65"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10</w:t>
            </w:r>
          </w:p>
        </w:tc>
        <w:tc>
          <w:tcPr>
            <w:tcW w:w="765"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93</w:t>
            </w:r>
          </w:p>
        </w:tc>
        <w:tc>
          <w:tcPr>
            <w:tcW w:w="945" w:type="dxa"/>
            <w:tcBorders>
              <w:top w:val="single" w:sz="4" w:space="0" w:color="000000"/>
              <w:left w:val="single" w:sz="4" w:space="0" w:color="000000"/>
              <w:bottom w:val="single" w:sz="4" w:space="0" w:color="auto"/>
              <w:right w:val="single" w:sz="4" w:space="0" w:color="000000"/>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7.89</w:t>
            </w:r>
          </w:p>
        </w:tc>
        <w:tc>
          <w:tcPr>
            <w:tcW w:w="585" w:type="dxa"/>
            <w:tcBorders>
              <w:top w:val="single" w:sz="4" w:space="0" w:color="000000"/>
              <w:left w:val="single" w:sz="4" w:space="0" w:color="000000"/>
              <w:bottom w:val="single" w:sz="4" w:space="0" w:color="auto"/>
              <w:right w:val="single" w:sz="4" w:space="0" w:color="000000"/>
            </w:tcBorders>
            <w:noWrap/>
            <w:vAlign w:val="center"/>
          </w:tcPr>
          <w:p w:rsidR="0003194E" w:rsidRDefault="0003194E">
            <w:pPr>
              <w:rPr>
                <w:sz w:val="22"/>
              </w:rPr>
            </w:pPr>
          </w:p>
        </w:tc>
        <w:tc>
          <w:tcPr>
            <w:tcW w:w="795" w:type="dxa"/>
            <w:vMerge/>
            <w:tcBorders>
              <w:left w:val="single" w:sz="4" w:space="0" w:color="000000"/>
              <w:bottom w:val="single" w:sz="4" w:space="0" w:color="auto"/>
              <w:right w:val="single" w:sz="4" w:space="0" w:color="000000"/>
            </w:tcBorders>
            <w:noWrap/>
            <w:vAlign w:val="center"/>
          </w:tcPr>
          <w:p w:rsidR="0003194E" w:rsidRDefault="0003194E">
            <w:pPr>
              <w:jc w:val="center"/>
              <w:rPr>
                <w:sz w:val="22"/>
              </w:rPr>
            </w:pPr>
          </w:p>
        </w:tc>
      </w:tr>
      <w:tr w:rsidR="0003194E">
        <w:trPr>
          <w:trHeight w:val="432"/>
          <w:jc w:val="center"/>
        </w:trPr>
        <w:tc>
          <w:tcPr>
            <w:tcW w:w="509" w:type="dxa"/>
            <w:vMerge w:val="restart"/>
            <w:tcBorders>
              <w:top w:val="single" w:sz="4" w:space="0" w:color="auto"/>
              <w:left w:val="single" w:sz="4" w:space="0" w:color="auto"/>
              <w:right w:val="single" w:sz="4" w:space="0" w:color="auto"/>
            </w:tcBorders>
            <w:noWrap/>
            <w:vAlign w:val="center"/>
          </w:tcPr>
          <w:p w:rsidR="0003194E" w:rsidRDefault="00B32C91">
            <w:pPr>
              <w:jc w:val="center"/>
              <w:textAlignment w:val="center"/>
              <w:rPr>
                <w:sz w:val="22"/>
              </w:rPr>
            </w:pPr>
            <w:r>
              <w:rPr>
                <w:kern w:val="0"/>
                <w:sz w:val="22"/>
                <w:lang/>
              </w:rPr>
              <w:t>3</w:t>
            </w:r>
          </w:p>
        </w:tc>
        <w:tc>
          <w:tcPr>
            <w:tcW w:w="1198" w:type="dxa"/>
            <w:vMerge w:val="restart"/>
            <w:tcBorders>
              <w:top w:val="single" w:sz="4" w:space="0" w:color="auto"/>
              <w:left w:val="single" w:sz="4" w:space="0" w:color="auto"/>
              <w:right w:val="single" w:sz="4" w:space="0" w:color="auto"/>
            </w:tcBorders>
            <w:noWrap/>
            <w:vAlign w:val="center"/>
          </w:tcPr>
          <w:p w:rsidR="0003194E" w:rsidRDefault="00B32C91">
            <w:pPr>
              <w:spacing w:line="240" w:lineRule="auto"/>
              <w:jc w:val="center"/>
              <w:rPr>
                <w:sz w:val="20"/>
                <w:szCs w:val="20"/>
              </w:rPr>
            </w:pPr>
            <w:r>
              <w:rPr>
                <w:sz w:val="20"/>
                <w:szCs w:val="20"/>
              </w:rPr>
              <w:t>万州区</w:t>
            </w:r>
            <w:r>
              <w:rPr>
                <w:sz w:val="20"/>
                <w:szCs w:val="20"/>
              </w:rPr>
              <w:t>2022</w:t>
            </w:r>
            <w:r>
              <w:rPr>
                <w:sz w:val="20"/>
                <w:szCs w:val="20"/>
              </w:rPr>
              <w:t>年农村厕所革</w:t>
            </w:r>
            <w:r>
              <w:rPr>
                <w:sz w:val="20"/>
                <w:szCs w:val="20"/>
              </w:rPr>
              <w:lastRenderedPageBreak/>
              <w:t>命资金</w:t>
            </w:r>
          </w:p>
        </w:tc>
        <w:tc>
          <w:tcPr>
            <w:tcW w:w="1186" w:type="dxa"/>
            <w:tcBorders>
              <w:top w:val="single" w:sz="4" w:space="0" w:color="auto"/>
              <w:left w:val="single" w:sz="4" w:space="0" w:color="auto"/>
              <w:bottom w:val="single" w:sz="4" w:space="0" w:color="auto"/>
              <w:right w:val="single" w:sz="4" w:space="0" w:color="auto"/>
            </w:tcBorders>
            <w:noWrap/>
            <w:vAlign w:val="center"/>
          </w:tcPr>
          <w:p w:rsidR="0003194E" w:rsidRDefault="00B32C91">
            <w:pPr>
              <w:spacing w:line="240" w:lineRule="auto"/>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lastRenderedPageBreak/>
              <w:t>年度预算执行率</w:t>
            </w:r>
          </w:p>
        </w:tc>
        <w:tc>
          <w:tcPr>
            <w:tcW w:w="404"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ascii="宋体" w:eastAsia="宋体" w:hAnsi="宋体" w:cs="宋体" w:hint="eastAsia"/>
                <w:sz w:val="22"/>
              </w:rPr>
              <w:t>＝</w:t>
            </w:r>
          </w:p>
        </w:tc>
        <w:tc>
          <w:tcPr>
            <w:tcW w:w="780"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eastAsia="宋体"/>
                <w:sz w:val="22"/>
              </w:rPr>
              <w:t>100</w:t>
            </w:r>
          </w:p>
        </w:tc>
        <w:tc>
          <w:tcPr>
            <w:tcW w:w="615"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eastAsia="宋体"/>
                <w:sz w:val="22"/>
              </w:rPr>
              <w:t>%</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eastAsia="宋体"/>
                <w:sz w:val="22"/>
              </w:rPr>
              <w:t>10</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eastAsia="宋体"/>
                <w:sz w:val="22"/>
              </w:rPr>
              <w:t>100</w:t>
            </w:r>
          </w:p>
        </w:tc>
        <w:tc>
          <w:tcPr>
            <w:tcW w:w="945" w:type="dxa"/>
            <w:tcBorders>
              <w:top w:val="single" w:sz="4" w:space="0" w:color="auto"/>
              <w:left w:val="single" w:sz="4" w:space="0" w:color="auto"/>
              <w:bottom w:val="single" w:sz="4" w:space="0" w:color="auto"/>
              <w:right w:val="single" w:sz="4" w:space="0" w:color="auto"/>
            </w:tcBorders>
            <w:noWrap/>
            <w:vAlign w:val="center"/>
          </w:tcPr>
          <w:p w:rsidR="0003194E" w:rsidRDefault="00B32C91">
            <w:pPr>
              <w:jc w:val="center"/>
              <w:rPr>
                <w:rFonts w:ascii="宋体" w:eastAsia="宋体" w:hAnsi="宋体" w:cs="宋体"/>
                <w:color w:val="000000"/>
                <w:kern w:val="0"/>
                <w:sz w:val="22"/>
                <w:lang/>
              </w:rPr>
            </w:pPr>
            <w:r>
              <w:rPr>
                <w:rFonts w:eastAsia="宋体"/>
                <w:sz w:val="22"/>
              </w:rPr>
              <w:t>10</w:t>
            </w:r>
          </w:p>
        </w:tc>
        <w:tc>
          <w:tcPr>
            <w:tcW w:w="585" w:type="dxa"/>
            <w:tcBorders>
              <w:top w:val="single" w:sz="4" w:space="0" w:color="auto"/>
              <w:left w:val="single" w:sz="4" w:space="0" w:color="auto"/>
              <w:bottom w:val="single" w:sz="4" w:space="0" w:color="auto"/>
              <w:right w:val="single" w:sz="4" w:space="0" w:color="auto"/>
            </w:tcBorders>
            <w:noWrap/>
            <w:vAlign w:val="center"/>
          </w:tcPr>
          <w:p w:rsidR="0003194E" w:rsidRDefault="0003194E">
            <w:pPr>
              <w:rPr>
                <w:sz w:val="22"/>
              </w:rPr>
            </w:pPr>
          </w:p>
        </w:tc>
        <w:tc>
          <w:tcPr>
            <w:tcW w:w="795" w:type="dxa"/>
            <w:vMerge w:val="restart"/>
            <w:tcBorders>
              <w:top w:val="single" w:sz="4" w:space="0" w:color="auto"/>
              <w:left w:val="single" w:sz="4" w:space="0" w:color="auto"/>
              <w:right w:val="single" w:sz="4" w:space="0" w:color="auto"/>
            </w:tcBorders>
            <w:noWrap/>
            <w:vAlign w:val="center"/>
          </w:tcPr>
          <w:p w:rsidR="0003194E" w:rsidRDefault="00B32C91">
            <w:pPr>
              <w:jc w:val="center"/>
              <w:rPr>
                <w:sz w:val="22"/>
              </w:rPr>
            </w:pPr>
            <w:r>
              <w:rPr>
                <w:rFonts w:hint="eastAsia"/>
                <w:sz w:val="22"/>
              </w:rPr>
              <w:t>97.89</w:t>
            </w:r>
          </w:p>
        </w:tc>
      </w:tr>
      <w:tr w:rsidR="0003194E">
        <w:trPr>
          <w:trHeight w:val="432"/>
          <w:jc w:val="center"/>
        </w:trPr>
        <w:tc>
          <w:tcPr>
            <w:tcW w:w="509" w:type="dxa"/>
            <w:vMerge/>
            <w:tcBorders>
              <w:left w:val="single" w:sz="4" w:space="0" w:color="auto"/>
              <w:right w:val="single" w:sz="4" w:space="0" w:color="auto"/>
            </w:tcBorders>
            <w:noWrap/>
            <w:vAlign w:val="center"/>
          </w:tcPr>
          <w:p w:rsidR="0003194E" w:rsidRDefault="0003194E">
            <w:pPr>
              <w:jc w:val="center"/>
              <w:textAlignment w:val="center"/>
              <w:rPr>
                <w:sz w:val="22"/>
              </w:rPr>
            </w:pPr>
          </w:p>
        </w:tc>
        <w:tc>
          <w:tcPr>
            <w:tcW w:w="1198" w:type="dxa"/>
            <w:vMerge/>
            <w:tcBorders>
              <w:left w:val="single" w:sz="4" w:space="0" w:color="auto"/>
              <w:right w:val="single" w:sz="4" w:space="0" w:color="auto"/>
            </w:tcBorders>
            <w:noWrap/>
            <w:vAlign w:val="center"/>
          </w:tcPr>
          <w:p w:rsidR="0003194E" w:rsidRDefault="0003194E">
            <w:pPr>
              <w:spacing w:line="240" w:lineRule="auto"/>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spacing w:line="240" w:lineRule="auto"/>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改造厕所户数</w:t>
            </w:r>
          </w:p>
        </w:tc>
        <w:tc>
          <w:tcPr>
            <w:tcW w:w="404"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80"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124</w:t>
            </w:r>
          </w:p>
        </w:tc>
        <w:tc>
          <w:tcPr>
            <w:tcW w:w="61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户</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50</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124</w:t>
            </w:r>
          </w:p>
        </w:tc>
        <w:tc>
          <w:tcPr>
            <w:tcW w:w="94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50</w:t>
            </w:r>
          </w:p>
        </w:tc>
        <w:tc>
          <w:tcPr>
            <w:tcW w:w="585" w:type="dxa"/>
            <w:tcBorders>
              <w:top w:val="single" w:sz="4" w:space="0" w:color="auto"/>
              <w:left w:val="single" w:sz="4" w:space="0" w:color="auto"/>
              <w:bottom w:val="single" w:sz="4" w:space="0" w:color="auto"/>
              <w:right w:val="single" w:sz="4" w:space="0" w:color="auto"/>
            </w:tcBorders>
            <w:noWrap/>
            <w:vAlign w:val="center"/>
          </w:tcPr>
          <w:p w:rsidR="0003194E" w:rsidRDefault="0003194E">
            <w:pPr>
              <w:rPr>
                <w:sz w:val="22"/>
              </w:rPr>
            </w:pPr>
          </w:p>
        </w:tc>
        <w:tc>
          <w:tcPr>
            <w:tcW w:w="795" w:type="dxa"/>
            <w:vMerge/>
            <w:tcBorders>
              <w:left w:val="single" w:sz="4" w:space="0" w:color="auto"/>
              <w:right w:val="single" w:sz="4" w:space="0" w:color="auto"/>
            </w:tcBorders>
            <w:noWrap/>
            <w:vAlign w:val="center"/>
          </w:tcPr>
          <w:p w:rsidR="0003194E" w:rsidRDefault="0003194E">
            <w:pPr>
              <w:jc w:val="center"/>
              <w:rPr>
                <w:sz w:val="22"/>
              </w:rPr>
            </w:pPr>
          </w:p>
        </w:tc>
      </w:tr>
      <w:tr w:rsidR="0003194E">
        <w:trPr>
          <w:trHeight w:val="432"/>
          <w:jc w:val="center"/>
        </w:trPr>
        <w:tc>
          <w:tcPr>
            <w:tcW w:w="509" w:type="dxa"/>
            <w:vMerge/>
            <w:tcBorders>
              <w:left w:val="single" w:sz="4" w:space="0" w:color="auto"/>
              <w:right w:val="single" w:sz="4" w:space="0" w:color="auto"/>
            </w:tcBorders>
            <w:noWrap/>
            <w:vAlign w:val="center"/>
          </w:tcPr>
          <w:p w:rsidR="0003194E" w:rsidRDefault="0003194E">
            <w:pPr>
              <w:jc w:val="center"/>
              <w:textAlignment w:val="center"/>
              <w:rPr>
                <w:sz w:val="22"/>
              </w:rPr>
            </w:pPr>
          </w:p>
        </w:tc>
        <w:tc>
          <w:tcPr>
            <w:tcW w:w="1198" w:type="dxa"/>
            <w:vMerge/>
            <w:tcBorders>
              <w:left w:val="single" w:sz="4" w:space="0" w:color="auto"/>
              <w:right w:val="single" w:sz="4" w:space="0" w:color="auto"/>
            </w:tcBorders>
            <w:noWrap/>
            <w:vAlign w:val="center"/>
          </w:tcPr>
          <w:p w:rsidR="0003194E" w:rsidRDefault="0003194E">
            <w:pPr>
              <w:jc w:val="center"/>
              <w:rPr>
                <w:sz w:val="22"/>
              </w:rPr>
            </w:pPr>
          </w:p>
        </w:tc>
        <w:tc>
          <w:tcPr>
            <w:tcW w:w="1186"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spacing w:line="240" w:lineRule="auto"/>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环境改善程度</w:t>
            </w:r>
          </w:p>
        </w:tc>
        <w:tc>
          <w:tcPr>
            <w:tcW w:w="404"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定性</w:t>
            </w:r>
          </w:p>
        </w:tc>
        <w:tc>
          <w:tcPr>
            <w:tcW w:w="780"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良</w:t>
            </w:r>
          </w:p>
        </w:tc>
        <w:tc>
          <w:tcPr>
            <w:tcW w:w="615" w:type="dxa"/>
            <w:tcBorders>
              <w:top w:val="single" w:sz="4" w:space="0" w:color="auto"/>
              <w:left w:val="single" w:sz="4" w:space="0" w:color="auto"/>
              <w:bottom w:val="single" w:sz="4" w:space="0" w:color="auto"/>
              <w:right w:val="single" w:sz="4" w:space="0" w:color="auto"/>
            </w:tcBorders>
            <w:noWrap/>
            <w:vAlign w:val="center"/>
          </w:tcPr>
          <w:p w:rsidR="0003194E" w:rsidRDefault="0003194E">
            <w:pPr>
              <w:jc w:val="center"/>
              <w:rPr>
                <w:sz w:val="22"/>
              </w:rPr>
            </w:pP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30</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w:t>
            </w:r>
          </w:p>
        </w:tc>
        <w:tc>
          <w:tcPr>
            <w:tcW w:w="94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30</w:t>
            </w:r>
          </w:p>
        </w:tc>
        <w:tc>
          <w:tcPr>
            <w:tcW w:w="585" w:type="dxa"/>
            <w:tcBorders>
              <w:top w:val="single" w:sz="4" w:space="0" w:color="auto"/>
              <w:left w:val="single" w:sz="4" w:space="0" w:color="auto"/>
              <w:bottom w:val="single" w:sz="4" w:space="0" w:color="auto"/>
              <w:right w:val="single" w:sz="4" w:space="0" w:color="auto"/>
            </w:tcBorders>
            <w:noWrap/>
            <w:vAlign w:val="center"/>
          </w:tcPr>
          <w:p w:rsidR="0003194E" w:rsidRDefault="0003194E">
            <w:pPr>
              <w:rPr>
                <w:sz w:val="22"/>
              </w:rPr>
            </w:pPr>
          </w:p>
        </w:tc>
        <w:tc>
          <w:tcPr>
            <w:tcW w:w="795" w:type="dxa"/>
            <w:vMerge/>
            <w:tcBorders>
              <w:left w:val="single" w:sz="4" w:space="0" w:color="auto"/>
              <w:right w:val="single" w:sz="4" w:space="0" w:color="auto"/>
            </w:tcBorders>
            <w:noWrap/>
            <w:vAlign w:val="center"/>
          </w:tcPr>
          <w:p w:rsidR="0003194E" w:rsidRDefault="0003194E">
            <w:pPr>
              <w:jc w:val="center"/>
              <w:rPr>
                <w:sz w:val="22"/>
              </w:rPr>
            </w:pPr>
          </w:p>
        </w:tc>
      </w:tr>
      <w:tr w:rsidR="0003194E">
        <w:trPr>
          <w:trHeight w:val="432"/>
          <w:jc w:val="center"/>
        </w:trPr>
        <w:tc>
          <w:tcPr>
            <w:tcW w:w="509" w:type="dxa"/>
            <w:vMerge/>
            <w:tcBorders>
              <w:left w:val="single" w:sz="4" w:space="0" w:color="auto"/>
              <w:bottom w:val="single" w:sz="4" w:space="0" w:color="auto"/>
              <w:right w:val="single" w:sz="4" w:space="0" w:color="auto"/>
            </w:tcBorders>
            <w:noWrap/>
            <w:vAlign w:val="center"/>
          </w:tcPr>
          <w:p w:rsidR="0003194E" w:rsidRDefault="0003194E">
            <w:pPr>
              <w:jc w:val="center"/>
              <w:textAlignment w:val="center"/>
              <w:rPr>
                <w:sz w:val="22"/>
              </w:rPr>
            </w:pPr>
          </w:p>
        </w:tc>
        <w:tc>
          <w:tcPr>
            <w:tcW w:w="1198" w:type="dxa"/>
            <w:vMerge/>
            <w:tcBorders>
              <w:left w:val="single" w:sz="4" w:space="0" w:color="auto"/>
              <w:bottom w:val="single" w:sz="4" w:space="0" w:color="auto"/>
              <w:right w:val="single" w:sz="4" w:space="0" w:color="auto"/>
            </w:tcBorders>
            <w:noWrap/>
            <w:vAlign w:val="center"/>
          </w:tcPr>
          <w:p w:rsidR="0003194E" w:rsidRDefault="0003194E">
            <w:pPr>
              <w:jc w:val="center"/>
              <w:rPr>
                <w:sz w:val="22"/>
              </w:rPr>
            </w:pPr>
          </w:p>
        </w:tc>
        <w:tc>
          <w:tcPr>
            <w:tcW w:w="1186"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spacing w:line="240" w:lineRule="auto"/>
              <w:jc w:val="center"/>
              <w:textAlignment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群众满意度</w:t>
            </w:r>
          </w:p>
        </w:tc>
        <w:tc>
          <w:tcPr>
            <w:tcW w:w="404"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80"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95</w:t>
            </w:r>
          </w:p>
        </w:tc>
        <w:tc>
          <w:tcPr>
            <w:tcW w:w="61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10</w:t>
            </w:r>
          </w:p>
        </w:tc>
        <w:tc>
          <w:tcPr>
            <w:tcW w:w="76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93</w:t>
            </w:r>
          </w:p>
        </w:tc>
        <w:tc>
          <w:tcPr>
            <w:tcW w:w="945" w:type="dxa"/>
            <w:tcBorders>
              <w:top w:val="single" w:sz="4" w:space="0" w:color="auto"/>
              <w:left w:val="single" w:sz="4" w:space="0" w:color="auto"/>
              <w:bottom w:val="single" w:sz="4" w:space="0" w:color="auto"/>
              <w:right w:val="single" w:sz="4" w:space="0" w:color="auto"/>
            </w:tcBorders>
            <w:noWrap/>
            <w:vAlign w:val="center"/>
          </w:tcPr>
          <w:p w:rsidR="0003194E" w:rsidRDefault="00B32C91">
            <w:pPr>
              <w:widowControl/>
              <w:jc w:val="center"/>
              <w:textAlignment w:val="center"/>
              <w:rPr>
                <w:sz w:val="22"/>
              </w:rPr>
            </w:pPr>
            <w:r>
              <w:rPr>
                <w:rFonts w:ascii="宋体" w:eastAsia="宋体" w:hAnsi="宋体" w:cs="宋体" w:hint="eastAsia"/>
                <w:color w:val="000000"/>
                <w:kern w:val="0"/>
                <w:sz w:val="22"/>
                <w:lang/>
              </w:rPr>
              <w:t>7.89</w:t>
            </w:r>
          </w:p>
        </w:tc>
        <w:tc>
          <w:tcPr>
            <w:tcW w:w="585" w:type="dxa"/>
            <w:tcBorders>
              <w:top w:val="single" w:sz="4" w:space="0" w:color="auto"/>
              <w:left w:val="single" w:sz="4" w:space="0" w:color="auto"/>
              <w:bottom w:val="single" w:sz="4" w:space="0" w:color="auto"/>
              <w:right w:val="single" w:sz="4" w:space="0" w:color="auto"/>
            </w:tcBorders>
            <w:noWrap/>
            <w:vAlign w:val="center"/>
          </w:tcPr>
          <w:p w:rsidR="0003194E" w:rsidRDefault="0003194E">
            <w:pPr>
              <w:rPr>
                <w:sz w:val="22"/>
              </w:rPr>
            </w:pPr>
          </w:p>
        </w:tc>
        <w:tc>
          <w:tcPr>
            <w:tcW w:w="795" w:type="dxa"/>
            <w:vMerge/>
            <w:tcBorders>
              <w:left w:val="single" w:sz="4" w:space="0" w:color="auto"/>
              <w:bottom w:val="single" w:sz="4" w:space="0" w:color="auto"/>
              <w:right w:val="single" w:sz="4" w:space="0" w:color="auto"/>
            </w:tcBorders>
            <w:noWrap/>
            <w:vAlign w:val="center"/>
          </w:tcPr>
          <w:p w:rsidR="0003194E" w:rsidRDefault="0003194E">
            <w:pPr>
              <w:jc w:val="center"/>
              <w:rPr>
                <w:sz w:val="22"/>
              </w:rPr>
            </w:pPr>
          </w:p>
        </w:tc>
      </w:tr>
    </w:tbl>
    <w:p w:rsidR="0003194E" w:rsidRDefault="00B32C91">
      <w:pPr>
        <w:pStyle w:val="a9"/>
        <w:tabs>
          <w:tab w:val="center" w:pos="4153"/>
          <w:tab w:val="left" w:pos="7275"/>
        </w:tabs>
        <w:spacing w:line="560" w:lineRule="exact"/>
        <w:ind w:firstLine="640"/>
        <w:outlineLvl w:val="0"/>
        <w:rPr>
          <w:rFonts w:eastAsia="方正黑体_GBK"/>
          <w:szCs w:val="32"/>
        </w:rPr>
      </w:pPr>
      <w:r>
        <w:rPr>
          <w:rFonts w:eastAsia="方正黑体_GBK"/>
          <w:szCs w:val="32"/>
        </w:rPr>
        <w:lastRenderedPageBreak/>
        <w:t>六、专业名词解释</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hint="eastAsia"/>
          <w:sz w:val="32"/>
          <w:szCs w:val="32"/>
        </w:rPr>
        <w:t>（一）财政拨款收入：</w:t>
      </w:r>
      <w:r>
        <w:rPr>
          <w:sz w:val="32"/>
          <w:szCs w:val="32"/>
        </w:rPr>
        <w:t>指本年度从本级财政部门取得的财政拨款，包括一般公共预算财政拨款和政府性基金预算财政拨款。</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（二）事业收入：</w:t>
      </w:r>
      <w:r>
        <w:rPr>
          <w:sz w:val="32"/>
          <w:szCs w:val="32"/>
        </w:rPr>
        <w:t>指事业单位开展专业业务活动及其辅助活动取得的现金流入；事业单位收到的财政专户实际核拨的教育收费等资金在此反映。</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（三）经营收入：</w:t>
      </w:r>
      <w:r>
        <w:rPr>
          <w:sz w:val="32"/>
          <w:szCs w:val="32"/>
        </w:rPr>
        <w:t>指事业单位在专业业务活动及其辅助活动之外开展非独立核算经营活动取得的现金流入。</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（四）其他收入：</w:t>
      </w:r>
      <w:r>
        <w:rPr>
          <w:sz w:val="32"/>
          <w:szCs w:val="32"/>
        </w:rPr>
        <w:t>指单位取得的除</w:t>
      </w:r>
      <w:r>
        <w:rPr>
          <w:sz w:val="32"/>
          <w:szCs w:val="32"/>
        </w:rPr>
        <w:t>“</w:t>
      </w:r>
      <w:r>
        <w:rPr>
          <w:sz w:val="32"/>
          <w:szCs w:val="32"/>
        </w:rPr>
        <w:t>财政拨款收入</w:t>
      </w:r>
      <w:r>
        <w:rPr>
          <w:sz w:val="32"/>
          <w:szCs w:val="32"/>
        </w:rPr>
        <w:t>”</w:t>
      </w:r>
      <w:r>
        <w:rPr>
          <w:sz w:val="32"/>
          <w:szCs w:val="32"/>
        </w:rPr>
        <w:t>、</w:t>
      </w:r>
      <w:r>
        <w:rPr>
          <w:sz w:val="32"/>
          <w:szCs w:val="32"/>
        </w:rPr>
        <w:t>“</w:t>
      </w:r>
      <w:r>
        <w:rPr>
          <w:sz w:val="32"/>
          <w:szCs w:val="32"/>
        </w:rPr>
        <w:t>事业收入</w:t>
      </w:r>
      <w:r>
        <w:rPr>
          <w:sz w:val="32"/>
          <w:szCs w:val="32"/>
        </w:rPr>
        <w:t>”</w:t>
      </w:r>
      <w:r>
        <w:rPr>
          <w:sz w:val="32"/>
          <w:szCs w:val="32"/>
        </w:rPr>
        <w:t>、</w:t>
      </w:r>
      <w:r>
        <w:rPr>
          <w:sz w:val="32"/>
          <w:szCs w:val="32"/>
        </w:rPr>
        <w:t>“</w:t>
      </w:r>
      <w:r>
        <w:rPr>
          <w:sz w:val="32"/>
          <w:szCs w:val="32"/>
        </w:rPr>
        <w:t>经营收入</w:t>
      </w:r>
      <w:r>
        <w:rPr>
          <w:sz w:val="32"/>
          <w:szCs w:val="32"/>
        </w:rPr>
        <w:t>”</w:t>
      </w:r>
      <w:r>
        <w:rPr>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（五）使用非财政拨款结余：</w:t>
      </w:r>
      <w:r>
        <w:rPr>
          <w:sz w:val="32"/>
          <w:szCs w:val="32"/>
        </w:rPr>
        <w:t>指单位在当年的</w:t>
      </w:r>
      <w:r>
        <w:rPr>
          <w:sz w:val="32"/>
          <w:szCs w:val="32"/>
        </w:rPr>
        <w:t>“</w:t>
      </w:r>
      <w:r>
        <w:rPr>
          <w:sz w:val="32"/>
          <w:szCs w:val="32"/>
        </w:rPr>
        <w:t>财政拨款收入</w:t>
      </w:r>
      <w:r>
        <w:rPr>
          <w:sz w:val="32"/>
          <w:szCs w:val="32"/>
        </w:rPr>
        <w:t>”</w:t>
      </w:r>
      <w:r>
        <w:rPr>
          <w:sz w:val="32"/>
          <w:szCs w:val="32"/>
        </w:rPr>
        <w:t>、</w:t>
      </w:r>
      <w:r>
        <w:rPr>
          <w:sz w:val="32"/>
          <w:szCs w:val="32"/>
        </w:rPr>
        <w:t>“</w:t>
      </w:r>
      <w:r>
        <w:rPr>
          <w:sz w:val="32"/>
          <w:szCs w:val="32"/>
        </w:rPr>
        <w:t>事业收入</w:t>
      </w:r>
      <w:r>
        <w:rPr>
          <w:sz w:val="32"/>
          <w:szCs w:val="32"/>
        </w:rPr>
        <w:t>”</w:t>
      </w:r>
      <w:r>
        <w:rPr>
          <w:sz w:val="32"/>
          <w:szCs w:val="32"/>
        </w:rPr>
        <w:t>、</w:t>
      </w:r>
      <w:r>
        <w:rPr>
          <w:sz w:val="32"/>
          <w:szCs w:val="32"/>
        </w:rPr>
        <w:t>“</w:t>
      </w:r>
      <w:r>
        <w:rPr>
          <w:sz w:val="32"/>
          <w:szCs w:val="32"/>
        </w:rPr>
        <w:t>经营收入</w:t>
      </w:r>
      <w:r>
        <w:rPr>
          <w:sz w:val="32"/>
          <w:szCs w:val="32"/>
        </w:rPr>
        <w:t>”</w:t>
      </w:r>
      <w:r>
        <w:rPr>
          <w:sz w:val="32"/>
          <w:szCs w:val="32"/>
        </w:rPr>
        <w:t>、</w:t>
      </w:r>
      <w:r>
        <w:rPr>
          <w:sz w:val="32"/>
          <w:szCs w:val="32"/>
        </w:rPr>
        <w:t>“</w:t>
      </w:r>
      <w:r>
        <w:rPr>
          <w:sz w:val="32"/>
          <w:szCs w:val="32"/>
        </w:rPr>
        <w:t>其他收入</w:t>
      </w:r>
      <w:r>
        <w:rPr>
          <w:sz w:val="32"/>
          <w:szCs w:val="32"/>
        </w:rPr>
        <w:t>”</w:t>
      </w:r>
      <w:r>
        <w:rPr>
          <w:sz w:val="32"/>
          <w:szCs w:val="32"/>
        </w:rPr>
        <w:t>等不足以安排当年支出的情况下，使用以前年度积累的非财</w:t>
      </w:r>
      <w:r>
        <w:rPr>
          <w:sz w:val="32"/>
          <w:szCs w:val="32"/>
        </w:rPr>
        <w:t>政拨款结余弥补本年度收支缺口的资金。</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lastRenderedPageBreak/>
        <w:t>（六）年初结转和结余：</w:t>
      </w:r>
      <w:r>
        <w:rPr>
          <w:sz w:val="32"/>
          <w:szCs w:val="32"/>
        </w:rPr>
        <w:t>指单位上年结转本年使用的基本支出结转、项目支出结转和结余、经营结余。</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（七）结余分配：</w:t>
      </w:r>
      <w:r>
        <w:rPr>
          <w:sz w:val="32"/>
          <w:szCs w:val="32"/>
        </w:rPr>
        <w:t>指单位按照国家有关规定，缴纳所得税、提取专用基金、转入非财政拨款结余等当年结余的分配情况。</w:t>
      </w:r>
    </w:p>
    <w:p w:rsidR="0003194E" w:rsidRDefault="00B32C91">
      <w:pPr>
        <w:pStyle w:val="a7"/>
        <w:widowControl/>
        <w:shd w:val="clear" w:color="auto" w:fill="FFFFFF"/>
        <w:snapToGrid w:val="0"/>
        <w:spacing w:before="0" w:beforeAutospacing="0" w:after="0" w:afterAutospacing="0" w:line="600" w:lineRule="exact"/>
        <w:ind w:firstLine="504"/>
        <w:rPr>
          <w:sz w:val="32"/>
          <w:szCs w:val="32"/>
        </w:rPr>
      </w:pPr>
      <w:r>
        <w:rPr>
          <w:rFonts w:eastAsia="方正楷体_GBK" w:cs="方正楷体_GBK"/>
          <w:sz w:val="32"/>
          <w:szCs w:val="32"/>
        </w:rPr>
        <w:t>（八）年末结转和结余：</w:t>
      </w:r>
      <w:r>
        <w:rPr>
          <w:sz w:val="32"/>
          <w:szCs w:val="32"/>
        </w:rPr>
        <w:t>指单位结转下年的基本支出结转、项目支出结转和结余、经营结余。</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（九）基本支出：</w:t>
      </w:r>
      <w:r>
        <w:rPr>
          <w:sz w:val="32"/>
          <w:szCs w:val="32"/>
        </w:rPr>
        <w:t>指为保障机构正常运转、完成日常工作任务而发生的人员经费和公用经费。其中：人员经费指政府收支分类经济科目中的</w:t>
      </w:r>
      <w:r>
        <w:rPr>
          <w:sz w:val="32"/>
          <w:szCs w:val="32"/>
        </w:rPr>
        <w:t>“</w:t>
      </w:r>
      <w:r>
        <w:rPr>
          <w:sz w:val="32"/>
          <w:szCs w:val="32"/>
        </w:rPr>
        <w:t>工资福利支出</w:t>
      </w:r>
      <w:r>
        <w:rPr>
          <w:sz w:val="32"/>
          <w:szCs w:val="32"/>
        </w:rPr>
        <w:t>”</w:t>
      </w:r>
      <w:r>
        <w:rPr>
          <w:sz w:val="32"/>
          <w:szCs w:val="32"/>
        </w:rPr>
        <w:t>和</w:t>
      </w:r>
      <w:r>
        <w:rPr>
          <w:sz w:val="32"/>
          <w:szCs w:val="32"/>
        </w:rPr>
        <w:t>“</w:t>
      </w:r>
      <w:r>
        <w:rPr>
          <w:sz w:val="32"/>
          <w:szCs w:val="32"/>
        </w:rPr>
        <w:t>对个人和家庭的补助</w:t>
      </w:r>
      <w:r>
        <w:rPr>
          <w:sz w:val="32"/>
          <w:szCs w:val="32"/>
        </w:rPr>
        <w:t>”</w:t>
      </w:r>
      <w:r>
        <w:rPr>
          <w:sz w:val="32"/>
          <w:szCs w:val="32"/>
        </w:rPr>
        <w:t>；公用经费指政府收支分类经济</w:t>
      </w:r>
      <w:r>
        <w:rPr>
          <w:sz w:val="32"/>
          <w:szCs w:val="32"/>
        </w:rPr>
        <w:t>科目中除</w:t>
      </w:r>
      <w:r>
        <w:rPr>
          <w:sz w:val="32"/>
          <w:szCs w:val="32"/>
        </w:rPr>
        <w:t>“</w:t>
      </w:r>
      <w:r>
        <w:rPr>
          <w:sz w:val="32"/>
          <w:szCs w:val="32"/>
        </w:rPr>
        <w:t>工资福利支出</w:t>
      </w:r>
      <w:r>
        <w:rPr>
          <w:sz w:val="32"/>
          <w:szCs w:val="32"/>
        </w:rPr>
        <w:t>”</w:t>
      </w:r>
      <w:r>
        <w:rPr>
          <w:sz w:val="32"/>
          <w:szCs w:val="32"/>
        </w:rPr>
        <w:t>和</w:t>
      </w:r>
      <w:r>
        <w:rPr>
          <w:sz w:val="32"/>
          <w:szCs w:val="32"/>
        </w:rPr>
        <w:t>“</w:t>
      </w:r>
      <w:r>
        <w:rPr>
          <w:sz w:val="32"/>
          <w:szCs w:val="32"/>
        </w:rPr>
        <w:t>对个人和家庭的补助</w:t>
      </w:r>
      <w:r>
        <w:rPr>
          <w:sz w:val="32"/>
          <w:szCs w:val="32"/>
        </w:rPr>
        <w:t>”</w:t>
      </w:r>
      <w:r>
        <w:rPr>
          <w:sz w:val="32"/>
          <w:szCs w:val="32"/>
        </w:rPr>
        <w:t>外的其他支出。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（十）项目支出：</w:t>
      </w:r>
      <w:r>
        <w:rPr>
          <w:sz w:val="32"/>
          <w:szCs w:val="32"/>
        </w:rPr>
        <w:t>指在基本支出之外为完成特定行政任务和事业发展目标所发生的支出。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（十一）经营支出</w:t>
      </w:r>
      <w:r>
        <w:rPr>
          <w:sz w:val="32"/>
          <w:szCs w:val="32"/>
        </w:rPr>
        <w:t>：指事业单位在专业业务活动及其辅助活动之外开展非独立核算经营活动发生的支出。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（十二）</w:t>
      </w:r>
      <w:r>
        <w:rPr>
          <w:rFonts w:eastAsia="方正楷体_GBK" w:cs="方正楷体_GBK"/>
          <w:sz w:val="32"/>
          <w:szCs w:val="32"/>
        </w:rPr>
        <w:t>“</w:t>
      </w:r>
      <w:r>
        <w:rPr>
          <w:rFonts w:eastAsia="方正楷体_GBK" w:cs="方正楷体_GBK"/>
          <w:sz w:val="32"/>
          <w:szCs w:val="32"/>
        </w:rPr>
        <w:t>三公</w:t>
      </w:r>
      <w:r>
        <w:rPr>
          <w:rFonts w:eastAsia="方正楷体_GBK" w:cs="方正楷体_GBK"/>
          <w:sz w:val="32"/>
          <w:szCs w:val="32"/>
        </w:rPr>
        <w:t>”</w:t>
      </w:r>
      <w:r>
        <w:rPr>
          <w:rFonts w:eastAsia="方正楷体_GBK" w:cs="方正楷体_GBK"/>
          <w:sz w:val="32"/>
          <w:szCs w:val="32"/>
        </w:rPr>
        <w:t>经费：</w:t>
      </w:r>
      <w:r>
        <w:rPr>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sz w:val="32"/>
          <w:szCs w:val="32"/>
        </w:rPr>
        <w:t>；公务用车运行维护费反映单位按规定保留的公务用车燃料费、维修</w:t>
      </w:r>
      <w:r>
        <w:rPr>
          <w:sz w:val="32"/>
          <w:szCs w:val="32"/>
        </w:rPr>
        <w:lastRenderedPageBreak/>
        <w:t>费、过路过桥费、保险费、安全奖励费用等支出；公务接待费反映单位按规定开支的各类公务接待（含外宾接待）支出。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（十三）机关运行经费：</w:t>
      </w:r>
      <w:r>
        <w:rPr>
          <w:sz w:val="32"/>
          <w:szCs w:val="32"/>
        </w:rPr>
        <w:t>为保障行政单位（含参照公务员法管理的事业单位）运行用于购买货物和服务等的各项公用经费，包括办公及印刷费、邮电费、差旅费、会议费、福利费、日常维护</w:t>
      </w:r>
      <w:r>
        <w:rPr>
          <w:sz w:val="32"/>
          <w:szCs w:val="32"/>
        </w:rPr>
        <w:t> </w:t>
      </w:r>
      <w:r>
        <w:rPr>
          <w:sz w:val="32"/>
          <w:szCs w:val="32"/>
        </w:rPr>
        <w:t>费、专用材料及一般设备购置费、办公用房水电费、办公用房取暖费、办公用房物业管理费、公务用车运行维护费以及其他费用。</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（十四）工资福利支出（支出经济分类科目类级）：</w:t>
      </w:r>
      <w:r>
        <w:rPr>
          <w:sz w:val="32"/>
          <w:szCs w:val="32"/>
        </w:rPr>
        <w:t>反映单位开支的</w:t>
      </w:r>
      <w:r>
        <w:rPr>
          <w:sz w:val="32"/>
          <w:szCs w:val="32"/>
        </w:rPr>
        <w:t>在职职工和编制外长期聘用人员的各类劳动报酬，以及为上述人员缴纳的各项社会保险费等。</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sz w:val="32"/>
          <w:szCs w:val="32"/>
        </w:rPr>
        <w:t>（十五）商品和服务支出（支出经济分类科目类级）</w:t>
      </w:r>
      <w:r>
        <w:rPr>
          <w:rFonts w:cs="方正仿宋_GBK" w:hint="eastAsia"/>
          <w:sz w:val="32"/>
          <w:szCs w:val="32"/>
        </w:rPr>
        <w:t>：反映单位购买商品和服务的支出（不包括用于购置固定资产的支出、</w:t>
      </w:r>
      <w:r>
        <w:rPr>
          <w:sz w:val="32"/>
          <w:szCs w:val="32"/>
        </w:rPr>
        <w:t>战略性和应急储备支出）。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hint="eastAsia"/>
          <w:sz w:val="32"/>
          <w:szCs w:val="32"/>
        </w:rPr>
        <w:t>（十六）对个人和家庭的补助（支出经济分类科目类级）：</w:t>
      </w:r>
      <w:r>
        <w:rPr>
          <w:sz w:val="32"/>
          <w:szCs w:val="32"/>
        </w:rPr>
        <w:t>反映用于对个人和家庭的补助支出。</w:t>
      </w:r>
    </w:p>
    <w:p w:rsidR="0003194E" w:rsidRDefault="00B32C91">
      <w:pPr>
        <w:pStyle w:val="a7"/>
        <w:widowControl/>
        <w:shd w:val="clear" w:color="auto" w:fill="FFFFFF"/>
        <w:snapToGrid w:val="0"/>
        <w:spacing w:before="0" w:beforeAutospacing="0" w:after="0" w:afterAutospacing="0" w:line="600" w:lineRule="exact"/>
        <w:ind w:firstLine="504"/>
        <w:jc w:val="both"/>
        <w:rPr>
          <w:sz w:val="32"/>
          <w:szCs w:val="32"/>
        </w:rPr>
      </w:pPr>
      <w:r>
        <w:rPr>
          <w:rFonts w:eastAsia="方正楷体_GBK" w:cs="方正楷体_GBK" w:hint="eastAsia"/>
          <w:sz w:val="32"/>
          <w:szCs w:val="32"/>
        </w:rPr>
        <w:t>（十七）其他资本性支出（支出经济分类科目类级）：</w:t>
      </w:r>
      <w:r>
        <w:rPr>
          <w:sz w:val="32"/>
          <w:szCs w:val="32"/>
        </w:rPr>
        <w:t>反映非各级发展与改革部门集中安排的用于购置固定资产、战略性和应急性储备、土地和无形资产，以及构建基础设施、大型修缮和财政支持企业更新改造所发生的支出。</w:t>
      </w:r>
    </w:p>
    <w:p w:rsidR="0003194E" w:rsidRDefault="00B32C91">
      <w:pPr>
        <w:pStyle w:val="a9"/>
        <w:widowControl/>
        <w:tabs>
          <w:tab w:val="center" w:pos="4153"/>
          <w:tab w:val="left" w:pos="7275"/>
        </w:tabs>
        <w:snapToGrid w:val="0"/>
        <w:spacing w:line="600" w:lineRule="exact"/>
        <w:ind w:firstLine="640"/>
        <w:outlineLvl w:val="0"/>
        <w:rPr>
          <w:rFonts w:eastAsia="方正黑体_GBK" w:cs="方正黑体_GBK"/>
          <w:kern w:val="0"/>
          <w:szCs w:val="32"/>
        </w:rPr>
      </w:pPr>
      <w:r>
        <w:rPr>
          <w:rFonts w:eastAsia="方正黑体_GBK" w:cs="方正黑体_GBK" w:hint="eastAsia"/>
          <w:kern w:val="0"/>
          <w:szCs w:val="32"/>
        </w:rPr>
        <w:t>七、决算公开联系方式</w:t>
      </w:r>
    </w:p>
    <w:p w:rsidR="0003194E" w:rsidRDefault="00B32C91">
      <w:pPr>
        <w:pStyle w:val="a9"/>
        <w:widowControl/>
        <w:tabs>
          <w:tab w:val="center" w:pos="4153"/>
          <w:tab w:val="left" w:pos="7275"/>
        </w:tabs>
        <w:snapToGrid w:val="0"/>
        <w:spacing w:line="600" w:lineRule="exact"/>
        <w:ind w:firstLine="640"/>
      </w:pPr>
      <w:r>
        <w:rPr>
          <w:rFonts w:hint="eastAsia"/>
          <w:kern w:val="0"/>
          <w:szCs w:val="32"/>
        </w:rPr>
        <w:lastRenderedPageBreak/>
        <w:t>本单位决算公开信息反馈和联系方式：</w:t>
      </w:r>
      <w:r>
        <w:rPr>
          <w:rFonts w:hint="eastAsia"/>
          <w:kern w:val="0"/>
          <w:szCs w:val="32"/>
        </w:rPr>
        <w:t>023-584</w:t>
      </w:r>
      <w:r>
        <w:rPr>
          <w:rFonts w:hint="eastAsia"/>
          <w:kern w:val="0"/>
          <w:szCs w:val="32"/>
        </w:rPr>
        <w:t>52169</w:t>
      </w:r>
    </w:p>
    <w:sectPr w:rsidR="0003194E" w:rsidSect="0003194E">
      <w:footerReference w:type="default" r:id="rId8"/>
      <w:pgSz w:w="11906" w:h="16838"/>
      <w:pgMar w:top="2098" w:right="1531" w:bottom="1985" w:left="1531" w:header="851" w:footer="147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91" w:rsidRDefault="00B32C91" w:rsidP="0003194E">
      <w:pPr>
        <w:spacing w:line="240" w:lineRule="auto"/>
      </w:pPr>
      <w:r>
        <w:separator/>
      </w:r>
    </w:p>
  </w:endnote>
  <w:endnote w:type="continuationSeparator" w:id="0">
    <w:p w:rsidR="00B32C91" w:rsidRDefault="00B32C91" w:rsidP="000319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Microsoft YaHei UI"/>
    <w:charset w:val="86"/>
    <w:family w:val="auto"/>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方正楷体_GBK">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4E" w:rsidRDefault="0003194E">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3194E" w:rsidRDefault="0003194E">
                <w:pPr>
                  <w:pStyle w:val="a5"/>
                </w:pPr>
                <w:r>
                  <w:rPr>
                    <w:rFonts w:hint="eastAsia"/>
                  </w:rPr>
                  <w:fldChar w:fldCharType="begin"/>
                </w:r>
                <w:r w:rsidR="00B32C91">
                  <w:rPr>
                    <w:rFonts w:hint="eastAsia"/>
                  </w:rPr>
                  <w:instrText xml:space="preserve"> PAGE  \* MERGEFORMAT </w:instrText>
                </w:r>
                <w:r>
                  <w:rPr>
                    <w:rFonts w:hint="eastAsia"/>
                  </w:rPr>
                  <w:fldChar w:fldCharType="separate"/>
                </w:r>
                <w:r w:rsidR="00916A46">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91" w:rsidRDefault="00B32C91" w:rsidP="0003194E">
      <w:pPr>
        <w:spacing w:line="240" w:lineRule="auto"/>
      </w:pPr>
      <w:r>
        <w:separator/>
      </w:r>
    </w:p>
  </w:footnote>
  <w:footnote w:type="continuationSeparator" w:id="0">
    <w:p w:rsidR="00B32C91" w:rsidRDefault="00B32C91" w:rsidP="000319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A84FE"/>
    <w:multiLevelType w:val="singleLevel"/>
    <w:tmpl w:val="ABBA84FE"/>
    <w:lvl w:ilvl="0">
      <w:start w:val="1"/>
      <w:numFmt w:val="decimal"/>
      <w:suff w:val="space"/>
      <w:lvlText w:val="%1."/>
      <w:lvlJc w:val="left"/>
    </w:lvl>
  </w:abstractNum>
  <w:abstractNum w:abstractNumId="1">
    <w:nsid w:val="BA0381D0"/>
    <w:multiLevelType w:val="singleLevel"/>
    <w:tmpl w:val="BA0381D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ZlOGFiNjBlYWQ2NjI0ZWExZmI0ZDEzYWMzMDQyOGUifQ=="/>
  </w:docVars>
  <w:rsids>
    <w:rsidRoot w:val="54C11331"/>
    <w:rsid w:val="0003194E"/>
    <w:rsid w:val="00916A46"/>
    <w:rsid w:val="00B32C91"/>
    <w:rsid w:val="03461469"/>
    <w:rsid w:val="03E56088"/>
    <w:rsid w:val="04E6106A"/>
    <w:rsid w:val="050968C4"/>
    <w:rsid w:val="0A33408F"/>
    <w:rsid w:val="0A7A4879"/>
    <w:rsid w:val="0AAB1FCF"/>
    <w:rsid w:val="0F7B722C"/>
    <w:rsid w:val="0FA638D0"/>
    <w:rsid w:val="10B23917"/>
    <w:rsid w:val="10E64CED"/>
    <w:rsid w:val="11056AA6"/>
    <w:rsid w:val="1491120C"/>
    <w:rsid w:val="14CE1789"/>
    <w:rsid w:val="170926C8"/>
    <w:rsid w:val="170D7AFC"/>
    <w:rsid w:val="18486028"/>
    <w:rsid w:val="18BC1A08"/>
    <w:rsid w:val="19711A67"/>
    <w:rsid w:val="1AF55C0A"/>
    <w:rsid w:val="1D2C5802"/>
    <w:rsid w:val="200030C5"/>
    <w:rsid w:val="20993A30"/>
    <w:rsid w:val="212A78E4"/>
    <w:rsid w:val="245F76D3"/>
    <w:rsid w:val="261D0154"/>
    <w:rsid w:val="26EA5FD1"/>
    <w:rsid w:val="27EF2BC2"/>
    <w:rsid w:val="281F2A9C"/>
    <w:rsid w:val="28E374EB"/>
    <w:rsid w:val="2DBD655D"/>
    <w:rsid w:val="2E0F4854"/>
    <w:rsid w:val="2E771E44"/>
    <w:rsid w:val="2FD6664C"/>
    <w:rsid w:val="3286786C"/>
    <w:rsid w:val="33EC6D58"/>
    <w:rsid w:val="343B26A4"/>
    <w:rsid w:val="38995D0E"/>
    <w:rsid w:val="3AD011E9"/>
    <w:rsid w:val="3B6534E7"/>
    <w:rsid w:val="3BCD02B3"/>
    <w:rsid w:val="3D030329"/>
    <w:rsid w:val="3DE95480"/>
    <w:rsid w:val="3E2553C1"/>
    <w:rsid w:val="3EF131D2"/>
    <w:rsid w:val="3F744810"/>
    <w:rsid w:val="3F9521AD"/>
    <w:rsid w:val="40EE75F8"/>
    <w:rsid w:val="419C171E"/>
    <w:rsid w:val="43275A9A"/>
    <w:rsid w:val="4601243B"/>
    <w:rsid w:val="47A944E3"/>
    <w:rsid w:val="48C217C8"/>
    <w:rsid w:val="48FF4956"/>
    <w:rsid w:val="4D934AC5"/>
    <w:rsid w:val="4DFC7FFE"/>
    <w:rsid w:val="4E21433F"/>
    <w:rsid w:val="4EA50C1B"/>
    <w:rsid w:val="504F2565"/>
    <w:rsid w:val="50AF5D81"/>
    <w:rsid w:val="54A02D5C"/>
    <w:rsid w:val="54C11331"/>
    <w:rsid w:val="54F460B0"/>
    <w:rsid w:val="56ED1F4F"/>
    <w:rsid w:val="5710642B"/>
    <w:rsid w:val="5C15661A"/>
    <w:rsid w:val="5DC10A85"/>
    <w:rsid w:val="5DF7251D"/>
    <w:rsid w:val="5E1B707A"/>
    <w:rsid w:val="613025C6"/>
    <w:rsid w:val="626F2439"/>
    <w:rsid w:val="6354054B"/>
    <w:rsid w:val="673246AB"/>
    <w:rsid w:val="67936B8B"/>
    <w:rsid w:val="69FE67AB"/>
    <w:rsid w:val="6A686ED9"/>
    <w:rsid w:val="6CB4576D"/>
    <w:rsid w:val="6E634EF3"/>
    <w:rsid w:val="6E91041D"/>
    <w:rsid w:val="6EEA01AC"/>
    <w:rsid w:val="705D1517"/>
    <w:rsid w:val="70E90C30"/>
    <w:rsid w:val="71092859"/>
    <w:rsid w:val="712728F0"/>
    <w:rsid w:val="72F11146"/>
    <w:rsid w:val="74E87104"/>
    <w:rsid w:val="74FB5F3B"/>
    <w:rsid w:val="75584A3B"/>
    <w:rsid w:val="76B92990"/>
    <w:rsid w:val="76EC6C2E"/>
    <w:rsid w:val="7750356B"/>
    <w:rsid w:val="77B50595"/>
    <w:rsid w:val="798831DE"/>
    <w:rsid w:val="7E6316A6"/>
    <w:rsid w:val="7E9F184F"/>
    <w:rsid w:val="7FD94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194E"/>
    <w:pPr>
      <w:widowControl w:val="0"/>
      <w:spacing w:line="580" w:lineRule="exact"/>
      <w:jc w:val="both"/>
    </w:pPr>
    <w:rPr>
      <w:rFonts w:eastAsia="方正仿宋_GBK"/>
      <w:kern w:val="2"/>
      <w:sz w:val="32"/>
      <w:szCs w:val="22"/>
    </w:rPr>
  </w:style>
  <w:style w:type="paragraph" w:styleId="1">
    <w:name w:val="heading 1"/>
    <w:basedOn w:val="a"/>
    <w:next w:val="a"/>
    <w:qFormat/>
    <w:rsid w:val="0003194E"/>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qFormat/>
    <w:rsid w:val="0003194E"/>
    <w:pPr>
      <w:ind w:leftChars="100" w:left="100" w:rightChars="100" w:right="100"/>
    </w:pPr>
  </w:style>
  <w:style w:type="paragraph" w:customStyle="1" w:styleId="a4">
    <w:name w:val="默认"/>
    <w:qFormat/>
    <w:rsid w:val="0003194E"/>
    <w:rPr>
      <w:rFonts w:ascii="Helvetica" w:hAnsi="Helvetica" w:cs="Helvetica"/>
      <w:color w:val="000000"/>
      <w:sz w:val="22"/>
      <w:szCs w:val="22"/>
    </w:rPr>
  </w:style>
  <w:style w:type="paragraph" w:styleId="a5">
    <w:name w:val="footer"/>
    <w:basedOn w:val="a"/>
    <w:uiPriority w:val="99"/>
    <w:unhideWhenUsed/>
    <w:qFormat/>
    <w:rsid w:val="0003194E"/>
    <w:pPr>
      <w:tabs>
        <w:tab w:val="center" w:pos="4153"/>
        <w:tab w:val="right" w:pos="8306"/>
      </w:tabs>
      <w:snapToGrid w:val="0"/>
      <w:jc w:val="left"/>
    </w:pPr>
    <w:rPr>
      <w:sz w:val="18"/>
      <w:szCs w:val="18"/>
    </w:rPr>
  </w:style>
  <w:style w:type="paragraph" w:styleId="a6">
    <w:name w:val="header"/>
    <w:basedOn w:val="a"/>
    <w:rsid w:val="000319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rsid w:val="0003194E"/>
    <w:pPr>
      <w:spacing w:before="100" w:beforeAutospacing="1" w:after="100" w:afterAutospacing="1"/>
      <w:jc w:val="left"/>
    </w:pPr>
    <w:rPr>
      <w:kern w:val="0"/>
      <w:sz w:val="24"/>
    </w:rPr>
  </w:style>
  <w:style w:type="character" w:styleId="a8">
    <w:name w:val="Strong"/>
    <w:basedOn w:val="a0"/>
    <w:qFormat/>
    <w:rsid w:val="0003194E"/>
    <w:rPr>
      <w:b/>
    </w:rPr>
  </w:style>
  <w:style w:type="paragraph" w:styleId="a9">
    <w:name w:val="List Paragraph"/>
    <w:basedOn w:val="a"/>
    <w:uiPriority w:val="34"/>
    <w:qFormat/>
    <w:rsid w:val="0003194E"/>
    <w:pPr>
      <w:ind w:firstLineChars="200" w:firstLine="420"/>
    </w:pPr>
  </w:style>
  <w:style w:type="character" w:customStyle="1" w:styleId="15">
    <w:name w:val="15"/>
    <w:basedOn w:val="a0"/>
    <w:qFormat/>
    <w:rsid w:val="0003194E"/>
    <w:rPr>
      <w:rFonts w:ascii="Times New Roman" w:hAnsi="Times New Roman" w:cs="Times New Roman" w:hint="default"/>
      <w:b/>
    </w:rPr>
  </w:style>
  <w:style w:type="character" w:customStyle="1" w:styleId="10">
    <w:name w:val="10"/>
    <w:basedOn w:val="a0"/>
    <w:qFormat/>
    <w:rsid w:val="0003194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1183</Words>
  <Characters>6749</Characters>
  <Application>Microsoft Office Word</Application>
  <DocSecurity>0</DocSecurity>
  <Lines>56</Lines>
  <Paragraphs>15</Paragraphs>
  <ScaleCrop>false</ScaleCrop>
  <Company>余家镇</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2023-11-14T07:07:00Z</cp:lastPrinted>
  <dcterms:created xsi:type="dcterms:W3CDTF">2022-10-19T10:03:00Z</dcterms:created>
  <dcterms:modified xsi:type="dcterms:W3CDTF">2023-12-15T01:29:00Z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E1EF7559A18044F687EACA60A0C30353</vt:lpwstr>
  </property>
</Properties>
</file>