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outlineLvl w:val="0"/>
        <w:rPr>
          <w:rFonts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重庆市万州区溪口乡人民政府</w:t>
      </w:r>
    </w:p>
    <w:p>
      <w:pPr>
        <w:spacing w:line="660" w:lineRule="exact"/>
        <w:jc w:val="center"/>
        <w:outlineLvl w:val="0"/>
        <w:rPr>
          <w:rFonts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2021</w:t>
      </w:r>
      <w:r>
        <w:rPr>
          <w:rFonts w:hint="eastAsia" w:ascii="方正小标宋_GBK" w:hAnsi="方正小标宋_GBK" w:eastAsia="方正小标宋_GBK" w:cs="方正小标宋_GBK"/>
          <w:kern w:val="0"/>
          <w:sz w:val="44"/>
          <w:szCs w:val="44"/>
          <w:shd w:val="clear" w:color="auto" w:fill="FFFFFF"/>
          <w:lang w:eastAsia="zh-CN"/>
        </w:rPr>
        <w:t>年单位</w:t>
      </w:r>
      <w:r>
        <w:rPr>
          <w:rFonts w:hint="eastAsia" w:ascii="方正小标宋_GBK" w:hAnsi="方正小标宋_GBK" w:eastAsia="方正小标宋_GBK" w:cs="方正小标宋_GBK"/>
          <w:kern w:val="0"/>
          <w:sz w:val="44"/>
          <w:szCs w:val="44"/>
          <w:shd w:val="clear" w:color="auto" w:fill="FFFFFF"/>
        </w:rPr>
        <w:t>决算情况说明</w:t>
      </w:r>
    </w:p>
    <w:p>
      <w:pPr>
        <w:spacing w:line="560" w:lineRule="exact"/>
        <w:jc w:val="center"/>
        <w:outlineLvl w:val="0"/>
        <w:rPr>
          <w:szCs w:val="32"/>
          <w:shd w:val="clear" w:color="auto" w:fill="FFFFFF"/>
        </w:rPr>
      </w:pPr>
    </w:p>
    <w:p>
      <w:pPr>
        <w:pStyle w:val="4"/>
        <w:numPr>
          <w:ilvl w:val="0"/>
          <w:numId w:val="1"/>
        </w:numPr>
        <w:shd w:val="clear" w:color="auto" w:fill="FFFFFF"/>
        <w:spacing w:before="0" w:beforeAutospacing="0" w:after="0" w:afterAutospacing="0" w:line="560" w:lineRule="exact"/>
        <w:ind w:firstLine="640" w:firstLineChars="200"/>
        <w:jc w:val="both"/>
        <w:rPr>
          <w:rFonts w:ascii="方正黑体_GBK" w:hAnsi="方正黑体_GBK" w:eastAsia="方正黑体_GBK" w:cs="方正黑体_GBK"/>
          <w:bCs/>
          <w:sz w:val="32"/>
          <w:szCs w:val="32"/>
          <w:shd w:val="clear" w:color="auto" w:fill="FFFFFF"/>
        </w:rPr>
      </w:pPr>
      <w:r>
        <w:rPr>
          <w:rFonts w:hint="eastAsia" w:ascii="方正黑体_GBK" w:hAnsi="方正黑体_GBK" w:eastAsia="方正黑体_GBK" w:cs="方正黑体_GBK"/>
          <w:bCs/>
          <w:sz w:val="32"/>
          <w:szCs w:val="32"/>
          <w:shd w:val="clear" w:color="auto" w:fill="FFFFFF"/>
        </w:rPr>
        <w:t>单位基本情况</w:t>
      </w:r>
    </w:p>
    <w:p>
      <w:pPr>
        <w:pStyle w:val="4"/>
        <w:spacing w:before="0" w:beforeAutospacing="0" w:after="0" w:afterAutospacing="0" w:line="560" w:lineRule="exact"/>
        <w:ind w:firstLine="640" w:firstLineChars="200"/>
        <w:jc w:val="both"/>
        <w:rPr>
          <w:rFonts w:ascii="方正楷体_GBK" w:hAnsi="方正楷体_GBK" w:eastAsia="方正楷体_GBK" w:cs="方正楷体_GBK"/>
          <w:color w:val="333333"/>
          <w:sz w:val="32"/>
          <w:szCs w:val="32"/>
        </w:rPr>
      </w:pPr>
      <w:r>
        <w:rPr>
          <w:rFonts w:hint="eastAsia" w:ascii="方正楷体_GBK" w:hAnsi="方正楷体_GBK" w:eastAsia="方正楷体_GBK" w:cs="方正楷体_GBK"/>
          <w:color w:val="333333"/>
          <w:sz w:val="32"/>
          <w:szCs w:val="32"/>
        </w:rPr>
        <w:t>（一）职能职责</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贯彻执行党的路线方针政策和国家的法律法规，深学笃用习近平新时代中国特色社会主义思想，坚持以人民为中心的发展思想，充分发挥</w:t>
      </w:r>
      <w:r>
        <w:rPr>
          <w:rFonts w:hint="eastAsia"/>
          <w:color w:val="333333"/>
          <w:kern w:val="44"/>
          <w:sz w:val="32"/>
          <w:szCs w:val="32"/>
          <w:lang w:eastAsia="zh-CN"/>
        </w:rPr>
        <w:t>乡</w:t>
      </w:r>
      <w:r>
        <w:rPr>
          <w:color w:val="333333"/>
          <w:kern w:val="44"/>
          <w:sz w:val="32"/>
          <w:szCs w:val="32"/>
        </w:rPr>
        <w:t>党委领导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w:t>
      </w:r>
      <w:r>
        <w:rPr>
          <w:rFonts w:hint="eastAsia"/>
          <w:color w:val="333333"/>
          <w:kern w:val="44"/>
          <w:sz w:val="32"/>
          <w:szCs w:val="32"/>
          <w:lang w:eastAsia="zh-CN"/>
        </w:rPr>
        <w:t>民生</w:t>
      </w:r>
      <w:r>
        <w:rPr>
          <w:color w:val="333333"/>
          <w:kern w:val="44"/>
          <w:sz w:val="32"/>
          <w:szCs w:val="32"/>
        </w:rPr>
        <w:t>管理、公共安全等方面职能。承担区级部门下放的服务管理职权、承担依法授权或委托的行政执法权。构建职能科学、运转有序、保障有力、服务高效、人民满意的</w:t>
      </w:r>
      <w:r>
        <w:rPr>
          <w:rFonts w:hint="eastAsia"/>
          <w:color w:val="333333"/>
          <w:kern w:val="44"/>
          <w:sz w:val="32"/>
          <w:szCs w:val="32"/>
        </w:rPr>
        <w:t>乡</w:t>
      </w:r>
      <w:r>
        <w:rPr>
          <w:color w:val="333333"/>
          <w:kern w:val="44"/>
          <w:sz w:val="32"/>
          <w:szCs w:val="32"/>
        </w:rPr>
        <w:t>政府服务管理体制机制。</w:t>
      </w:r>
    </w:p>
    <w:p>
      <w:pPr>
        <w:pStyle w:val="4"/>
        <w:spacing w:before="0" w:beforeAutospacing="0" w:after="0" w:afterAutospacing="0" w:line="560" w:lineRule="exact"/>
        <w:ind w:firstLine="640" w:firstLineChars="200"/>
        <w:jc w:val="both"/>
        <w:rPr>
          <w:rFonts w:ascii="方正楷体_GBK" w:hAnsi="方正楷体_GBK" w:eastAsia="方正楷体_GBK" w:cs="方正楷体_GBK"/>
          <w:color w:val="333333"/>
          <w:sz w:val="32"/>
          <w:szCs w:val="32"/>
        </w:rPr>
      </w:pPr>
      <w:r>
        <w:rPr>
          <w:rFonts w:ascii="方正楷体_GBK" w:hAnsi="方正楷体_GBK" w:eastAsia="方正楷体_GBK" w:cs="方正楷体_GBK"/>
          <w:color w:val="333333"/>
          <w:sz w:val="32"/>
          <w:szCs w:val="32"/>
        </w:rPr>
        <w:t>（</w:t>
      </w:r>
      <w:r>
        <w:rPr>
          <w:rFonts w:hint="eastAsia" w:ascii="方正楷体_GBK" w:hAnsi="方正楷体_GBK" w:eastAsia="方正楷体_GBK" w:cs="方正楷体_GBK"/>
          <w:color w:val="333333"/>
          <w:sz w:val="32"/>
          <w:szCs w:val="32"/>
        </w:rPr>
        <w:t>二</w:t>
      </w:r>
      <w:r>
        <w:rPr>
          <w:rFonts w:ascii="方正楷体_GBK" w:hAnsi="方正楷体_GBK" w:eastAsia="方正楷体_GBK" w:cs="方正楷体_GBK"/>
          <w:color w:val="333333"/>
          <w:sz w:val="32"/>
          <w:szCs w:val="32"/>
        </w:rPr>
        <w:t>）机构设置</w:t>
      </w:r>
    </w:p>
    <w:p>
      <w:pPr>
        <w:pStyle w:val="4"/>
        <w:spacing w:before="0" w:beforeAutospacing="0" w:after="0" w:afterAutospacing="0" w:line="560" w:lineRule="exact"/>
        <w:ind w:firstLine="645"/>
        <w:jc w:val="both"/>
        <w:rPr>
          <w:color w:val="333333"/>
          <w:kern w:val="44"/>
          <w:sz w:val="32"/>
          <w:szCs w:val="32"/>
        </w:rPr>
      </w:pPr>
      <w:r>
        <w:rPr>
          <w:rFonts w:hint="eastAsia" w:ascii="方正仿宋_GBK" w:hAnsi="方正仿宋_GBK" w:cs="方正仿宋_GBK"/>
          <w:color w:val="333333"/>
          <w:kern w:val="44"/>
          <w:sz w:val="32"/>
          <w:szCs w:val="32"/>
        </w:rPr>
        <w:t>1.综合办事机构设置</w:t>
      </w:r>
      <w:r>
        <w:rPr>
          <w:color w:val="333333"/>
          <w:kern w:val="44"/>
          <w:sz w:val="32"/>
          <w:szCs w:val="32"/>
        </w:rPr>
        <w:t>：我单位内设</w:t>
      </w:r>
      <w:r>
        <w:rPr>
          <w:rFonts w:hint="eastAsia"/>
          <w:color w:val="333333"/>
          <w:kern w:val="44"/>
          <w:sz w:val="32"/>
          <w:szCs w:val="32"/>
          <w:lang w:val="en-US" w:eastAsia="zh-CN"/>
        </w:rPr>
        <w:t>7</w:t>
      </w:r>
      <w:r>
        <w:rPr>
          <w:color w:val="333333"/>
          <w:kern w:val="44"/>
          <w:sz w:val="32"/>
          <w:szCs w:val="32"/>
        </w:rPr>
        <w:t>个综合办事机构，机构为正科级。分别是党政办公室、党群工作办公室、经济发展办公室</w:t>
      </w:r>
      <w:r>
        <w:rPr>
          <w:rFonts w:hint="eastAsia"/>
          <w:color w:val="333333"/>
          <w:kern w:val="44"/>
          <w:sz w:val="32"/>
          <w:szCs w:val="32"/>
        </w:rPr>
        <w:t>(挂统计办公室、村经营管理办公室、扶贫开发办公室牌子)、民政和社会事务办公室（挂卫生健康办公室牌子）、平安建设办公室、财政办公室、应急管理办公室。</w:t>
      </w:r>
    </w:p>
    <w:p>
      <w:pPr>
        <w:pStyle w:val="4"/>
        <w:spacing w:before="0" w:beforeAutospacing="0" w:after="0" w:afterAutospacing="0" w:line="560" w:lineRule="exact"/>
        <w:ind w:firstLine="645"/>
        <w:jc w:val="both"/>
        <w:rPr>
          <w:color w:val="333333"/>
          <w:kern w:val="44"/>
          <w:sz w:val="32"/>
          <w:szCs w:val="32"/>
        </w:rPr>
      </w:pPr>
      <w:r>
        <w:rPr>
          <w:rFonts w:hint="eastAsia"/>
          <w:color w:val="333333"/>
          <w:kern w:val="44"/>
          <w:sz w:val="32"/>
          <w:szCs w:val="32"/>
        </w:rPr>
        <w:t>乡人大办公室、纪委、武装部按照有关规定设置。工会、团委、妇联等群团按章程设置，具体工作由党群工作办公室承担。</w:t>
      </w:r>
    </w:p>
    <w:p>
      <w:pPr>
        <w:pStyle w:val="4"/>
        <w:spacing w:before="0" w:beforeAutospacing="0" w:after="0" w:afterAutospacing="0" w:line="560" w:lineRule="exact"/>
        <w:ind w:firstLine="645"/>
        <w:jc w:val="both"/>
        <w:rPr>
          <w:color w:val="333333"/>
          <w:kern w:val="44"/>
          <w:sz w:val="32"/>
          <w:szCs w:val="32"/>
        </w:rPr>
      </w:pPr>
      <w:r>
        <w:rPr>
          <w:rFonts w:hint="eastAsia" w:ascii="方正仿宋_GBK" w:hAnsi="方正仿宋_GBK" w:cs="方正仿宋_GBK"/>
          <w:color w:val="333333"/>
          <w:kern w:val="44"/>
          <w:sz w:val="32"/>
          <w:szCs w:val="32"/>
        </w:rPr>
        <w:t>2.事业站所设置：</w:t>
      </w:r>
      <w:r>
        <w:rPr>
          <w:color w:val="333333"/>
          <w:kern w:val="44"/>
          <w:sz w:val="32"/>
          <w:szCs w:val="32"/>
        </w:rPr>
        <w:t>我单位设置事业站所6个，机构规格为正科级。分别是农业服务中心、文化服务中心、劳动就业和社会保障服务所、村镇建设环保服务中心、退役军人服务站、综合行政执法大队。</w:t>
      </w:r>
    </w:p>
    <w:p>
      <w:pPr>
        <w:pStyle w:val="4"/>
        <w:spacing w:before="0" w:beforeAutospacing="0" w:after="0" w:afterAutospacing="0" w:line="560" w:lineRule="exact"/>
        <w:ind w:firstLine="640" w:firstLineChars="200"/>
        <w:jc w:val="both"/>
        <w:rPr>
          <w:rFonts w:ascii="方正楷体_GBK" w:hAnsi="方正楷体_GBK" w:eastAsia="方正楷体_GBK" w:cs="方正楷体_GBK"/>
          <w:color w:val="333333"/>
          <w:kern w:val="44"/>
          <w:sz w:val="32"/>
          <w:szCs w:val="32"/>
        </w:rPr>
      </w:pPr>
      <w:r>
        <w:rPr>
          <w:rFonts w:hint="eastAsia" w:ascii="方正楷体_GBK" w:hAnsi="方正楷体_GBK" w:eastAsia="方正楷体_GBK" w:cs="方正楷体_GBK"/>
          <w:color w:val="333333"/>
          <w:kern w:val="44"/>
          <w:sz w:val="32"/>
          <w:szCs w:val="32"/>
        </w:rPr>
        <w:t>（三）单位构成</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1.党政办公室（人大办公室）</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位于政府一楼。主要负责纪检、宣传、统战、武装、民宗侨台以及综合协调、文秘等职责；负责人大、政务服务、政务公开、政务信息、保密、党史、档案、考核、采购、机关管理、大数据应用管理等工作；负责承办政协具体事务；完成乡党委、政府和上级部门交办的其他任务。</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2.党群工作办公室</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位于政府四楼。主要负责党的建设、编制、人事、群团、老龄事业发展等职责；完成乡党委、政府和上级部门交办的其他任务。</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3.经济发展办公室（挂统计办公室、农村经营管理办公室、扶贫开发办公室牌子）</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位于政府二楼。主要负责经济发展规划、农村经营管理、农村改革与发展、乡村旅游、经济社会统计及贯彻执行扶贫开发方针政策、扶贫开发工作的统筹协调、产业扶贫指导、扶贫政策法规及相关技能培训的指导管理等职责，负责招商引资、商贸、物流、能源、通讯、移民、对口支援等；承担军民融合发展相关工作；完成乡党委、政府和上级部门交办的其他任务。</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4.民政和社区事务办公室（挂卫生健康办公室牌子）</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位于乡公共服务中心一楼。主要负责民政、教育、卫生、计生、社会救助、残疾人事业等职责；负责低保对象的审核。负责村（居）务公开工作、职业安全健康监督管理等工作；完成乡党委、政府和上级部门交办的其他任务。</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5.平安建设办公室</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位于</w:t>
      </w:r>
      <w:r>
        <w:rPr>
          <w:rFonts w:hint="eastAsia"/>
          <w:color w:val="333333"/>
          <w:kern w:val="44"/>
          <w:sz w:val="32"/>
          <w:szCs w:val="32"/>
        </w:rPr>
        <w:t>政府一楼</w:t>
      </w:r>
      <w:r>
        <w:rPr>
          <w:color w:val="333333"/>
          <w:kern w:val="44"/>
          <w:sz w:val="32"/>
          <w:szCs w:val="32"/>
        </w:rPr>
        <w:t>。主要负责信访稳定、法治、人民调解、社会治安综合治理、防范和处理邪教、扫黑除恶等职责；完成乡党委、政府和上级部门交办的其他任务。</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6.财政办公室</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位于政府二楼。主要负责财政收支、预决算、总会计、支农惠民资金兑付、财政资金监督检查、绩效评价、村（社区）级财务管理等职责；负责国有资产管理、内部审计、税务等工作；完成乡党委、政府和上级部门交办的其他任务。</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7.应急管理办公室</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位于场镇（原食品药品监督管理中心）。主要负责应急管理、安全生产综合监管、消防、食品药品和交通安全、交通建设，牵头抓好防灾减灾救灾、地质灾害防治、防震救灾、水旱灾害防治、森林防火、防汛抗旱等工作，协助开展煤矿、非煤矿山、危险化学品、烟花爆竹、特种设备等安全生产日常监管工作。完成乡党委、政府和上级部门交办的其他任务。</w:t>
      </w:r>
    </w:p>
    <w:p>
      <w:pPr>
        <w:pStyle w:val="4"/>
        <w:spacing w:before="0" w:beforeAutospacing="0" w:after="0" w:afterAutospacing="0" w:line="560" w:lineRule="exact"/>
        <w:ind w:firstLine="645"/>
        <w:jc w:val="both"/>
        <w:rPr>
          <w:color w:val="333333"/>
          <w:kern w:val="44"/>
          <w:sz w:val="32"/>
          <w:szCs w:val="32"/>
        </w:rPr>
      </w:pPr>
      <w:r>
        <w:rPr>
          <w:rFonts w:hint="eastAsia"/>
          <w:color w:val="333333"/>
          <w:kern w:val="44"/>
          <w:sz w:val="32"/>
          <w:szCs w:val="32"/>
        </w:rPr>
        <w:t>8</w:t>
      </w:r>
      <w:r>
        <w:rPr>
          <w:color w:val="333333"/>
          <w:kern w:val="44"/>
          <w:sz w:val="32"/>
          <w:szCs w:val="32"/>
        </w:rPr>
        <w:t>.农业服务中心</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位于场镇（政府对面）。主要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负责农村人居环境整治工作，完成乡党委、政府和上级部门交办的其他任务。</w:t>
      </w:r>
    </w:p>
    <w:p>
      <w:pPr>
        <w:pStyle w:val="4"/>
        <w:spacing w:before="0" w:beforeAutospacing="0" w:after="0" w:afterAutospacing="0" w:line="560" w:lineRule="exact"/>
        <w:ind w:firstLine="645"/>
        <w:jc w:val="both"/>
        <w:rPr>
          <w:color w:val="333333"/>
          <w:kern w:val="44"/>
          <w:sz w:val="32"/>
          <w:szCs w:val="32"/>
        </w:rPr>
      </w:pPr>
      <w:r>
        <w:rPr>
          <w:rFonts w:hint="eastAsia"/>
          <w:color w:val="333333"/>
          <w:kern w:val="44"/>
          <w:sz w:val="32"/>
          <w:szCs w:val="32"/>
        </w:rPr>
        <w:t>9</w:t>
      </w:r>
      <w:r>
        <w:rPr>
          <w:color w:val="333333"/>
          <w:kern w:val="44"/>
          <w:sz w:val="32"/>
          <w:szCs w:val="32"/>
        </w:rPr>
        <w:t>.文化服务中心</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位于乡公共服务中心</w:t>
      </w:r>
      <w:r>
        <w:rPr>
          <w:rFonts w:hint="eastAsia"/>
          <w:color w:val="333333"/>
          <w:kern w:val="44"/>
          <w:sz w:val="32"/>
          <w:szCs w:val="32"/>
        </w:rPr>
        <w:t>二</w:t>
      </w:r>
      <w:r>
        <w:rPr>
          <w:color w:val="333333"/>
          <w:kern w:val="44"/>
          <w:sz w:val="32"/>
          <w:szCs w:val="32"/>
        </w:rPr>
        <w:t>楼。主要承担文化、宣传、广播电视、体育、科技培训等方面工作，完成乡党委、政府和上级部门交办的其他任务。</w:t>
      </w:r>
    </w:p>
    <w:p>
      <w:pPr>
        <w:pStyle w:val="4"/>
        <w:spacing w:before="0" w:beforeAutospacing="0" w:after="0" w:afterAutospacing="0" w:line="560" w:lineRule="exact"/>
        <w:ind w:firstLine="645"/>
        <w:jc w:val="both"/>
        <w:rPr>
          <w:color w:val="333333"/>
          <w:kern w:val="44"/>
          <w:sz w:val="32"/>
          <w:szCs w:val="32"/>
        </w:rPr>
      </w:pPr>
      <w:r>
        <w:rPr>
          <w:rFonts w:hint="eastAsia"/>
          <w:color w:val="333333"/>
          <w:kern w:val="44"/>
          <w:sz w:val="32"/>
          <w:szCs w:val="32"/>
        </w:rPr>
        <w:t>10</w:t>
      </w:r>
      <w:r>
        <w:rPr>
          <w:color w:val="333333"/>
          <w:kern w:val="44"/>
          <w:sz w:val="32"/>
          <w:szCs w:val="32"/>
        </w:rPr>
        <w:t>.劳动就业和社会保障服务所</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位于乡公共服务中心一楼。主要承担劳动和社会保障、就业、再就业及农村富余劳动力转移工作；下岗失业人员的就业指导、培训、介绍以及流动人口的就业服务管理；完成乡党委、政府和上级部门交办的其他任务。</w:t>
      </w:r>
    </w:p>
    <w:p>
      <w:pPr>
        <w:pStyle w:val="4"/>
        <w:spacing w:before="0" w:beforeAutospacing="0" w:after="0" w:afterAutospacing="0" w:line="560" w:lineRule="exact"/>
        <w:ind w:firstLine="645"/>
        <w:jc w:val="both"/>
        <w:rPr>
          <w:color w:val="333333"/>
          <w:kern w:val="44"/>
          <w:sz w:val="32"/>
          <w:szCs w:val="32"/>
        </w:rPr>
      </w:pPr>
      <w:r>
        <w:rPr>
          <w:rFonts w:hint="eastAsia"/>
          <w:color w:val="333333"/>
          <w:kern w:val="44"/>
          <w:sz w:val="32"/>
          <w:szCs w:val="32"/>
        </w:rPr>
        <w:t>11</w:t>
      </w:r>
      <w:r>
        <w:rPr>
          <w:color w:val="333333"/>
          <w:kern w:val="44"/>
          <w:sz w:val="32"/>
          <w:szCs w:val="32"/>
        </w:rPr>
        <w:t>.村镇建设环保服务中心</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位于乡公共服务中心</w:t>
      </w:r>
      <w:r>
        <w:rPr>
          <w:rFonts w:hint="eastAsia"/>
          <w:color w:val="333333"/>
          <w:kern w:val="44"/>
          <w:sz w:val="32"/>
          <w:szCs w:val="32"/>
        </w:rPr>
        <w:t>二</w:t>
      </w:r>
      <w:r>
        <w:rPr>
          <w:color w:val="333333"/>
          <w:kern w:val="44"/>
          <w:sz w:val="32"/>
          <w:szCs w:val="32"/>
        </w:rPr>
        <w:t>楼。主要负责村镇规划、村镇建设、市政公用、市容环卫、环境保护等职责。完成乡党委、政府和上级部门交办的其他任务。</w:t>
      </w:r>
    </w:p>
    <w:p>
      <w:pPr>
        <w:pStyle w:val="4"/>
        <w:spacing w:before="0" w:beforeAutospacing="0" w:after="0" w:afterAutospacing="0" w:line="560" w:lineRule="exact"/>
        <w:ind w:firstLine="645"/>
        <w:jc w:val="both"/>
        <w:rPr>
          <w:color w:val="333333"/>
          <w:kern w:val="44"/>
          <w:sz w:val="32"/>
          <w:szCs w:val="32"/>
        </w:rPr>
      </w:pPr>
      <w:r>
        <w:rPr>
          <w:rFonts w:hint="eastAsia"/>
          <w:color w:val="333333"/>
          <w:kern w:val="44"/>
          <w:sz w:val="32"/>
          <w:szCs w:val="32"/>
        </w:rPr>
        <w:t>12</w:t>
      </w:r>
      <w:r>
        <w:rPr>
          <w:color w:val="333333"/>
          <w:kern w:val="44"/>
          <w:sz w:val="32"/>
          <w:szCs w:val="32"/>
        </w:rPr>
        <w:t>.退役军人服务站</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位于乡公共服务中心一楼。主要承担退役军人的关系转接、联络接待、困难帮扶、信息采集、情况反映、立功喜报、悬挂光荣牌和“八一”、春节等节日以及重大变故走访慰问等具体事务，完成乡党委、政府和上级部门交办的其他任务。</w:t>
      </w:r>
    </w:p>
    <w:p>
      <w:pPr>
        <w:pStyle w:val="4"/>
        <w:spacing w:before="0" w:beforeAutospacing="0" w:after="0" w:afterAutospacing="0" w:line="560" w:lineRule="exact"/>
        <w:ind w:firstLine="645"/>
        <w:jc w:val="both"/>
        <w:rPr>
          <w:color w:val="333333"/>
          <w:kern w:val="44"/>
          <w:sz w:val="32"/>
          <w:szCs w:val="32"/>
        </w:rPr>
      </w:pPr>
      <w:r>
        <w:rPr>
          <w:rFonts w:hint="eastAsia"/>
          <w:color w:val="333333"/>
          <w:kern w:val="44"/>
          <w:sz w:val="32"/>
          <w:szCs w:val="32"/>
        </w:rPr>
        <w:t>13</w:t>
      </w:r>
      <w:r>
        <w:rPr>
          <w:color w:val="333333"/>
          <w:kern w:val="44"/>
          <w:sz w:val="32"/>
          <w:szCs w:val="32"/>
        </w:rPr>
        <w:t>.综合行政执法大队</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位于政府一楼。主要负责集中行使依法授权或委托的农林水利、规划建设、环境保护、卫生计生、文化旅游、民政管理、城市管理、市场监管、自然资源、交通运输等领域的行政执法权。完成乡党委、政府和上级部门交办的其他任务。</w:t>
      </w:r>
    </w:p>
    <w:p>
      <w:pPr>
        <w:pStyle w:val="4"/>
        <w:spacing w:before="0" w:beforeAutospacing="0" w:after="0" w:afterAutospacing="0" w:line="560" w:lineRule="exact"/>
        <w:ind w:firstLine="645"/>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二、部门决算情况说明</w:t>
      </w:r>
    </w:p>
    <w:p>
      <w:pPr>
        <w:pStyle w:val="4"/>
        <w:spacing w:before="0" w:beforeAutospacing="0" w:after="0" w:afterAutospacing="0" w:line="560" w:lineRule="exact"/>
        <w:ind w:firstLine="640" w:firstLineChars="200"/>
        <w:jc w:val="both"/>
        <w:rPr>
          <w:rFonts w:ascii="方正楷体_GBK" w:hAnsi="方正楷体_GBK" w:eastAsia="方正楷体_GBK" w:cs="方正楷体_GBK"/>
          <w:color w:val="333333"/>
          <w:kern w:val="44"/>
          <w:sz w:val="32"/>
          <w:szCs w:val="32"/>
        </w:rPr>
      </w:pPr>
      <w:r>
        <w:rPr>
          <w:rFonts w:hint="eastAsia" w:ascii="方正楷体_GBK" w:hAnsi="方正楷体_GBK" w:eastAsia="方正楷体_GBK" w:cs="方正楷体_GBK"/>
          <w:color w:val="333333"/>
          <w:kern w:val="44"/>
          <w:sz w:val="32"/>
          <w:szCs w:val="32"/>
        </w:rPr>
        <w:t>（一）收入支出决算总体情况说明。</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1.总体情况</w:t>
      </w:r>
      <w:r>
        <w:rPr>
          <w:rFonts w:hint="eastAsia"/>
          <w:color w:val="333333"/>
          <w:kern w:val="44"/>
          <w:sz w:val="32"/>
          <w:szCs w:val="32"/>
        </w:rPr>
        <w:t>。2021</w:t>
      </w:r>
      <w:r>
        <w:rPr>
          <w:color w:val="333333"/>
          <w:kern w:val="44"/>
          <w:sz w:val="32"/>
          <w:szCs w:val="32"/>
        </w:rPr>
        <w:t>年度收入总计3946.03万元，支出总计3946.03万元。收支较上年决算数增加75.35万元（含上年结转8.73万元），主要原因是2021年项目增加。</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2.收入情况</w:t>
      </w:r>
      <w:r>
        <w:rPr>
          <w:rFonts w:hint="eastAsia"/>
          <w:color w:val="333333"/>
          <w:kern w:val="44"/>
          <w:sz w:val="32"/>
          <w:szCs w:val="32"/>
        </w:rPr>
        <w:t>。</w:t>
      </w:r>
      <w:r>
        <w:rPr>
          <w:color w:val="333333"/>
          <w:kern w:val="44"/>
          <w:sz w:val="32"/>
          <w:szCs w:val="32"/>
        </w:rPr>
        <w:t>2021年度收入合计3937.31万元，较上年决算数增加66.63万元，增加1.72%，主要原因是本年度财政补助项目增加。其中：财政拨款收入3,937.31万元，占100%。此外，年初结转和结余8.73万元。</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3.支出情况</w:t>
      </w:r>
      <w:r>
        <w:rPr>
          <w:rFonts w:hint="eastAsia"/>
          <w:color w:val="333333"/>
          <w:kern w:val="44"/>
          <w:sz w:val="32"/>
          <w:szCs w:val="32"/>
        </w:rPr>
        <w:t>。</w:t>
      </w:r>
      <w:r>
        <w:rPr>
          <w:color w:val="333333"/>
          <w:kern w:val="44"/>
          <w:sz w:val="32"/>
          <w:szCs w:val="32"/>
        </w:rPr>
        <w:t>2021年度支出合计3946.03万元(含上年结转8.73万元)，较上年决算数增加75.35万元，增加1.95%，主要原因是项目增加。其中：基本支出1,215.27万元，占30.8%；项目支出2,730.76万元，占69.2%。</w:t>
      </w:r>
    </w:p>
    <w:p>
      <w:pPr>
        <w:pStyle w:val="4"/>
        <w:spacing w:before="0" w:beforeAutospacing="0" w:after="0" w:afterAutospacing="0" w:line="560" w:lineRule="exact"/>
        <w:ind w:firstLine="640" w:firstLineChars="200"/>
        <w:jc w:val="both"/>
        <w:rPr>
          <w:color w:val="333333"/>
          <w:kern w:val="44"/>
          <w:sz w:val="32"/>
          <w:szCs w:val="32"/>
        </w:rPr>
      </w:pPr>
      <w:r>
        <w:rPr>
          <w:color w:val="333333"/>
          <w:kern w:val="44"/>
          <w:sz w:val="32"/>
          <w:szCs w:val="32"/>
        </w:rPr>
        <w:t>4.结转结余情况</w:t>
      </w:r>
      <w:r>
        <w:rPr>
          <w:rFonts w:hint="eastAsia"/>
          <w:color w:val="333333"/>
          <w:kern w:val="44"/>
          <w:sz w:val="32"/>
          <w:szCs w:val="32"/>
        </w:rPr>
        <w:t>。</w:t>
      </w:r>
      <w:r>
        <w:rPr>
          <w:color w:val="333333"/>
          <w:kern w:val="44"/>
          <w:sz w:val="32"/>
          <w:szCs w:val="32"/>
        </w:rPr>
        <w:t>2021年度年末结转和结余0.00万元。</w:t>
      </w:r>
    </w:p>
    <w:p>
      <w:pPr>
        <w:pStyle w:val="4"/>
        <w:spacing w:before="0" w:beforeAutospacing="0" w:after="0" w:afterAutospacing="0" w:line="560" w:lineRule="exact"/>
        <w:ind w:firstLine="640" w:firstLineChars="200"/>
        <w:jc w:val="both"/>
        <w:rPr>
          <w:rFonts w:ascii="方正楷体_GBK" w:hAnsi="方正楷体_GBK" w:eastAsia="方正楷体_GBK" w:cs="方正楷体_GBK"/>
          <w:color w:val="333333"/>
          <w:kern w:val="44"/>
          <w:sz w:val="32"/>
          <w:szCs w:val="32"/>
        </w:rPr>
      </w:pPr>
      <w:r>
        <w:rPr>
          <w:rFonts w:ascii="方正楷体_GBK" w:hAnsi="方正楷体_GBK" w:eastAsia="方正楷体_GBK" w:cs="方正楷体_GBK"/>
          <w:color w:val="333333"/>
          <w:kern w:val="44"/>
          <w:sz w:val="32"/>
          <w:szCs w:val="32"/>
        </w:rPr>
        <w:t>（二）财政拨款收入支出决算总体情况说明。</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2021年度财政拨款收、支总计3,946.03万元。与2020年相比，财政拨款收、支总计各增加75.35万元，增长1.9%。主要原因是项目增加。</w:t>
      </w:r>
    </w:p>
    <w:p>
      <w:pPr>
        <w:pStyle w:val="4"/>
        <w:spacing w:before="0" w:beforeAutospacing="0" w:after="0" w:afterAutospacing="0" w:line="560" w:lineRule="exact"/>
        <w:ind w:firstLine="640" w:firstLineChars="200"/>
        <w:jc w:val="both"/>
        <w:rPr>
          <w:rFonts w:ascii="方正楷体_GBK" w:hAnsi="方正楷体_GBK" w:eastAsia="方正楷体_GBK" w:cs="方正楷体_GBK"/>
          <w:color w:val="333333"/>
          <w:kern w:val="44"/>
          <w:sz w:val="32"/>
          <w:szCs w:val="32"/>
        </w:rPr>
      </w:pPr>
      <w:r>
        <w:rPr>
          <w:rFonts w:ascii="方正楷体_GBK" w:hAnsi="方正楷体_GBK" w:eastAsia="方正楷体_GBK" w:cs="方正楷体_GBK"/>
          <w:color w:val="333333"/>
          <w:kern w:val="44"/>
          <w:sz w:val="32"/>
          <w:szCs w:val="32"/>
        </w:rPr>
        <w:t>（三）一般公共预算财政拨款收入支出决算情况说明。</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1.收入情况</w:t>
      </w:r>
      <w:r>
        <w:rPr>
          <w:rFonts w:hint="eastAsia"/>
          <w:color w:val="333333"/>
          <w:kern w:val="44"/>
          <w:sz w:val="32"/>
          <w:szCs w:val="32"/>
        </w:rPr>
        <w:t>。</w:t>
      </w:r>
      <w:r>
        <w:rPr>
          <w:color w:val="333333"/>
          <w:kern w:val="44"/>
          <w:sz w:val="32"/>
          <w:szCs w:val="32"/>
        </w:rPr>
        <w:t>2021年度一般公共预算财政拨款收入2,240.75万元，较上年决算数增加96.56万元，增长4.5%。主要原因是社保类、农林水类项目增加。较年初预算数增加1,112.45万元，增长98.6%。主要原因是追加下达项目，比如抚恤、农林水等项目年初均为预算在内。此外，年初财政拨款结转和结余8.73万元。</w:t>
      </w:r>
    </w:p>
    <w:p>
      <w:pPr>
        <w:pStyle w:val="4"/>
        <w:spacing w:before="0" w:beforeAutospacing="0" w:after="0" w:afterAutospacing="0" w:line="560" w:lineRule="exact"/>
        <w:ind w:firstLine="645"/>
        <w:jc w:val="both"/>
        <w:rPr>
          <w:color w:val="333333"/>
          <w:kern w:val="44"/>
          <w:sz w:val="32"/>
          <w:szCs w:val="32"/>
        </w:rPr>
      </w:pPr>
      <w:r>
        <w:rPr>
          <w:color w:val="333333"/>
          <w:kern w:val="44"/>
          <w:sz w:val="32"/>
          <w:szCs w:val="32"/>
        </w:rPr>
        <w:t>2.支出情况</w:t>
      </w:r>
      <w:r>
        <w:rPr>
          <w:rFonts w:hint="eastAsia"/>
          <w:color w:val="333333"/>
          <w:kern w:val="44"/>
          <w:sz w:val="32"/>
          <w:szCs w:val="32"/>
        </w:rPr>
        <w:t>。</w:t>
      </w:r>
      <w:r>
        <w:rPr>
          <w:color w:val="333333"/>
          <w:kern w:val="44"/>
          <w:sz w:val="32"/>
          <w:szCs w:val="32"/>
        </w:rPr>
        <w:t>2021年度一般公共预算财政拨款支出2,249.47万元，较上年决算数增加105.28万元，增长4.9%。主要原因是社保类、农林水类项目增加，发生的支出相应增加。较年初预算数增加1,121.17万元，增长99.4%。主要原因是年初预算只含人员经费、公用经费，大部分项目均为预算，故比年初预算数金额大。</w:t>
      </w:r>
    </w:p>
    <w:p>
      <w:pPr>
        <w:pStyle w:val="4"/>
        <w:spacing w:before="0" w:beforeAutospacing="0" w:after="0" w:afterAutospacing="0" w:line="560" w:lineRule="exact"/>
        <w:ind w:firstLine="640" w:firstLineChars="200"/>
        <w:jc w:val="both"/>
        <w:rPr>
          <w:color w:val="333333"/>
          <w:kern w:val="44"/>
          <w:sz w:val="32"/>
          <w:szCs w:val="32"/>
        </w:rPr>
      </w:pPr>
      <w:r>
        <w:rPr>
          <w:color w:val="333333"/>
          <w:kern w:val="44"/>
          <w:sz w:val="32"/>
          <w:szCs w:val="32"/>
        </w:rPr>
        <w:t>3.结转结余情况</w:t>
      </w:r>
      <w:r>
        <w:rPr>
          <w:rFonts w:hint="eastAsia"/>
          <w:color w:val="333333"/>
          <w:kern w:val="44"/>
          <w:sz w:val="32"/>
          <w:szCs w:val="32"/>
        </w:rPr>
        <w:t>。</w:t>
      </w:r>
      <w:r>
        <w:rPr>
          <w:color w:val="333333"/>
          <w:kern w:val="44"/>
          <w:sz w:val="32"/>
          <w:szCs w:val="32"/>
        </w:rPr>
        <w:t>2021年度年末结转和结余0.00万元。</w:t>
      </w:r>
    </w:p>
    <w:p>
      <w:pPr>
        <w:pStyle w:val="4"/>
        <w:spacing w:before="0" w:beforeAutospacing="0" w:after="0" w:afterAutospacing="0" w:line="560" w:lineRule="exact"/>
        <w:ind w:firstLine="640" w:firstLineChars="200"/>
        <w:jc w:val="both"/>
        <w:rPr>
          <w:color w:val="333333"/>
          <w:kern w:val="44"/>
          <w:sz w:val="32"/>
          <w:szCs w:val="32"/>
        </w:rPr>
      </w:pPr>
      <w:r>
        <w:rPr>
          <w:color w:val="333333"/>
          <w:kern w:val="44"/>
          <w:sz w:val="32"/>
          <w:szCs w:val="32"/>
        </w:rPr>
        <w:t>4.比较情况</w:t>
      </w:r>
      <w:r>
        <w:rPr>
          <w:rFonts w:hint="eastAsia"/>
          <w:color w:val="333333"/>
          <w:kern w:val="44"/>
          <w:sz w:val="32"/>
          <w:szCs w:val="32"/>
        </w:rPr>
        <w:t>。</w:t>
      </w:r>
      <w:r>
        <w:rPr>
          <w:color w:val="333333"/>
          <w:kern w:val="44"/>
          <w:sz w:val="32"/>
          <w:szCs w:val="32"/>
        </w:rPr>
        <w:t>本部门2021年度一般公共预算财政拨款支出主要用于以下几个方面：</w:t>
      </w:r>
    </w:p>
    <w:p>
      <w:pPr>
        <w:pStyle w:val="4"/>
        <w:spacing w:before="0" w:beforeAutospacing="0" w:after="0" w:afterAutospacing="0" w:line="560" w:lineRule="exact"/>
        <w:ind w:firstLine="640" w:firstLineChars="200"/>
        <w:jc w:val="both"/>
        <w:rPr>
          <w:color w:val="333333"/>
          <w:kern w:val="44"/>
          <w:sz w:val="32"/>
          <w:szCs w:val="32"/>
        </w:rPr>
      </w:pPr>
      <w:r>
        <w:rPr>
          <w:color w:val="333333"/>
          <w:kern w:val="44"/>
          <w:sz w:val="32"/>
          <w:szCs w:val="32"/>
        </w:rPr>
        <w:t>（1）一般公共服务支出593.71万元，占15.05%，较年初预算数增加120.36万元，增长25.43%，主要原因是人员调资、公用经费、社保缴费增加以及年初未纳入预算的项目。</w:t>
      </w:r>
    </w:p>
    <w:p>
      <w:pPr>
        <w:pStyle w:val="4"/>
        <w:spacing w:before="0" w:beforeAutospacing="0" w:after="0" w:afterAutospacing="0" w:line="560" w:lineRule="exact"/>
        <w:ind w:firstLine="640" w:firstLineChars="200"/>
        <w:jc w:val="both"/>
        <w:rPr>
          <w:color w:val="333333"/>
          <w:kern w:val="44"/>
          <w:sz w:val="32"/>
          <w:szCs w:val="32"/>
        </w:rPr>
      </w:pPr>
      <w:r>
        <w:rPr>
          <w:color w:val="333333"/>
          <w:kern w:val="44"/>
          <w:sz w:val="32"/>
          <w:szCs w:val="32"/>
        </w:rPr>
        <w:t>（2）国防支出2.03万元，占0.05%，较年初预算数增加2.03万元，主要用于民兵建设与管理。</w:t>
      </w:r>
    </w:p>
    <w:p>
      <w:pPr>
        <w:pStyle w:val="4"/>
        <w:spacing w:before="0" w:beforeAutospacing="0" w:after="0" w:afterAutospacing="0" w:line="560" w:lineRule="exact"/>
        <w:ind w:firstLine="640" w:firstLineChars="200"/>
        <w:jc w:val="both"/>
        <w:rPr>
          <w:color w:val="333333"/>
          <w:kern w:val="44"/>
          <w:sz w:val="32"/>
          <w:szCs w:val="32"/>
        </w:rPr>
      </w:pPr>
      <w:r>
        <w:rPr>
          <w:color w:val="333333"/>
          <w:kern w:val="44"/>
          <w:sz w:val="32"/>
          <w:szCs w:val="32"/>
        </w:rPr>
        <w:t>（3）公共安全支出7.2万元，占0.18%，与年初预算数一致。</w:t>
      </w:r>
    </w:p>
    <w:p>
      <w:pPr>
        <w:pStyle w:val="4"/>
        <w:spacing w:before="0" w:beforeAutospacing="0" w:after="0" w:afterAutospacing="0" w:line="560" w:lineRule="exact"/>
        <w:ind w:firstLine="640" w:firstLineChars="200"/>
        <w:jc w:val="both"/>
        <w:rPr>
          <w:color w:val="333333"/>
          <w:kern w:val="44"/>
          <w:sz w:val="32"/>
          <w:szCs w:val="32"/>
        </w:rPr>
      </w:pPr>
      <w:r>
        <w:rPr>
          <w:color w:val="333333"/>
          <w:kern w:val="44"/>
          <w:sz w:val="32"/>
          <w:szCs w:val="32"/>
        </w:rPr>
        <w:t>（4）文化旅游体育与传媒支出58.84万元，占1.49%，较年初预算数增加19.32万元，增长48.89%，主要原因是上级追加预算。</w:t>
      </w:r>
    </w:p>
    <w:p>
      <w:pPr>
        <w:pStyle w:val="4"/>
        <w:spacing w:before="0" w:beforeAutospacing="0" w:after="0" w:afterAutospacing="0" w:line="560" w:lineRule="exact"/>
        <w:ind w:firstLine="640" w:firstLineChars="200"/>
        <w:jc w:val="both"/>
        <w:rPr>
          <w:color w:val="333333"/>
          <w:kern w:val="44"/>
          <w:sz w:val="32"/>
          <w:szCs w:val="32"/>
        </w:rPr>
      </w:pPr>
      <w:r>
        <w:rPr>
          <w:color w:val="333333"/>
          <w:kern w:val="44"/>
          <w:sz w:val="32"/>
          <w:szCs w:val="32"/>
        </w:rPr>
        <w:t>（5）社会保障与就业支出728.9万元，占18.47%，较年初预算数增加497.77万元，增长74.8%，主要原因是追加下达2021年度三峡水库库区基金等专项资金项目金额超300万。</w:t>
      </w:r>
    </w:p>
    <w:p>
      <w:pPr>
        <w:pStyle w:val="4"/>
        <w:spacing w:before="0" w:beforeAutospacing="0" w:after="0" w:afterAutospacing="0" w:line="560" w:lineRule="exact"/>
        <w:ind w:firstLine="640" w:firstLineChars="200"/>
        <w:jc w:val="both"/>
        <w:rPr>
          <w:color w:val="333333"/>
          <w:kern w:val="44"/>
          <w:sz w:val="32"/>
          <w:szCs w:val="32"/>
        </w:rPr>
      </w:pPr>
      <w:r>
        <w:rPr>
          <w:color w:val="333333"/>
          <w:kern w:val="44"/>
          <w:sz w:val="32"/>
          <w:szCs w:val="32"/>
        </w:rPr>
        <w:t>（6）卫生健康支出54.38万元，占1.34%，较年初预算数增加10.69万元，增长24.47%，主要原因是上级追加预算。</w:t>
      </w:r>
    </w:p>
    <w:p>
      <w:pPr>
        <w:pStyle w:val="4"/>
        <w:spacing w:before="0" w:beforeAutospacing="0" w:after="0" w:afterAutospacing="0" w:line="560" w:lineRule="exact"/>
        <w:ind w:firstLine="640" w:firstLineChars="200"/>
        <w:jc w:val="both"/>
        <w:rPr>
          <w:color w:val="333333"/>
          <w:kern w:val="44"/>
          <w:sz w:val="32"/>
          <w:szCs w:val="32"/>
        </w:rPr>
      </w:pPr>
      <w:r>
        <w:rPr>
          <w:color w:val="333333"/>
          <w:kern w:val="44"/>
          <w:sz w:val="32"/>
          <w:szCs w:val="32"/>
        </w:rPr>
        <w:t>（7）节能环保支出0.54万元，占0.01%，年初未预算，主要是追加的退耕还林工作经费。</w:t>
      </w:r>
    </w:p>
    <w:p>
      <w:pPr>
        <w:pStyle w:val="4"/>
        <w:spacing w:before="0" w:beforeAutospacing="0" w:after="0" w:afterAutospacing="0" w:line="560" w:lineRule="exact"/>
        <w:ind w:firstLine="640" w:firstLineChars="200"/>
        <w:jc w:val="both"/>
        <w:rPr>
          <w:color w:val="333333"/>
          <w:kern w:val="44"/>
          <w:sz w:val="32"/>
          <w:szCs w:val="32"/>
        </w:rPr>
      </w:pPr>
      <w:r>
        <w:rPr>
          <w:color w:val="333333"/>
          <w:kern w:val="44"/>
          <w:sz w:val="32"/>
          <w:szCs w:val="32"/>
        </w:rPr>
        <w:t>（8）城乡社区支出389.41万元，占9.86%，较年初预算数增加317.64万元，主要原因是上级追加2018年第一批“四好农村路”通组公路（第六批）项目资金超200万，追加下达2020和2021年农村旧房整治提升市级专项补助资金预算48万，以及追加2021年事业人员超额绩效等其他预算。</w:t>
      </w:r>
    </w:p>
    <w:p>
      <w:pPr>
        <w:pStyle w:val="4"/>
        <w:spacing w:before="0" w:beforeAutospacing="0" w:after="0" w:afterAutospacing="0" w:line="560" w:lineRule="exact"/>
        <w:ind w:firstLine="640" w:firstLineChars="200"/>
        <w:jc w:val="both"/>
        <w:rPr>
          <w:color w:val="333333"/>
          <w:kern w:val="44"/>
          <w:sz w:val="32"/>
          <w:szCs w:val="32"/>
        </w:rPr>
      </w:pPr>
      <w:r>
        <w:rPr>
          <w:color w:val="333333"/>
          <w:kern w:val="44"/>
          <w:sz w:val="32"/>
          <w:szCs w:val="32"/>
        </w:rPr>
        <w:t>（9）农林水支出1989.07万元，占50.41%，较年初预算数增加1774.05万元，主要原因是上级追加下达2020年度第二批国家重大水利工程建设基金（三峡工程后续工作万州区溪口集镇移民安置小区综合帮扶工程）500万元，追加下达2020年财金协同支持镇乡产业发展奖补资金预算100万元，追加部分涉农项目资金来源预算（2020年村集体经济建设补助项目）123万元，追加下达2021年度第一批国家重大水利工程建设基金（三峡后续工作）预算（万州区溪口乡玉竹村农田水利扶贫精准帮扶）305万元，追加下达2021年第二批财政专项扶贫项目计划和资金预算（万州区2021年村集体经济建设补助）117万元，追加2020年第一批国家重大水利工程建设基金（三峡工程后续工作）预算（重庆市万州溪口乡其林、蒲家等村精准帮扶）140万元，以及追加2021年事业人员超额绩效等其他预算。</w:t>
      </w:r>
    </w:p>
    <w:p>
      <w:pPr>
        <w:pStyle w:val="4"/>
        <w:spacing w:before="0" w:beforeAutospacing="0" w:after="0" w:afterAutospacing="0" w:line="560" w:lineRule="exact"/>
        <w:ind w:firstLine="640" w:firstLineChars="200"/>
        <w:jc w:val="both"/>
        <w:rPr>
          <w:color w:val="333333"/>
          <w:kern w:val="44"/>
          <w:sz w:val="32"/>
          <w:szCs w:val="32"/>
        </w:rPr>
      </w:pPr>
      <w:r>
        <w:rPr>
          <w:color w:val="333333"/>
          <w:kern w:val="44"/>
          <w:sz w:val="32"/>
          <w:szCs w:val="32"/>
        </w:rPr>
        <w:t>（10）交通运输支出3.62万元，占0.09%，年初未预算，主要是追加2020年农村公路水毁整治项目预算。</w:t>
      </w:r>
    </w:p>
    <w:p>
      <w:pPr>
        <w:pStyle w:val="4"/>
        <w:spacing w:before="0" w:beforeAutospacing="0" w:after="0" w:afterAutospacing="0" w:line="560" w:lineRule="exact"/>
        <w:ind w:firstLine="640" w:firstLineChars="200"/>
        <w:jc w:val="both"/>
        <w:rPr>
          <w:color w:val="333333"/>
          <w:kern w:val="44"/>
          <w:sz w:val="32"/>
          <w:szCs w:val="32"/>
        </w:rPr>
      </w:pPr>
      <w:r>
        <w:rPr>
          <w:color w:val="333333"/>
          <w:kern w:val="44"/>
          <w:sz w:val="32"/>
          <w:szCs w:val="32"/>
        </w:rPr>
        <w:t>（11）住房保障支出47.62万元，占1.21%，与年初预算数一致。</w:t>
      </w:r>
    </w:p>
    <w:p>
      <w:pPr>
        <w:pStyle w:val="4"/>
        <w:shd w:val="clear" w:color="auto" w:fill="FFFFFF"/>
        <w:spacing w:before="0" w:beforeAutospacing="0" w:after="0" w:afterAutospacing="0" w:line="560" w:lineRule="exact"/>
        <w:ind w:firstLine="640" w:firstLineChars="200"/>
        <w:rPr>
          <w:color w:val="333333"/>
          <w:kern w:val="44"/>
          <w:sz w:val="32"/>
          <w:szCs w:val="32"/>
        </w:rPr>
      </w:pPr>
      <w:r>
        <w:rPr>
          <w:color w:val="333333"/>
          <w:kern w:val="44"/>
          <w:sz w:val="32"/>
          <w:szCs w:val="32"/>
        </w:rPr>
        <w:t>（12）灾害防治及应急管理支出70.71万元，占1.79%，年初未预算，主要是追加自然灾害救灾及整治资金预算。</w:t>
      </w:r>
    </w:p>
    <w:p>
      <w:pPr>
        <w:pStyle w:val="4"/>
        <w:spacing w:before="0" w:beforeAutospacing="0" w:after="0" w:afterAutospacing="0" w:line="560" w:lineRule="exact"/>
        <w:ind w:firstLine="645"/>
        <w:jc w:val="both"/>
        <w:rPr>
          <w:rFonts w:ascii="方正楷体_GBK" w:hAnsi="方正楷体_GBK" w:eastAsia="方正楷体_GBK" w:cs="方正楷体_GBK"/>
          <w:color w:val="333333"/>
          <w:kern w:val="44"/>
          <w:sz w:val="32"/>
          <w:szCs w:val="32"/>
        </w:rPr>
      </w:pPr>
      <w:r>
        <w:rPr>
          <w:rFonts w:ascii="方正楷体_GBK" w:hAnsi="方正楷体_GBK" w:eastAsia="方正楷体_GBK" w:cs="方正楷体_GBK"/>
          <w:color w:val="333333"/>
          <w:kern w:val="44"/>
          <w:sz w:val="32"/>
          <w:szCs w:val="32"/>
        </w:rPr>
        <w:t>（四）一般公共预算财政拨款基本支出决算情况说明。</w:t>
      </w:r>
    </w:p>
    <w:p>
      <w:pPr>
        <w:pStyle w:val="4"/>
        <w:shd w:val="clear" w:color="auto" w:fill="FFFFFF"/>
        <w:spacing w:before="0" w:beforeAutospacing="0" w:after="0" w:afterAutospacing="0" w:line="560" w:lineRule="exact"/>
        <w:ind w:firstLine="640" w:firstLineChars="200"/>
        <w:rPr>
          <w:sz w:val="32"/>
          <w:szCs w:val="32"/>
        </w:rPr>
      </w:pPr>
      <w:r>
        <w:rPr>
          <w:color w:val="333333"/>
          <w:kern w:val="44"/>
          <w:sz w:val="32"/>
          <w:szCs w:val="32"/>
        </w:rPr>
        <w:t>2021年度一般公共财政拨款基本支出1,215.27万元。其中：人员经费974.19万元，较上年决算数增加188.31万元，增长24%，主要原因是工资标准提高、对其他和个人的生活补助增加。人员经费用途主要包括人员工资、社保。公用经费241.08万元，较上年决算数减少103.23万元，下降30%，主要原因是缩减开支。公用经费用途主要包括办公费、差旅费、水电费等。</w:t>
      </w:r>
    </w:p>
    <w:p>
      <w:pPr>
        <w:pStyle w:val="4"/>
        <w:spacing w:before="0" w:beforeAutospacing="0" w:after="0" w:afterAutospacing="0" w:line="560" w:lineRule="exact"/>
        <w:ind w:firstLine="645"/>
        <w:jc w:val="both"/>
        <w:rPr>
          <w:rFonts w:ascii="方正楷体_GBK" w:hAnsi="方正楷体_GBK" w:eastAsia="方正楷体_GBK" w:cs="方正楷体_GBK"/>
          <w:b/>
          <w:bCs/>
          <w:color w:val="333333"/>
          <w:kern w:val="44"/>
          <w:sz w:val="32"/>
          <w:szCs w:val="32"/>
        </w:rPr>
      </w:pPr>
      <w:r>
        <w:rPr>
          <w:rFonts w:hint="eastAsia" w:ascii="方正楷体_GBK" w:hAnsi="方正楷体_GBK" w:eastAsia="方正楷体_GBK" w:cs="方正楷体_GBK"/>
          <w:color w:val="333333"/>
          <w:kern w:val="44"/>
          <w:sz w:val="32"/>
          <w:szCs w:val="32"/>
        </w:rPr>
        <w:t>（五）政府性基金预算收支决算情况说明。</w:t>
      </w:r>
    </w:p>
    <w:p>
      <w:pPr>
        <w:pStyle w:val="4"/>
        <w:shd w:val="clear" w:color="auto" w:fill="FFFFFF"/>
        <w:spacing w:before="0" w:beforeAutospacing="0" w:after="0" w:afterAutospacing="0" w:line="560" w:lineRule="exact"/>
        <w:ind w:firstLine="640" w:firstLineChars="200"/>
        <w:rPr>
          <w:sz w:val="32"/>
          <w:szCs w:val="32"/>
          <w:highlight w:val="yellow"/>
        </w:rPr>
      </w:pPr>
      <w:r>
        <w:rPr>
          <w:color w:val="333333"/>
          <w:kern w:val="44"/>
          <w:sz w:val="32"/>
          <w:szCs w:val="32"/>
        </w:rPr>
        <w:t>2021年度政府性基金预算财政拨款年初结转结余0.00万元，年末结转结余0.00万元。本年收入1,696.56万元，较上年决算数减少29.93万元，下降1.7%，主要原因是农林水类项目减少。本年支出1,696.56万元，较上年决算数减少29.93万元，下降1.7%，主要原因是农林水类项目已完工，新增项目减少，发生的支出相应减少。</w:t>
      </w:r>
    </w:p>
    <w:p>
      <w:pPr>
        <w:pStyle w:val="4"/>
        <w:spacing w:before="0" w:beforeAutospacing="0" w:after="0" w:afterAutospacing="0" w:line="560" w:lineRule="exact"/>
        <w:ind w:firstLine="645"/>
        <w:jc w:val="both"/>
        <w:rPr>
          <w:rFonts w:ascii="方正楷体_GBK" w:hAnsi="方正楷体_GBK" w:eastAsia="方正楷体_GBK" w:cs="方正楷体_GBK"/>
          <w:color w:val="333333"/>
          <w:kern w:val="44"/>
          <w:sz w:val="32"/>
          <w:szCs w:val="32"/>
        </w:rPr>
      </w:pPr>
      <w:r>
        <w:rPr>
          <w:rFonts w:ascii="方正楷体_GBK" w:hAnsi="方正楷体_GBK" w:eastAsia="方正楷体_GBK" w:cs="方正楷体_GBK"/>
          <w:color w:val="333333"/>
          <w:kern w:val="44"/>
          <w:sz w:val="32"/>
          <w:szCs w:val="32"/>
        </w:rPr>
        <w:t>（六）国有资本经营预算财政拨款支出决算情况说明。</w:t>
      </w:r>
    </w:p>
    <w:p>
      <w:pPr>
        <w:pStyle w:val="4"/>
        <w:spacing w:before="0" w:beforeAutospacing="0" w:after="0" w:afterAutospacing="0" w:line="560" w:lineRule="exact"/>
        <w:ind w:firstLine="645"/>
        <w:jc w:val="both"/>
        <w:rPr>
          <w:b/>
          <w:bCs/>
          <w:color w:val="333333"/>
          <w:kern w:val="44"/>
          <w:sz w:val="32"/>
          <w:szCs w:val="32"/>
        </w:rPr>
      </w:pPr>
      <w:r>
        <w:rPr>
          <w:bCs/>
          <w:color w:val="333333"/>
          <w:kern w:val="44"/>
          <w:sz w:val="32"/>
          <w:szCs w:val="32"/>
        </w:rPr>
        <w:t>本单位</w:t>
      </w:r>
      <w:r>
        <w:rPr>
          <w:color w:val="333333"/>
          <w:kern w:val="44"/>
          <w:sz w:val="32"/>
          <w:szCs w:val="32"/>
        </w:rPr>
        <w:t>2021年度无国有资本经营预算财政拨款支出。</w:t>
      </w:r>
    </w:p>
    <w:p>
      <w:pPr>
        <w:pStyle w:val="4"/>
        <w:shd w:val="clear" w:color="auto" w:fill="FFFFFF"/>
        <w:spacing w:before="0" w:beforeAutospacing="0" w:after="0" w:afterAutospacing="0" w:line="560"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三、“三公”经费情况说明</w:t>
      </w:r>
    </w:p>
    <w:p>
      <w:pPr>
        <w:pStyle w:val="4"/>
        <w:spacing w:before="0" w:beforeAutospacing="0" w:after="0" w:afterAutospacing="0" w:line="560" w:lineRule="exact"/>
        <w:ind w:firstLine="640" w:firstLineChars="200"/>
        <w:jc w:val="both"/>
        <w:rPr>
          <w:rFonts w:ascii="方正楷体_GBK" w:hAnsi="方正楷体_GBK" w:eastAsia="方正楷体_GBK" w:cs="方正楷体_GBK"/>
          <w:color w:val="333333"/>
          <w:kern w:val="44"/>
          <w:sz w:val="32"/>
          <w:szCs w:val="32"/>
        </w:rPr>
      </w:pPr>
      <w:r>
        <w:rPr>
          <w:rFonts w:hint="eastAsia" w:ascii="方正楷体_GBK" w:hAnsi="方正楷体_GBK" w:eastAsia="方正楷体_GBK" w:cs="方正楷体_GBK"/>
          <w:color w:val="333333"/>
          <w:kern w:val="44"/>
          <w:sz w:val="32"/>
          <w:szCs w:val="32"/>
        </w:rPr>
        <w:t>（一）“三公”经费支出总体情况说明。</w:t>
      </w:r>
    </w:p>
    <w:p>
      <w:pPr>
        <w:pStyle w:val="4"/>
        <w:spacing w:before="0" w:beforeAutospacing="0" w:after="0" w:afterAutospacing="0" w:line="560" w:lineRule="exact"/>
        <w:ind w:firstLine="640" w:firstLineChars="200"/>
        <w:jc w:val="both"/>
        <w:rPr>
          <w:color w:val="333333"/>
          <w:kern w:val="44"/>
          <w:sz w:val="32"/>
          <w:szCs w:val="32"/>
        </w:rPr>
      </w:pPr>
      <w:r>
        <w:rPr>
          <w:color w:val="333333"/>
          <w:kern w:val="44"/>
          <w:sz w:val="32"/>
          <w:szCs w:val="32"/>
        </w:rPr>
        <w:t>2021年度“三公”经费支出共计4.2万元，</w:t>
      </w:r>
      <w:r>
        <w:rPr>
          <w:rFonts w:hint="eastAsia"/>
          <w:color w:val="333333"/>
          <w:kern w:val="44"/>
          <w:sz w:val="32"/>
          <w:szCs w:val="32"/>
          <w:lang w:eastAsia="zh-CN"/>
        </w:rPr>
        <w:t>比</w:t>
      </w:r>
      <w:r>
        <w:rPr>
          <w:color w:val="333333"/>
          <w:kern w:val="44"/>
          <w:sz w:val="32"/>
          <w:szCs w:val="32"/>
        </w:rPr>
        <w:t>年初预算数</w:t>
      </w:r>
      <w:r>
        <w:rPr>
          <w:rFonts w:hint="eastAsia"/>
          <w:color w:val="333333"/>
          <w:kern w:val="44"/>
          <w:sz w:val="32"/>
          <w:szCs w:val="32"/>
          <w:lang w:eastAsia="zh-CN"/>
        </w:rPr>
        <w:t>减少</w:t>
      </w:r>
      <w:r>
        <w:rPr>
          <w:rFonts w:hint="eastAsia"/>
          <w:color w:val="333333"/>
          <w:kern w:val="44"/>
          <w:sz w:val="32"/>
          <w:szCs w:val="32"/>
          <w:lang w:val="en-US" w:eastAsia="zh-CN"/>
        </w:rPr>
        <w:t>2.26万元</w:t>
      </w:r>
      <w:r>
        <w:rPr>
          <w:color w:val="333333"/>
          <w:kern w:val="44"/>
          <w:sz w:val="32"/>
          <w:szCs w:val="32"/>
        </w:rPr>
        <w:t>，主要原因是：一是认真贯彻落实中央八项规定精神，按照只减不增的要求从严控制“三公”经费。二是严格落实公车使用规定，控制公车运行维护费。三是强化公务接待支出管理，严格遵守公务接待开支范围和开支标准，严格控制陪餐人数，对应由接待对象承担的费用一律由接待对象自行支付，严格控制公务接待费。</w:t>
      </w:r>
    </w:p>
    <w:p>
      <w:pPr>
        <w:pStyle w:val="4"/>
        <w:spacing w:before="0" w:beforeAutospacing="0" w:after="0" w:afterAutospacing="0" w:line="560" w:lineRule="exact"/>
        <w:ind w:firstLine="640" w:firstLineChars="200"/>
        <w:jc w:val="both"/>
        <w:rPr>
          <w:rFonts w:ascii="方正楷体_GBK" w:hAnsi="方正楷体_GBK" w:eastAsia="方正楷体_GBK" w:cs="方正楷体_GBK"/>
          <w:color w:val="auto"/>
          <w:kern w:val="44"/>
          <w:sz w:val="32"/>
          <w:szCs w:val="32"/>
        </w:rPr>
      </w:pPr>
      <w:r>
        <w:rPr>
          <w:rFonts w:ascii="方正楷体_GBK" w:hAnsi="方正楷体_GBK" w:eastAsia="方正楷体_GBK" w:cs="方正楷体_GBK"/>
          <w:color w:val="auto"/>
          <w:kern w:val="44"/>
          <w:sz w:val="32"/>
          <w:szCs w:val="32"/>
        </w:rPr>
        <w:t>（二）“三公”经费分项支出情况</w:t>
      </w:r>
      <w:r>
        <w:rPr>
          <w:rFonts w:hint="eastAsia" w:ascii="方正楷体_GBK" w:hAnsi="方正楷体_GBK" w:eastAsia="方正楷体_GBK" w:cs="方正楷体_GBK"/>
          <w:color w:val="auto"/>
          <w:kern w:val="44"/>
          <w:sz w:val="32"/>
          <w:szCs w:val="32"/>
        </w:rPr>
        <w:t>。</w:t>
      </w:r>
    </w:p>
    <w:p>
      <w:pPr>
        <w:pStyle w:val="4"/>
        <w:spacing w:before="0" w:beforeAutospacing="0" w:after="0" w:afterAutospacing="0" w:line="560" w:lineRule="exact"/>
        <w:ind w:firstLine="640" w:firstLineChars="200"/>
        <w:jc w:val="both"/>
        <w:rPr>
          <w:color w:val="auto"/>
          <w:kern w:val="44"/>
          <w:sz w:val="32"/>
          <w:szCs w:val="32"/>
        </w:rPr>
      </w:pPr>
      <w:r>
        <w:rPr>
          <w:color w:val="auto"/>
          <w:kern w:val="44"/>
          <w:sz w:val="32"/>
          <w:szCs w:val="32"/>
        </w:rPr>
        <w:t>2021年度本部门因公出国（境）费用0.00万元，主要原因是今年无人出国（境）；公务车运行维护费1.3万元，</w:t>
      </w:r>
      <w:r>
        <w:rPr>
          <w:rFonts w:hint="eastAsia"/>
          <w:color w:val="auto"/>
          <w:kern w:val="44"/>
          <w:sz w:val="32"/>
          <w:szCs w:val="32"/>
          <w:lang w:eastAsia="zh-CN"/>
        </w:rPr>
        <w:t>比年初预算数减少</w:t>
      </w:r>
      <w:r>
        <w:rPr>
          <w:rFonts w:hint="eastAsia"/>
          <w:color w:val="auto"/>
          <w:kern w:val="44"/>
          <w:sz w:val="32"/>
          <w:szCs w:val="32"/>
          <w:lang w:val="en-US" w:eastAsia="zh-CN"/>
        </w:rPr>
        <w:t>5.16万元，与上年度持平，</w:t>
      </w:r>
      <w:r>
        <w:rPr>
          <w:color w:val="auto"/>
          <w:kern w:val="44"/>
          <w:sz w:val="32"/>
          <w:szCs w:val="32"/>
        </w:rPr>
        <w:t>主要</w:t>
      </w:r>
      <w:r>
        <w:rPr>
          <w:rFonts w:hint="eastAsia"/>
          <w:color w:val="auto"/>
          <w:kern w:val="44"/>
          <w:sz w:val="32"/>
          <w:szCs w:val="32"/>
          <w:lang w:eastAsia="zh-CN"/>
        </w:rPr>
        <w:t>原因是严格控制公车私用，减少公务用车运行费；</w:t>
      </w:r>
      <w:r>
        <w:rPr>
          <w:color w:val="auto"/>
          <w:kern w:val="44"/>
          <w:sz w:val="32"/>
          <w:szCs w:val="32"/>
        </w:rPr>
        <w:t>公务接待费2.9万元，</w:t>
      </w:r>
      <w:r>
        <w:rPr>
          <w:rFonts w:hint="eastAsia"/>
          <w:color w:val="auto"/>
          <w:kern w:val="44"/>
          <w:sz w:val="32"/>
          <w:szCs w:val="32"/>
          <w:lang w:eastAsia="zh-CN"/>
        </w:rPr>
        <w:t>与上年度持平，比年初预算数增加</w:t>
      </w:r>
      <w:r>
        <w:rPr>
          <w:rFonts w:hint="eastAsia"/>
          <w:color w:val="auto"/>
          <w:kern w:val="44"/>
          <w:sz w:val="32"/>
          <w:szCs w:val="32"/>
          <w:lang w:val="en-US" w:eastAsia="zh-CN"/>
        </w:rPr>
        <w:t>2.9万元，主要原因是本年没有安排公务接待费的预算</w:t>
      </w:r>
      <w:r>
        <w:rPr>
          <w:color w:val="auto"/>
          <w:kern w:val="44"/>
          <w:sz w:val="32"/>
          <w:szCs w:val="32"/>
        </w:rPr>
        <w:t>。</w:t>
      </w:r>
    </w:p>
    <w:p>
      <w:pPr>
        <w:pStyle w:val="4"/>
        <w:spacing w:before="0" w:beforeAutospacing="0" w:after="0" w:afterAutospacing="0" w:line="560" w:lineRule="exact"/>
        <w:ind w:firstLine="640" w:firstLineChars="200"/>
        <w:jc w:val="both"/>
        <w:rPr>
          <w:rFonts w:ascii="方正楷体_GBK" w:hAnsi="方正楷体_GBK" w:eastAsia="方正楷体_GBK" w:cs="方正楷体_GBK"/>
          <w:color w:val="333333"/>
          <w:kern w:val="44"/>
          <w:sz w:val="32"/>
          <w:szCs w:val="32"/>
        </w:rPr>
      </w:pPr>
      <w:r>
        <w:rPr>
          <w:rFonts w:ascii="方正楷体_GBK" w:hAnsi="方正楷体_GBK" w:eastAsia="方正楷体_GBK" w:cs="方正楷体_GBK"/>
          <w:color w:val="333333"/>
          <w:kern w:val="44"/>
          <w:sz w:val="32"/>
          <w:szCs w:val="32"/>
        </w:rPr>
        <w:t>（三）“三公”经费实物量情况</w:t>
      </w:r>
      <w:r>
        <w:rPr>
          <w:rFonts w:hint="eastAsia" w:ascii="方正楷体_GBK" w:hAnsi="方正楷体_GBK" w:eastAsia="方正楷体_GBK" w:cs="方正楷体_GBK"/>
          <w:color w:val="333333"/>
          <w:kern w:val="44"/>
          <w:sz w:val="32"/>
          <w:szCs w:val="32"/>
        </w:rPr>
        <w:t>。</w:t>
      </w:r>
      <w:bookmarkStart w:id="0" w:name="_GoBack"/>
      <w:bookmarkEnd w:id="0"/>
    </w:p>
    <w:p>
      <w:pPr>
        <w:pStyle w:val="4"/>
        <w:spacing w:before="0" w:beforeAutospacing="0" w:after="0" w:afterAutospacing="0" w:line="560" w:lineRule="exact"/>
        <w:ind w:firstLine="640" w:firstLineChars="200"/>
        <w:jc w:val="both"/>
        <w:rPr>
          <w:color w:val="333333"/>
          <w:kern w:val="44"/>
          <w:sz w:val="32"/>
          <w:szCs w:val="32"/>
        </w:rPr>
      </w:pPr>
      <w:r>
        <w:rPr>
          <w:color w:val="333333"/>
          <w:kern w:val="44"/>
          <w:sz w:val="32"/>
          <w:szCs w:val="32"/>
        </w:rPr>
        <w:t>2021年度本部门因公出国（境）共计0个团组，0人；公务用车购置0辆，公务车保有量为3辆；国内公务接待35批次240人，其中：国内外事接待0批次，0人；国（境）外公务接待0批次，0人。2021年本部门人均接待费120.83元，车均购置费0.00万元，车均维护费0.43万元。</w:t>
      </w:r>
    </w:p>
    <w:p>
      <w:pPr>
        <w:pStyle w:val="11"/>
        <w:tabs>
          <w:tab w:val="center" w:pos="4153"/>
          <w:tab w:val="left" w:pos="7275"/>
        </w:tabs>
        <w:spacing w:line="560" w:lineRule="exact"/>
        <w:ind w:firstLine="640"/>
        <w:outlineLvl w:val="0"/>
        <w:rPr>
          <w:rFonts w:ascii="方正黑体_GBK" w:hAnsi="方正黑体_GBK" w:eastAsia="方正黑体_GBK" w:cs="方正黑体_GBK"/>
          <w:bCs/>
          <w:szCs w:val="32"/>
        </w:rPr>
      </w:pPr>
      <w:r>
        <w:rPr>
          <w:rFonts w:hint="eastAsia" w:ascii="方正黑体_GBK" w:hAnsi="方正黑体_GBK" w:eastAsia="方正黑体_GBK" w:cs="方正黑体_GBK"/>
          <w:bCs/>
          <w:szCs w:val="32"/>
        </w:rPr>
        <w:t>四、其他需要说明的事项</w:t>
      </w:r>
    </w:p>
    <w:p>
      <w:pPr>
        <w:pStyle w:val="4"/>
        <w:spacing w:before="0" w:beforeAutospacing="0" w:after="0" w:afterAutospacing="0" w:line="560" w:lineRule="exact"/>
        <w:ind w:firstLine="640" w:firstLineChars="200"/>
        <w:jc w:val="both"/>
        <w:rPr>
          <w:color w:val="333333"/>
          <w:kern w:val="44"/>
          <w:sz w:val="32"/>
          <w:szCs w:val="32"/>
        </w:rPr>
      </w:pPr>
      <w:r>
        <w:rPr>
          <w:rFonts w:hint="eastAsia" w:ascii="方正楷体_GBK" w:hAnsi="方正楷体_GBK" w:eastAsia="方正楷体_GBK" w:cs="方正楷体_GBK"/>
          <w:color w:val="333333"/>
          <w:kern w:val="44"/>
          <w:sz w:val="32"/>
          <w:szCs w:val="32"/>
        </w:rPr>
        <w:t>（一）机关运行经费情况说明。</w:t>
      </w:r>
      <w:r>
        <w:rPr>
          <w:color w:val="333333"/>
          <w:kern w:val="44"/>
          <w:sz w:val="32"/>
          <w:szCs w:val="32"/>
        </w:rPr>
        <w:t>2021年度本部门机关运行经费总支出156.82万元，比2020年度减少147.86万元。机关运行经费主要用于办公费、印刷费、邮电费、水电费、物管费、差旅费、会议费、培训费、接待费及其他商品和服务支出等。</w:t>
      </w:r>
    </w:p>
    <w:p>
      <w:pPr>
        <w:pStyle w:val="4"/>
        <w:spacing w:before="0" w:beforeAutospacing="0" w:after="0" w:afterAutospacing="0" w:line="560" w:lineRule="exact"/>
        <w:ind w:firstLine="640" w:firstLineChars="200"/>
        <w:jc w:val="both"/>
        <w:rPr>
          <w:color w:val="333333"/>
          <w:kern w:val="44"/>
          <w:sz w:val="32"/>
          <w:szCs w:val="32"/>
        </w:rPr>
      </w:pPr>
      <w:r>
        <w:rPr>
          <w:color w:val="333333"/>
          <w:kern w:val="44"/>
          <w:sz w:val="32"/>
          <w:szCs w:val="32"/>
        </w:rPr>
        <w:t>本年度会议费支出1.05万元，较上年有所增加，主要原因是当年会议较多，导致会议开支增加；本年度培训费支出3.18万元，比上年增加1.43万元，主要是本年外出培训较多，费用增加。</w:t>
      </w:r>
    </w:p>
    <w:p>
      <w:pPr>
        <w:pStyle w:val="4"/>
        <w:spacing w:before="0" w:beforeAutospacing="0" w:after="0" w:afterAutospacing="0" w:line="560" w:lineRule="exact"/>
        <w:ind w:firstLine="640" w:firstLineChars="200"/>
        <w:jc w:val="both"/>
        <w:rPr>
          <w:color w:val="333333"/>
          <w:kern w:val="44"/>
          <w:sz w:val="32"/>
          <w:szCs w:val="32"/>
        </w:rPr>
      </w:pPr>
      <w:r>
        <w:rPr>
          <w:rFonts w:ascii="方正楷体_GBK" w:hAnsi="方正楷体_GBK" w:eastAsia="方正楷体_GBK" w:cs="方正楷体_GBK"/>
          <w:color w:val="333333"/>
          <w:kern w:val="44"/>
          <w:sz w:val="32"/>
          <w:szCs w:val="32"/>
        </w:rPr>
        <w:t>（二）国有资产占用情况说明。</w:t>
      </w:r>
      <w:r>
        <w:rPr>
          <w:color w:val="333333"/>
          <w:kern w:val="44"/>
          <w:sz w:val="32"/>
          <w:szCs w:val="32"/>
        </w:rPr>
        <w:t>截至2021年12月31日，本部门共有车辆3辆，其中应急保障用车3辆。</w:t>
      </w:r>
    </w:p>
    <w:p>
      <w:pPr>
        <w:pStyle w:val="4"/>
        <w:spacing w:before="0" w:beforeAutospacing="0" w:after="0" w:afterAutospacing="0" w:line="560" w:lineRule="exact"/>
        <w:ind w:firstLine="645"/>
        <w:jc w:val="both"/>
        <w:rPr>
          <w:color w:val="333333"/>
          <w:kern w:val="44"/>
          <w:sz w:val="32"/>
          <w:szCs w:val="32"/>
        </w:rPr>
      </w:pPr>
      <w:r>
        <w:rPr>
          <w:rFonts w:hint="eastAsia" w:ascii="方正楷体_GBK" w:hAnsi="方正楷体_GBK" w:eastAsia="方正楷体_GBK" w:cs="方正楷体_GBK"/>
          <w:color w:val="333333"/>
          <w:kern w:val="44"/>
          <w:sz w:val="32"/>
          <w:szCs w:val="32"/>
        </w:rPr>
        <w:t>（三）政府采购支出情况说明。</w:t>
      </w:r>
      <w:r>
        <w:rPr>
          <w:color w:val="333333"/>
          <w:kern w:val="44"/>
          <w:sz w:val="32"/>
          <w:szCs w:val="32"/>
        </w:rPr>
        <w:t>2021年度本部门政府采购支出总额0万元，其中：政府采购货物支出0万元、政府采购工程支出0万元、政府采购服务支出0万元，其中：授予小微企业合同金额0万元。</w:t>
      </w:r>
    </w:p>
    <w:p>
      <w:pPr>
        <w:pStyle w:val="4"/>
        <w:spacing w:before="0" w:beforeAutospacing="0" w:after="0" w:afterAutospacing="0" w:line="560" w:lineRule="exact"/>
        <w:ind w:firstLine="640" w:firstLineChars="200"/>
        <w:jc w:val="both"/>
        <w:rPr>
          <w:rFonts w:ascii="方正黑体_GBK" w:hAnsi="方正黑体_GBK" w:eastAsia="方正黑体_GBK" w:cs="方正黑体_GBK"/>
          <w:bCs/>
          <w:color w:val="333333"/>
          <w:kern w:val="44"/>
          <w:sz w:val="32"/>
          <w:szCs w:val="32"/>
        </w:rPr>
      </w:pPr>
      <w:r>
        <w:rPr>
          <w:rFonts w:hint="eastAsia" w:ascii="方正黑体_GBK" w:hAnsi="方正黑体_GBK" w:eastAsia="方正黑体_GBK" w:cs="方正黑体_GBK"/>
          <w:bCs/>
          <w:color w:val="333333"/>
          <w:kern w:val="44"/>
          <w:sz w:val="32"/>
          <w:szCs w:val="32"/>
        </w:rPr>
        <w:t>五、预算绩效管理说明</w:t>
      </w:r>
    </w:p>
    <w:p>
      <w:pPr>
        <w:pStyle w:val="4"/>
        <w:spacing w:before="0" w:beforeAutospacing="0" w:after="0" w:afterAutospacing="0" w:line="560" w:lineRule="exact"/>
        <w:ind w:firstLine="640" w:firstLineChars="200"/>
        <w:jc w:val="both"/>
        <w:rPr>
          <w:rFonts w:ascii="方正楷体_GBK" w:hAnsi="方正楷体_GBK" w:eastAsia="方正楷体_GBK" w:cs="方正楷体_GBK"/>
          <w:color w:val="333333"/>
          <w:kern w:val="44"/>
          <w:sz w:val="32"/>
          <w:szCs w:val="32"/>
        </w:rPr>
      </w:pPr>
      <w:r>
        <w:rPr>
          <w:rFonts w:ascii="方正楷体_GBK" w:hAnsi="方正楷体_GBK" w:eastAsia="方正楷体_GBK" w:cs="方正楷体_GBK"/>
          <w:color w:val="333333"/>
          <w:kern w:val="44"/>
          <w:sz w:val="32"/>
          <w:szCs w:val="32"/>
        </w:rPr>
        <w:t>（一）预算绩效管理工作开展情况</w:t>
      </w:r>
      <w:r>
        <w:rPr>
          <w:rFonts w:hint="eastAsia" w:ascii="方正楷体_GBK" w:hAnsi="方正楷体_GBK" w:eastAsia="方正楷体_GBK" w:cs="方正楷体_GBK"/>
          <w:color w:val="333333"/>
          <w:kern w:val="44"/>
          <w:sz w:val="32"/>
          <w:szCs w:val="32"/>
        </w:rPr>
        <w:t>。</w:t>
      </w:r>
    </w:p>
    <w:p>
      <w:pPr>
        <w:pStyle w:val="4"/>
        <w:spacing w:before="0" w:beforeAutospacing="0" w:after="0" w:afterAutospacing="0" w:line="560" w:lineRule="exact"/>
        <w:ind w:firstLine="645"/>
        <w:jc w:val="both"/>
        <w:rPr>
          <w:color w:val="FF0000"/>
          <w:sz w:val="32"/>
          <w:szCs w:val="32"/>
          <w:shd w:val="clear" w:color="auto" w:fill="FFFFFF"/>
        </w:rPr>
      </w:pPr>
      <w:r>
        <w:rPr>
          <w:color w:val="333333"/>
          <w:sz w:val="32"/>
          <w:szCs w:val="32"/>
          <w:shd w:val="clear" w:color="auto" w:fill="FFFFFF"/>
        </w:rPr>
        <w:t>根据预算绩效管理要求，结合我乡实际，对2021年56个项目开展绩效自评,涉及资金2730.76万元,从评价情况来看，我单位项目均按期完成了年度计划，年度经费及时拨付到达依托单位。</w:t>
      </w:r>
    </w:p>
    <w:p>
      <w:pPr>
        <w:pStyle w:val="4"/>
        <w:spacing w:before="0" w:beforeAutospacing="0" w:after="0" w:afterAutospacing="0" w:line="560" w:lineRule="exact"/>
        <w:ind w:firstLine="640" w:firstLineChars="200"/>
        <w:jc w:val="both"/>
        <w:rPr>
          <w:rFonts w:ascii="方正楷体_GBK" w:hAnsi="方正楷体_GBK" w:eastAsia="方正楷体_GBK" w:cs="方正楷体_GBK"/>
          <w:color w:val="333333"/>
          <w:kern w:val="44"/>
          <w:sz w:val="32"/>
          <w:szCs w:val="32"/>
        </w:rPr>
      </w:pPr>
      <w:r>
        <w:rPr>
          <w:rFonts w:hint="eastAsia" w:ascii="方正楷体_GBK" w:hAnsi="方正楷体_GBK" w:eastAsia="方正楷体_GBK" w:cs="方正楷体_GBK"/>
          <w:color w:val="333333"/>
          <w:kern w:val="44"/>
          <w:sz w:val="32"/>
          <w:szCs w:val="32"/>
        </w:rPr>
        <w:t>（二）绩效自评结果</w:t>
      </w:r>
    </w:p>
    <w:p>
      <w:pPr>
        <w:pStyle w:val="4"/>
        <w:spacing w:before="0" w:beforeAutospacing="0" w:after="0" w:afterAutospacing="0" w:line="560" w:lineRule="exact"/>
        <w:ind w:firstLine="640" w:firstLineChars="200"/>
        <w:jc w:val="both"/>
        <w:rPr>
          <w:color w:val="333333"/>
          <w:kern w:val="44"/>
          <w:sz w:val="32"/>
          <w:szCs w:val="32"/>
        </w:rPr>
      </w:pPr>
      <w:r>
        <w:rPr>
          <w:color w:val="333333"/>
          <w:kern w:val="44"/>
          <w:sz w:val="32"/>
          <w:szCs w:val="32"/>
        </w:rPr>
        <w:t>1.绩效自评表</w:t>
      </w:r>
    </w:p>
    <w:tbl>
      <w:tblPr>
        <w:tblStyle w:val="5"/>
        <w:tblW w:w="9429" w:type="dxa"/>
        <w:jc w:val="center"/>
        <w:tblLayout w:type="fixed"/>
        <w:tblCellMar>
          <w:top w:w="0" w:type="dxa"/>
          <w:left w:w="108" w:type="dxa"/>
          <w:bottom w:w="0" w:type="dxa"/>
          <w:right w:w="108" w:type="dxa"/>
        </w:tblCellMar>
      </w:tblPr>
      <w:tblGrid>
        <w:gridCol w:w="96"/>
        <w:gridCol w:w="1471"/>
        <w:gridCol w:w="1262"/>
        <w:gridCol w:w="1624"/>
        <w:gridCol w:w="1574"/>
        <w:gridCol w:w="1364"/>
        <w:gridCol w:w="2030"/>
        <w:gridCol w:w="8"/>
      </w:tblGrid>
      <w:tr>
        <w:tblPrEx>
          <w:tblCellMar>
            <w:top w:w="0" w:type="dxa"/>
            <w:left w:w="108" w:type="dxa"/>
            <w:bottom w:w="0" w:type="dxa"/>
            <w:right w:w="108" w:type="dxa"/>
          </w:tblCellMar>
        </w:tblPrEx>
        <w:trPr>
          <w:trHeight w:val="601" w:hRule="atLeast"/>
          <w:jc w:val="center"/>
        </w:trPr>
        <w:tc>
          <w:tcPr>
            <w:tcW w:w="9429" w:type="dxa"/>
            <w:gridSpan w:val="8"/>
            <w:tcBorders>
              <w:top w:val="nil"/>
              <w:left w:val="nil"/>
              <w:bottom w:val="nil"/>
              <w:right w:val="nil"/>
            </w:tcBorders>
            <w:shd w:val="clear" w:color="auto" w:fill="auto"/>
            <w:noWrap/>
            <w:vAlign w:val="center"/>
          </w:tcPr>
          <w:p>
            <w:pPr>
              <w:spacing w:line="240" w:lineRule="auto"/>
              <w:jc w:val="center"/>
              <w:rPr>
                <w:rFonts w:eastAsia="方正小标宋_GBK"/>
                <w:color w:val="000000"/>
                <w:kern w:val="0"/>
                <w:sz w:val="36"/>
                <w:szCs w:val="36"/>
              </w:rPr>
            </w:pPr>
            <w:r>
              <w:rPr>
                <w:rFonts w:eastAsia="方正小标宋_GBK"/>
                <w:color w:val="000000"/>
                <w:kern w:val="0"/>
                <w:sz w:val="36"/>
                <w:szCs w:val="36"/>
              </w:rPr>
              <w:t>一般性项目绩效自评表</w:t>
            </w:r>
          </w:p>
        </w:tc>
      </w:tr>
      <w:tr>
        <w:tblPrEx>
          <w:tblCellMar>
            <w:top w:w="0" w:type="dxa"/>
            <w:left w:w="108" w:type="dxa"/>
            <w:bottom w:w="0" w:type="dxa"/>
            <w:right w:w="108" w:type="dxa"/>
          </w:tblCellMar>
        </w:tblPrEx>
        <w:trPr>
          <w:trHeight w:val="601" w:hRule="atLeast"/>
          <w:jc w:val="center"/>
        </w:trPr>
        <w:tc>
          <w:tcPr>
            <w:tcW w:w="9429" w:type="dxa"/>
            <w:gridSpan w:val="8"/>
            <w:tcBorders>
              <w:top w:val="nil"/>
              <w:left w:val="nil"/>
              <w:bottom w:val="nil"/>
              <w:right w:val="nil"/>
            </w:tcBorders>
            <w:shd w:val="clear" w:color="auto" w:fill="auto"/>
            <w:noWrap/>
            <w:vAlign w:val="center"/>
          </w:tcPr>
          <w:p>
            <w:pPr>
              <w:spacing w:line="240" w:lineRule="exact"/>
              <w:jc w:val="center"/>
              <w:rPr>
                <w:rFonts w:eastAsia="方正小标宋_GBK"/>
                <w:color w:val="000000"/>
                <w:kern w:val="0"/>
                <w:sz w:val="36"/>
                <w:szCs w:val="36"/>
              </w:rPr>
            </w:pPr>
          </w:p>
        </w:tc>
      </w:tr>
      <w:tr>
        <w:tblPrEx>
          <w:tblCellMar>
            <w:top w:w="0" w:type="dxa"/>
            <w:left w:w="0" w:type="dxa"/>
            <w:bottom w:w="0" w:type="dxa"/>
            <w:right w:w="0" w:type="dxa"/>
          </w:tblCellMar>
        </w:tblPrEx>
        <w:trPr>
          <w:gridBefore w:val="1"/>
          <w:gridAfter w:val="1"/>
          <w:wBefore w:w="96" w:type="dxa"/>
          <w:wAfter w:w="8" w:type="dxa"/>
          <w:trHeight w:val="619" w:hRule="atLeast"/>
          <w:jc w:val="center"/>
        </w:trPr>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专项（项目）名称</w:t>
            </w:r>
          </w:p>
        </w:tc>
        <w:tc>
          <w:tcPr>
            <w:tcW w:w="28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 xml:space="preserve">  “四好农村路”通组公路资金</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联系人及电话</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余开军58572004</w:t>
            </w:r>
          </w:p>
        </w:tc>
      </w:tr>
      <w:tr>
        <w:tblPrEx>
          <w:tblCellMar>
            <w:top w:w="0" w:type="dxa"/>
            <w:left w:w="0" w:type="dxa"/>
            <w:bottom w:w="0" w:type="dxa"/>
            <w:right w:w="0" w:type="dxa"/>
          </w:tblCellMar>
        </w:tblPrEx>
        <w:trPr>
          <w:gridBefore w:val="1"/>
          <w:gridAfter w:val="1"/>
          <w:wBefore w:w="96" w:type="dxa"/>
          <w:wAfter w:w="8" w:type="dxa"/>
          <w:trHeight w:val="480" w:hRule="atLeast"/>
          <w:jc w:val="center"/>
        </w:trPr>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业务主管部门</w:t>
            </w:r>
          </w:p>
        </w:tc>
        <w:tc>
          <w:tcPr>
            <w:tcW w:w="28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万州区交通局</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实施单位</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万州区溪口乡人民政府</w:t>
            </w:r>
          </w:p>
        </w:tc>
      </w:tr>
      <w:tr>
        <w:tblPrEx>
          <w:tblCellMar>
            <w:top w:w="0" w:type="dxa"/>
            <w:left w:w="0" w:type="dxa"/>
            <w:bottom w:w="0" w:type="dxa"/>
            <w:right w:w="0" w:type="dxa"/>
          </w:tblCellMar>
        </w:tblPrEx>
        <w:trPr>
          <w:gridBefore w:val="1"/>
          <w:gridAfter w:val="1"/>
          <w:wBefore w:w="96" w:type="dxa"/>
          <w:wAfter w:w="8" w:type="dxa"/>
          <w:trHeight w:val="319" w:hRule="atLeast"/>
          <w:jc w:val="center"/>
        </w:trPr>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项目资金（万元）</w:t>
            </w:r>
          </w:p>
        </w:tc>
        <w:tc>
          <w:tcPr>
            <w:tcW w:w="28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全年预算数（A）</w:t>
            </w:r>
          </w:p>
        </w:tc>
        <w:tc>
          <w:tcPr>
            <w:tcW w:w="293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全年执行数（B）</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执行率（B/A,%)</w:t>
            </w:r>
          </w:p>
        </w:tc>
      </w:tr>
      <w:tr>
        <w:tblPrEx>
          <w:tblCellMar>
            <w:top w:w="0" w:type="dxa"/>
            <w:left w:w="0" w:type="dxa"/>
            <w:bottom w:w="0" w:type="dxa"/>
            <w:right w:w="0" w:type="dxa"/>
          </w:tblCellMar>
        </w:tblPrEx>
        <w:trPr>
          <w:gridBefore w:val="1"/>
          <w:gridAfter w:val="1"/>
          <w:wBefore w:w="96" w:type="dxa"/>
          <w:wAfter w:w="8" w:type="dxa"/>
          <w:trHeight w:val="1182"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方正仿宋_GBK" w:hAnsi="方正仿宋_GBK" w:cs="方正仿宋_GBK"/>
                <w:bCs/>
                <w:color w:val="000000"/>
                <w:sz w:val="20"/>
                <w:szCs w:val="20"/>
              </w:rPr>
            </w:pPr>
          </w:p>
        </w:tc>
        <w:tc>
          <w:tcPr>
            <w:tcW w:w="126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总量</w:t>
            </w:r>
          </w:p>
        </w:tc>
        <w:tc>
          <w:tcPr>
            <w:tcW w:w="1624"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268.41738</w:t>
            </w:r>
          </w:p>
        </w:tc>
        <w:tc>
          <w:tcPr>
            <w:tcW w:w="1574"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总量</w:t>
            </w:r>
          </w:p>
        </w:tc>
        <w:tc>
          <w:tcPr>
            <w:tcW w:w="1364"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252.316696</w:t>
            </w:r>
          </w:p>
        </w:tc>
        <w:tc>
          <w:tcPr>
            <w:tcW w:w="20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94%</w:t>
            </w:r>
          </w:p>
        </w:tc>
      </w:tr>
      <w:tr>
        <w:tblPrEx>
          <w:tblCellMar>
            <w:top w:w="0" w:type="dxa"/>
            <w:left w:w="0" w:type="dxa"/>
            <w:bottom w:w="0" w:type="dxa"/>
            <w:right w:w="0" w:type="dxa"/>
          </w:tblCellMar>
        </w:tblPrEx>
        <w:trPr>
          <w:gridBefore w:val="1"/>
          <w:gridAfter w:val="1"/>
          <w:wBefore w:w="96" w:type="dxa"/>
          <w:wAfter w:w="8" w:type="dxa"/>
          <w:trHeight w:val="462" w:hRule="atLeast"/>
          <w:jc w:val="center"/>
        </w:trPr>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年度总体目标</w:t>
            </w:r>
          </w:p>
        </w:tc>
        <w:tc>
          <w:tcPr>
            <w:tcW w:w="44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年初设定目标</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全年目标实际完成情况</w:t>
            </w:r>
          </w:p>
        </w:tc>
      </w:tr>
      <w:tr>
        <w:tblPrEx>
          <w:tblCellMar>
            <w:top w:w="0" w:type="dxa"/>
            <w:left w:w="0" w:type="dxa"/>
            <w:bottom w:w="0" w:type="dxa"/>
            <w:right w:w="0" w:type="dxa"/>
          </w:tblCellMar>
        </w:tblPrEx>
        <w:trPr>
          <w:gridBefore w:val="1"/>
          <w:gridAfter w:val="1"/>
          <w:wBefore w:w="96" w:type="dxa"/>
          <w:wAfter w:w="8" w:type="dxa"/>
          <w:trHeight w:val="1980"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方正仿宋_GBK" w:hAnsi="方正仿宋_GBK" w:cs="方正仿宋_GBK"/>
                <w:bCs/>
                <w:color w:val="000000"/>
                <w:sz w:val="20"/>
                <w:szCs w:val="20"/>
              </w:rPr>
            </w:pPr>
          </w:p>
        </w:tc>
        <w:tc>
          <w:tcPr>
            <w:tcW w:w="44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建设“四好农村路”通组公路</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工程完工，按决算实现支付252.316696万元。</w:t>
            </w:r>
          </w:p>
        </w:tc>
      </w:tr>
      <w:tr>
        <w:tblPrEx>
          <w:tblCellMar>
            <w:top w:w="0" w:type="dxa"/>
            <w:left w:w="0" w:type="dxa"/>
            <w:bottom w:w="0" w:type="dxa"/>
            <w:right w:w="0" w:type="dxa"/>
          </w:tblCellMar>
        </w:tblPrEx>
        <w:trPr>
          <w:gridBefore w:val="1"/>
          <w:gridAfter w:val="1"/>
          <w:wBefore w:w="96" w:type="dxa"/>
          <w:wAfter w:w="8" w:type="dxa"/>
          <w:trHeight w:val="522" w:hRule="atLeast"/>
          <w:jc w:val="center"/>
        </w:trPr>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绩效指标</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指标名称</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年度指标值</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全年完成值</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完成比例</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kern w:val="0"/>
                <w:sz w:val="20"/>
                <w:szCs w:val="20"/>
              </w:rPr>
            </w:pPr>
            <w:r>
              <w:rPr>
                <w:rFonts w:hint="eastAsia" w:ascii="方正仿宋_GBK" w:hAnsi="方正仿宋_GBK" w:cs="方正仿宋_GBK"/>
                <w:bCs/>
                <w:color w:val="000000"/>
                <w:kern w:val="0"/>
                <w:sz w:val="20"/>
                <w:szCs w:val="20"/>
              </w:rPr>
              <w:t>未完成原因和改进措施</w:t>
            </w:r>
          </w:p>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及相关说明</w:t>
            </w:r>
          </w:p>
        </w:tc>
      </w:tr>
      <w:tr>
        <w:tblPrEx>
          <w:tblCellMar>
            <w:top w:w="0" w:type="dxa"/>
            <w:left w:w="0" w:type="dxa"/>
            <w:bottom w:w="0" w:type="dxa"/>
            <w:right w:w="0" w:type="dxa"/>
          </w:tblCellMar>
        </w:tblPrEx>
        <w:trPr>
          <w:gridBefore w:val="1"/>
          <w:gridAfter w:val="1"/>
          <w:wBefore w:w="96" w:type="dxa"/>
          <w:wAfter w:w="8" w:type="dxa"/>
          <w:trHeight w:val="435"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ascii="方正仿宋_GBK" w:hAnsi="方正仿宋_GBK" w:cs="方正仿宋_GBK"/>
                <w:bCs/>
                <w:color w:val="000000"/>
                <w:sz w:val="20"/>
                <w:szCs w:val="20"/>
              </w:rPr>
            </w:pPr>
          </w:p>
        </w:tc>
        <w:tc>
          <w:tcPr>
            <w:tcW w:w="12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数量指标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 xml:space="preserve">  “四好农村路”通组公路资金投入</w:t>
            </w:r>
          </w:p>
          <w:p>
            <w:pPr>
              <w:jc w:val="center"/>
              <w:textAlignment w:val="center"/>
              <w:rPr>
                <w:rFonts w:ascii="方正仿宋_GBK" w:hAnsi="方正仿宋_GBK" w:cs="方正仿宋_GBK"/>
                <w:bCs/>
                <w:color w:val="000000"/>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252.316696</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94%</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方正仿宋_GBK" w:hAnsi="方正仿宋_GBK" w:cs="方正仿宋_GBK"/>
                <w:bCs/>
                <w:color w:val="000000"/>
                <w:sz w:val="20"/>
                <w:szCs w:val="20"/>
              </w:rPr>
            </w:pPr>
          </w:p>
        </w:tc>
      </w:tr>
      <w:tr>
        <w:tblPrEx>
          <w:tblCellMar>
            <w:top w:w="0" w:type="dxa"/>
            <w:left w:w="0" w:type="dxa"/>
            <w:bottom w:w="0" w:type="dxa"/>
            <w:right w:w="0" w:type="dxa"/>
          </w:tblCellMar>
        </w:tblPrEx>
        <w:trPr>
          <w:gridBefore w:val="1"/>
          <w:gridAfter w:val="1"/>
          <w:wBefore w:w="96" w:type="dxa"/>
          <w:wAfter w:w="8" w:type="dxa"/>
          <w:trHeight w:val="435"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ascii="方正仿宋_GBK" w:hAnsi="方正仿宋_GBK" w:cs="方正仿宋_GBK"/>
                <w:bCs/>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时效指标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2021年</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2021年</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方正仿宋_GBK" w:hAnsi="方正仿宋_GBK" w:cs="方正仿宋_GBK"/>
                <w:bCs/>
                <w:color w:val="000000"/>
                <w:sz w:val="20"/>
                <w:szCs w:val="20"/>
              </w:rPr>
            </w:pPr>
          </w:p>
        </w:tc>
      </w:tr>
      <w:tr>
        <w:tblPrEx>
          <w:tblCellMar>
            <w:top w:w="0" w:type="dxa"/>
            <w:left w:w="0" w:type="dxa"/>
            <w:bottom w:w="0" w:type="dxa"/>
            <w:right w:w="0" w:type="dxa"/>
          </w:tblCellMar>
        </w:tblPrEx>
        <w:trPr>
          <w:gridBefore w:val="1"/>
          <w:gridAfter w:val="1"/>
          <w:wBefore w:w="96" w:type="dxa"/>
          <w:wAfter w:w="8" w:type="dxa"/>
          <w:trHeight w:val="435"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ascii="方正仿宋_GBK" w:hAnsi="方正仿宋_GBK" w:cs="方正仿宋_GBK"/>
                <w:bCs/>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社会效益</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辐射带动人口</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7900人</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方正仿宋_GBK" w:hAnsi="方正仿宋_GBK" w:cs="方正仿宋_GBK"/>
                <w:bCs/>
                <w:color w:val="000000"/>
                <w:sz w:val="20"/>
                <w:szCs w:val="20"/>
              </w:rPr>
            </w:pPr>
          </w:p>
        </w:tc>
      </w:tr>
      <w:tr>
        <w:tblPrEx>
          <w:tblCellMar>
            <w:top w:w="0" w:type="dxa"/>
            <w:left w:w="0" w:type="dxa"/>
            <w:bottom w:w="0" w:type="dxa"/>
            <w:right w:w="0" w:type="dxa"/>
          </w:tblCellMar>
        </w:tblPrEx>
        <w:trPr>
          <w:gridBefore w:val="1"/>
          <w:gridAfter w:val="1"/>
          <w:wBefore w:w="96" w:type="dxa"/>
          <w:wAfter w:w="8" w:type="dxa"/>
          <w:trHeight w:val="435"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ascii="方正仿宋_GBK" w:hAnsi="方正仿宋_GBK" w:cs="方正仿宋_GBK"/>
                <w:bCs/>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质量指标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项目验收合格率</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90%</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905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方正仿宋_GBK" w:hAnsi="方正仿宋_GBK" w:cs="方正仿宋_GBK"/>
                <w:bCs/>
                <w:color w:val="000000"/>
                <w:sz w:val="20"/>
                <w:szCs w:val="20"/>
              </w:rPr>
            </w:pPr>
          </w:p>
        </w:tc>
      </w:tr>
      <w:tr>
        <w:tblPrEx>
          <w:tblCellMar>
            <w:top w:w="0" w:type="dxa"/>
            <w:left w:w="0" w:type="dxa"/>
            <w:bottom w:w="0" w:type="dxa"/>
            <w:right w:w="0" w:type="dxa"/>
          </w:tblCellMar>
        </w:tblPrEx>
        <w:trPr>
          <w:gridBefore w:val="1"/>
          <w:gridAfter w:val="1"/>
          <w:wBefore w:w="96" w:type="dxa"/>
          <w:wAfter w:w="8" w:type="dxa"/>
          <w:trHeight w:val="435"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ascii="方正仿宋_GBK" w:hAnsi="方正仿宋_GBK" w:cs="方正仿宋_GBK"/>
                <w:bCs/>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生态效益</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对环境破坏</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极小</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方正仿宋_GBK" w:hAnsi="方正仿宋_GBK" w:cs="方正仿宋_GBK"/>
                <w:bCs/>
                <w:color w:val="000000"/>
                <w:sz w:val="20"/>
                <w:szCs w:val="20"/>
              </w:rPr>
            </w:pPr>
          </w:p>
        </w:tc>
      </w:tr>
      <w:tr>
        <w:tblPrEx>
          <w:tblCellMar>
            <w:top w:w="0" w:type="dxa"/>
            <w:left w:w="0" w:type="dxa"/>
            <w:bottom w:w="0" w:type="dxa"/>
            <w:right w:w="0" w:type="dxa"/>
          </w:tblCellMar>
        </w:tblPrEx>
        <w:trPr>
          <w:gridBefore w:val="1"/>
          <w:gridAfter w:val="1"/>
          <w:wBefore w:w="96" w:type="dxa"/>
          <w:wAfter w:w="8" w:type="dxa"/>
          <w:trHeight w:val="435"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ascii="方正仿宋_GBK" w:hAnsi="方正仿宋_GBK" w:cs="方正仿宋_GBK"/>
                <w:bCs/>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社会公众或服务对象满意度指标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出行群众满意度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满意</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方正仿宋_GBK" w:hAnsi="方正仿宋_GBK" w:cs="方正仿宋_GBK"/>
                <w:bCs/>
                <w:color w:val="000000"/>
                <w:sz w:val="20"/>
                <w:szCs w:val="20"/>
              </w:rPr>
            </w:pPr>
          </w:p>
        </w:tc>
      </w:tr>
      <w:tr>
        <w:tblPrEx>
          <w:tblCellMar>
            <w:top w:w="0" w:type="dxa"/>
            <w:left w:w="0" w:type="dxa"/>
            <w:bottom w:w="0" w:type="dxa"/>
            <w:right w:w="0" w:type="dxa"/>
          </w:tblCellMar>
        </w:tblPrEx>
        <w:trPr>
          <w:gridBefore w:val="1"/>
          <w:gridAfter w:val="1"/>
          <w:wBefore w:w="96" w:type="dxa"/>
          <w:wAfter w:w="8" w:type="dxa"/>
          <w:trHeight w:val="435"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ascii="方正仿宋_GBK" w:hAnsi="方正仿宋_GBK" w:cs="方正仿宋_GBK"/>
                <w:bCs/>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方正仿宋_GBK" w:hAnsi="方正仿宋_GBK" w:cs="方正仿宋_GBK"/>
                <w:bCs/>
                <w:color w:val="000000"/>
                <w:sz w:val="20"/>
                <w:szCs w:val="20"/>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方正仿宋_GBK" w:hAnsi="方正仿宋_GBK" w:cs="方正仿宋_GBK"/>
                <w:bCs/>
                <w:color w:val="000000"/>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cs="方正仿宋_GBK"/>
                <w:bCs/>
                <w:color w:val="000000"/>
                <w:sz w:val="20"/>
                <w:szCs w:val="2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方正仿宋_GBK" w:hAnsi="方正仿宋_GBK" w:cs="方正仿宋_GBK"/>
                <w:bCs/>
                <w:color w:val="000000"/>
                <w:sz w:val="20"/>
                <w:szCs w:val="20"/>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方正仿宋_GBK" w:hAnsi="方正仿宋_GBK" w:cs="方正仿宋_GBK"/>
                <w:bCs/>
                <w:color w:val="000000"/>
                <w:sz w:val="20"/>
                <w:szCs w:val="20"/>
              </w:rPr>
            </w:pPr>
          </w:p>
        </w:tc>
      </w:tr>
      <w:tr>
        <w:tblPrEx>
          <w:tblCellMar>
            <w:top w:w="0" w:type="dxa"/>
            <w:left w:w="0" w:type="dxa"/>
            <w:bottom w:w="0" w:type="dxa"/>
            <w:right w:w="0" w:type="dxa"/>
          </w:tblCellMar>
        </w:tblPrEx>
        <w:trPr>
          <w:gridBefore w:val="1"/>
          <w:gridAfter w:val="1"/>
          <w:wBefore w:w="96" w:type="dxa"/>
          <w:wAfter w:w="8" w:type="dxa"/>
          <w:trHeight w:val="435"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ascii="方正仿宋_GBK" w:hAnsi="方正仿宋_GBK" w:cs="方正仿宋_GBK"/>
                <w:bCs/>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方正仿宋_GBK" w:hAnsi="方正仿宋_GBK" w:cs="方正仿宋_GBK"/>
                <w:bCs/>
                <w:color w:val="000000"/>
                <w:sz w:val="20"/>
                <w:szCs w:val="20"/>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方正仿宋_GBK" w:hAnsi="方正仿宋_GBK" w:cs="方正仿宋_GBK"/>
                <w:bCs/>
                <w:color w:val="000000"/>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方正仿宋_GBK" w:hAnsi="方正仿宋_GBK" w:cs="方正仿宋_GBK"/>
                <w:bCs/>
                <w:color w:val="000000"/>
                <w:sz w:val="20"/>
                <w:szCs w:val="2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方正仿宋_GBK" w:hAnsi="方正仿宋_GBK" w:cs="方正仿宋_GBK"/>
                <w:bCs/>
                <w:color w:val="000000"/>
                <w:sz w:val="20"/>
                <w:szCs w:val="20"/>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方正仿宋_GBK" w:hAnsi="方正仿宋_GBK" w:cs="方正仿宋_GBK"/>
                <w:bCs/>
                <w:color w:val="000000"/>
                <w:sz w:val="20"/>
                <w:szCs w:val="20"/>
              </w:rPr>
            </w:pPr>
          </w:p>
        </w:tc>
      </w:tr>
      <w:tr>
        <w:tblPrEx>
          <w:tblCellMar>
            <w:top w:w="0" w:type="dxa"/>
            <w:left w:w="0" w:type="dxa"/>
            <w:bottom w:w="0" w:type="dxa"/>
            <w:right w:w="0" w:type="dxa"/>
          </w:tblCellMar>
        </w:tblPrEx>
        <w:trPr>
          <w:gridBefore w:val="1"/>
          <w:gridAfter w:val="1"/>
          <w:wBefore w:w="96" w:type="dxa"/>
          <w:wAfter w:w="8" w:type="dxa"/>
          <w:trHeight w:val="435"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ascii="方正仿宋_GBK" w:hAnsi="方正仿宋_GBK" w:cs="方正仿宋_GBK"/>
                <w:bCs/>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请在此处简要说明各级审计和财政监督检查中发现的问题及其所涉及的金额，如没有请填无。</w:t>
            </w:r>
          </w:p>
        </w:tc>
        <w:tc>
          <w:tcPr>
            <w:tcW w:w="1624" w:type="dxa"/>
            <w:tcBorders>
              <w:bottom w:val="single" w:color="auto" w:sz="4" w:space="0"/>
            </w:tcBorders>
            <w:tcMar>
              <w:top w:w="12" w:type="dxa"/>
              <w:left w:w="12" w:type="dxa"/>
              <w:right w:w="12" w:type="dxa"/>
            </w:tcMar>
          </w:tcPr>
          <w:p>
            <w:pPr>
              <w:rPr>
                <w:rFonts w:ascii="方正仿宋_GBK" w:hAnsi="方正仿宋_GBK" w:cs="方正仿宋_GBK"/>
                <w:bCs/>
                <w:color w:val="000000"/>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方正仿宋_GBK" w:hAnsi="方正仿宋_GBK" w:cs="方正仿宋_GBK"/>
                <w:bCs/>
                <w:color w:val="000000"/>
                <w:sz w:val="20"/>
                <w:szCs w:val="2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方正仿宋_GBK" w:hAnsi="方正仿宋_GBK" w:cs="方正仿宋_GBK"/>
                <w:bCs/>
                <w:color w:val="000000"/>
                <w:sz w:val="20"/>
                <w:szCs w:val="20"/>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方正仿宋_GBK" w:hAnsi="方正仿宋_GBK" w:cs="方正仿宋_GBK"/>
                <w:bCs/>
                <w:color w:val="000000"/>
                <w:sz w:val="20"/>
                <w:szCs w:val="20"/>
              </w:rPr>
            </w:pPr>
          </w:p>
        </w:tc>
      </w:tr>
      <w:tr>
        <w:tblPrEx>
          <w:tblCellMar>
            <w:top w:w="0" w:type="dxa"/>
            <w:left w:w="0" w:type="dxa"/>
            <w:bottom w:w="0" w:type="dxa"/>
            <w:right w:w="0" w:type="dxa"/>
          </w:tblCellMar>
        </w:tblPrEx>
        <w:trPr>
          <w:gridBefore w:val="1"/>
          <w:gridAfter w:val="1"/>
          <w:wBefore w:w="96" w:type="dxa"/>
          <w:wAfter w:w="8" w:type="dxa"/>
          <w:trHeight w:val="435"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ascii="方正仿宋_GBK" w:hAnsi="方正仿宋_GBK" w:cs="方正仿宋_GBK"/>
                <w:bCs/>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方正仿宋_GBK" w:hAnsi="方正仿宋_GBK" w:cs="方正仿宋_GBK"/>
                <w:bCs/>
                <w:color w:val="000000"/>
                <w:sz w:val="20"/>
                <w:szCs w:val="20"/>
              </w:rPr>
            </w:pPr>
          </w:p>
        </w:tc>
        <w:tc>
          <w:tcPr>
            <w:tcW w:w="1624" w:type="dxa"/>
            <w:tcBorders>
              <w:top w:val="single" w:color="auto" w:sz="4" w:space="0"/>
              <w:bottom w:val="single" w:color="auto" w:sz="4" w:space="0"/>
            </w:tcBorders>
            <w:tcMar>
              <w:top w:w="12" w:type="dxa"/>
              <w:left w:w="12" w:type="dxa"/>
              <w:right w:w="12" w:type="dxa"/>
            </w:tcMar>
          </w:tcPr>
          <w:p>
            <w:pPr>
              <w:rPr>
                <w:rFonts w:ascii="方正仿宋_GBK" w:hAnsi="方正仿宋_GBK" w:cs="方正仿宋_GBK"/>
                <w:bCs/>
                <w:color w:val="000000"/>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方正仿宋_GBK" w:hAnsi="方正仿宋_GBK" w:cs="方正仿宋_GBK"/>
                <w:bCs/>
                <w:color w:val="000000"/>
                <w:sz w:val="20"/>
                <w:szCs w:val="2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方正仿宋_GBK" w:hAnsi="方正仿宋_GBK" w:cs="方正仿宋_GBK"/>
                <w:bCs/>
                <w:color w:val="000000"/>
                <w:sz w:val="20"/>
                <w:szCs w:val="20"/>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方正仿宋_GBK" w:hAnsi="方正仿宋_GBK" w:cs="方正仿宋_GBK"/>
                <w:bCs/>
                <w:color w:val="000000"/>
                <w:sz w:val="20"/>
                <w:szCs w:val="20"/>
              </w:rPr>
            </w:pPr>
          </w:p>
        </w:tc>
      </w:tr>
      <w:tr>
        <w:tblPrEx>
          <w:tblCellMar>
            <w:top w:w="0" w:type="dxa"/>
            <w:left w:w="0" w:type="dxa"/>
            <w:bottom w:w="0" w:type="dxa"/>
            <w:right w:w="0" w:type="dxa"/>
          </w:tblCellMar>
        </w:tblPrEx>
        <w:trPr>
          <w:gridBefore w:val="1"/>
          <w:gridAfter w:val="1"/>
          <w:wBefore w:w="96" w:type="dxa"/>
          <w:wAfter w:w="8" w:type="dxa"/>
          <w:trHeight w:val="679" w:hRule="atLeast"/>
          <w:jc w:val="center"/>
        </w:trPr>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说明</w:t>
            </w:r>
          </w:p>
        </w:tc>
        <w:tc>
          <w:tcPr>
            <w:tcW w:w="785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方正仿宋_GBK" w:hAnsi="方正仿宋_GBK" w:cs="方正仿宋_GBK"/>
                <w:bCs/>
                <w:color w:val="000000"/>
                <w:sz w:val="20"/>
                <w:szCs w:val="20"/>
              </w:rPr>
            </w:pPr>
          </w:p>
        </w:tc>
      </w:tr>
      <w:tr>
        <w:tblPrEx>
          <w:tblCellMar>
            <w:top w:w="0" w:type="dxa"/>
            <w:left w:w="108" w:type="dxa"/>
            <w:bottom w:w="0" w:type="dxa"/>
            <w:right w:w="108" w:type="dxa"/>
          </w:tblCellMar>
        </w:tblPrEx>
        <w:trPr>
          <w:trHeight w:val="601" w:hRule="atLeast"/>
          <w:jc w:val="center"/>
        </w:trPr>
        <w:tc>
          <w:tcPr>
            <w:tcW w:w="9429" w:type="dxa"/>
            <w:gridSpan w:val="8"/>
            <w:tcBorders>
              <w:top w:val="nil"/>
              <w:left w:val="nil"/>
              <w:bottom w:val="nil"/>
              <w:right w:val="nil"/>
            </w:tcBorders>
            <w:shd w:val="clear" w:color="auto" w:fill="auto"/>
            <w:noWrap/>
            <w:vAlign w:val="center"/>
          </w:tcPr>
          <w:p>
            <w:pPr>
              <w:spacing w:line="240" w:lineRule="auto"/>
              <w:jc w:val="center"/>
              <w:rPr>
                <w:rFonts w:hint="eastAsia" w:eastAsia="方正小标宋_GBK"/>
                <w:color w:val="000000"/>
                <w:kern w:val="0"/>
                <w:sz w:val="36"/>
                <w:szCs w:val="36"/>
              </w:rPr>
            </w:pPr>
          </w:p>
          <w:p>
            <w:pPr>
              <w:spacing w:line="240" w:lineRule="auto"/>
              <w:jc w:val="center"/>
              <w:rPr>
                <w:rFonts w:eastAsia="方正小标宋_GBK"/>
                <w:color w:val="000000"/>
                <w:kern w:val="0"/>
                <w:sz w:val="36"/>
                <w:szCs w:val="36"/>
              </w:rPr>
            </w:pPr>
            <w:r>
              <w:rPr>
                <w:rFonts w:eastAsia="方正小标宋_GBK"/>
                <w:color w:val="000000"/>
                <w:kern w:val="0"/>
                <w:sz w:val="36"/>
                <w:szCs w:val="36"/>
              </w:rPr>
              <w:t>一般性项目绩效自评表</w:t>
            </w:r>
          </w:p>
        </w:tc>
      </w:tr>
      <w:tr>
        <w:tblPrEx>
          <w:tblCellMar>
            <w:top w:w="0" w:type="dxa"/>
            <w:left w:w="108" w:type="dxa"/>
            <w:bottom w:w="0" w:type="dxa"/>
            <w:right w:w="108" w:type="dxa"/>
          </w:tblCellMar>
        </w:tblPrEx>
        <w:trPr>
          <w:trHeight w:val="601" w:hRule="atLeast"/>
          <w:jc w:val="center"/>
        </w:trPr>
        <w:tc>
          <w:tcPr>
            <w:tcW w:w="9429" w:type="dxa"/>
            <w:gridSpan w:val="8"/>
            <w:tcBorders>
              <w:top w:val="nil"/>
              <w:left w:val="nil"/>
              <w:bottom w:val="nil"/>
              <w:right w:val="nil"/>
            </w:tcBorders>
            <w:shd w:val="clear" w:color="auto" w:fill="auto"/>
            <w:noWrap/>
            <w:vAlign w:val="center"/>
          </w:tcPr>
          <w:p>
            <w:pPr>
              <w:spacing w:line="240" w:lineRule="exact"/>
              <w:jc w:val="center"/>
              <w:rPr>
                <w:rFonts w:eastAsia="方正小标宋_GBK"/>
                <w:color w:val="000000"/>
                <w:kern w:val="0"/>
                <w:sz w:val="36"/>
                <w:szCs w:val="36"/>
              </w:rPr>
            </w:pPr>
          </w:p>
        </w:tc>
      </w:tr>
      <w:tr>
        <w:tblPrEx>
          <w:tblCellMar>
            <w:top w:w="0" w:type="dxa"/>
            <w:left w:w="0" w:type="dxa"/>
            <w:bottom w:w="0" w:type="dxa"/>
            <w:right w:w="0" w:type="dxa"/>
          </w:tblCellMar>
        </w:tblPrEx>
        <w:trPr>
          <w:gridBefore w:val="1"/>
          <w:gridAfter w:val="1"/>
          <w:wBefore w:w="96" w:type="dxa"/>
          <w:wAfter w:w="8" w:type="dxa"/>
          <w:trHeight w:val="887" w:hRule="atLeast"/>
          <w:jc w:val="center"/>
        </w:trPr>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专项（项目）名称</w:t>
            </w:r>
          </w:p>
        </w:tc>
        <w:tc>
          <w:tcPr>
            <w:tcW w:w="28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 xml:space="preserve">  万州区东风、高立水库维修养护项目 </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联系人及电话</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胡安坪18883606080</w:t>
            </w:r>
          </w:p>
        </w:tc>
      </w:tr>
      <w:tr>
        <w:tblPrEx>
          <w:tblCellMar>
            <w:top w:w="0" w:type="dxa"/>
            <w:left w:w="0" w:type="dxa"/>
            <w:bottom w:w="0" w:type="dxa"/>
            <w:right w:w="0" w:type="dxa"/>
          </w:tblCellMar>
        </w:tblPrEx>
        <w:trPr>
          <w:gridBefore w:val="1"/>
          <w:gridAfter w:val="1"/>
          <w:wBefore w:w="96" w:type="dxa"/>
          <w:wAfter w:w="8" w:type="dxa"/>
          <w:trHeight w:val="480" w:hRule="atLeast"/>
          <w:jc w:val="center"/>
        </w:trPr>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业务主管部门</w:t>
            </w:r>
          </w:p>
        </w:tc>
        <w:tc>
          <w:tcPr>
            <w:tcW w:w="28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区水利局</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实施单位</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万州区溪口乡人民政府</w:t>
            </w:r>
          </w:p>
        </w:tc>
      </w:tr>
      <w:tr>
        <w:tblPrEx>
          <w:tblCellMar>
            <w:top w:w="0" w:type="dxa"/>
            <w:left w:w="0" w:type="dxa"/>
            <w:bottom w:w="0" w:type="dxa"/>
            <w:right w:w="0" w:type="dxa"/>
          </w:tblCellMar>
        </w:tblPrEx>
        <w:trPr>
          <w:gridBefore w:val="1"/>
          <w:gridAfter w:val="1"/>
          <w:wBefore w:w="96" w:type="dxa"/>
          <w:wAfter w:w="8" w:type="dxa"/>
          <w:trHeight w:val="319" w:hRule="atLeast"/>
          <w:jc w:val="center"/>
        </w:trPr>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项目资金（万元）</w:t>
            </w:r>
          </w:p>
        </w:tc>
        <w:tc>
          <w:tcPr>
            <w:tcW w:w="28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全年预算数（A）</w:t>
            </w:r>
          </w:p>
        </w:tc>
        <w:tc>
          <w:tcPr>
            <w:tcW w:w="293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全年执行数（B）</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执行率（B/A,%)</w:t>
            </w:r>
          </w:p>
        </w:tc>
      </w:tr>
      <w:tr>
        <w:tblPrEx>
          <w:tblCellMar>
            <w:top w:w="0" w:type="dxa"/>
            <w:left w:w="0" w:type="dxa"/>
            <w:bottom w:w="0" w:type="dxa"/>
            <w:right w:w="0" w:type="dxa"/>
          </w:tblCellMar>
        </w:tblPrEx>
        <w:trPr>
          <w:gridBefore w:val="1"/>
          <w:gridAfter w:val="1"/>
          <w:wBefore w:w="96" w:type="dxa"/>
          <w:wAfter w:w="8" w:type="dxa"/>
          <w:trHeight w:val="1182"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方正仿宋_GBK" w:hAnsi="方正仿宋_GBK" w:cs="方正仿宋_GBK"/>
                <w:bCs/>
                <w:color w:val="000000"/>
                <w:sz w:val="20"/>
                <w:szCs w:val="20"/>
              </w:rPr>
            </w:pPr>
          </w:p>
        </w:tc>
        <w:tc>
          <w:tcPr>
            <w:tcW w:w="126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总量</w:t>
            </w:r>
          </w:p>
        </w:tc>
        <w:tc>
          <w:tcPr>
            <w:tcW w:w="1624"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3.5</w:t>
            </w:r>
          </w:p>
        </w:tc>
        <w:tc>
          <w:tcPr>
            <w:tcW w:w="1574"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总量</w:t>
            </w:r>
          </w:p>
        </w:tc>
        <w:tc>
          <w:tcPr>
            <w:tcW w:w="1364"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3.5</w:t>
            </w:r>
          </w:p>
        </w:tc>
        <w:tc>
          <w:tcPr>
            <w:tcW w:w="20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100%</w:t>
            </w:r>
          </w:p>
        </w:tc>
      </w:tr>
      <w:tr>
        <w:tblPrEx>
          <w:tblCellMar>
            <w:top w:w="0" w:type="dxa"/>
            <w:left w:w="0" w:type="dxa"/>
            <w:bottom w:w="0" w:type="dxa"/>
            <w:right w:w="0" w:type="dxa"/>
          </w:tblCellMar>
        </w:tblPrEx>
        <w:trPr>
          <w:gridBefore w:val="1"/>
          <w:gridAfter w:val="1"/>
          <w:wBefore w:w="96" w:type="dxa"/>
          <w:wAfter w:w="8" w:type="dxa"/>
          <w:trHeight w:val="462" w:hRule="atLeast"/>
          <w:jc w:val="center"/>
        </w:trPr>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年度总体目标</w:t>
            </w:r>
          </w:p>
        </w:tc>
        <w:tc>
          <w:tcPr>
            <w:tcW w:w="44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年初设定目标</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全年目标实际完成情况</w:t>
            </w:r>
          </w:p>
        </w:tc>
      </w:tr>
      <w:tr>
        <w:tblPrEx>
          <w:tblCellMar>
            <w:top w:w="0" w:type="dxa"/>
            <w:left w:w="0" w:type="dxa"/>
            <w:bottom w:w="0" w:type="dxa"/>
            <w:right w:w="0" w:type="dxa"/>
          </w:tblCellMar>
        </w:tblPrEx>
        <w:trPr>
          <w:gridBefore w:val="1"/>
          <w:gridAfter w:val="1"/>
          <w:wBefore w:w="96" w:type="dxa"/>
          <w:wAfter w:w="8" w:type="dxa"/>
          <w:trHeight w:val="1219"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方正仿宋_GBK" w:hAnsi="方正仿宋_GBK" w:cs="方正仿宋_GBK"/>
                <w:bCs/>
                <w:color w:val="000000"/>
                <w:sz w:val="20"/>
                <w:szCs w:val="20"/>
              </w:rPr>
            </w:pPr>
          </w:p>
        </w:tc>
        <w:tc>
          <w:tcPr>
            <w:tcW w:w="44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确保水库大坝安全，恢复蓄水，保护下游人口、耕地等。</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确保水库大坝安全，恢复蓄水，保护下游人口、耕地等。</w:t>
            </w:r>
          </w:p>
        </w:tc>
      </w:tr>
      <w:tr>
        <w:tblPrEx>
          <w:tblCellMar>
            <w:top w:w="0" w:type="dxa"/>
            <w:left w:w="0" w:type="dxa"/>
            <w:bottom w:w="0" w:type="dxa"/>
            <w:right w:w="0" w:type="dxa"/>
          </w:tblCellMar>
        </w:tblPrEx>
        <w:trPr>
          <w:gridBefore w:val="1"/>
          <w:gridAfter w:val="1"/>
          <w:wBefore w:w="96" w:type="dxa"/>
          <w:wAfter w:w="8" w:type="dxa"/>
          <w:trHeight w:val="522" w:hRule="atLeast"/>
          <w:jc w:val="center"/>
        </w:trPr>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绩效指标</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指标名称</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年度指标值</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全年完成值</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完成比例</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kern w:val="0"/>
                <w:sz w:val="20"/>
                <w:szCs w:val="20"/>
              </w:rPr>
            </w:pPr>
            <w:r>
              <w:rPr>
                <w:rFonts w:hint="eastAsia" w:ascii="方正仿宋_GBK" w:hAnsi="方正仿宋_GBK" w:cs="方正仿宋_GBK"/>
                <w:bCs/>
                <w:color w:val="000000"/>
                <w:kern w:val="0"/>
                <w:sz w:val="20"/>
                <w:szCs w:val="20"/>
              </w:rPr>
              <w:t>未完成原因和改进措施</w:t>
            </w:r>
          </w:p>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及相关说明</w:t>
            </w:r>
          </w:p>
        </w:tc>
      </w:tr>
      <w:tr>
        <w:tblPrEx>
          <w:tblCellMar>
            <w:top w:w="0" w:type="dxa"/>
            <w:left w:w="0" w:type="dxa"/>
            <w:bottom w:w="0" w:type="dxa"/>
            <w:right w:w="0" w:type="dxa"/>
          </w:tblCellMar>
        </w:tblPrEx>
        <w:trPr>
          <w:gridBefore w:val="1"/>
          <w:gridAfter w:val="1"/>
          <w:wBefore w:w="96" w:type="dxa"/>
          <w:wAfter w:w="8" w:type="dxa"/>
          <w:trHeight w:val="435"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ascii="方正仿宋_GBK" w:hAnsi="方正仿宋_GBK" w:cs="方正仿宋_GBK"/>
                <w:bCs/>
                <w:color w:val="000000"/>
                <w:sz w:val="20"/>
                <w:szCs w:val="20"/>
              </w:rPr>
            </w:pPr>
          </w:p>
        </w:tc>
        <w:tc>
          <w:tcPr>
            <w:tcW w:w="12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数量指标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 xml:space="preserve">东风、高立水库维修养护投入成本  </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3.5</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3.5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方正仿宋_GBK" w:hAnsi="方正仿宋_GBK" w:cs="方正仿宋_GBK"/>
                <w:bCs/>
                <w:color w:val="000000"/>
                <w:sz w:val="20"/>
                <w:szCs w:val="20"/>
              </w:rPr>
            </w:pPr>
          </w:p>
        </w:tc>
      </w:tr>
      <w:tr>
        <w:tblPrEx>
          <w:tblCellMar>
            <w:top w:w="0" w:type="dxa"/>
            <w:left w:w="0" w:type="dxa"/>
            <w:bottom w:w="0" w:type="dxa"/>
            <w:right w:w="0" w:type="dxa"/>
          </w:tblCellMar>
        </w:tblPrEx>
        <w:trPr>
          <w:gridBefore w:val="1"/>
          <w:gridAfter w:val="1"/>
          <w:wBefore w:w="96" w:type="dxa"/>
          <w:wAfter w:w="8" w:type="dxa"/>
          <w:trHeight w:val="435"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ascii="方正仿宋_GBK" w:hAnsi="方正仿宋_GBK" w:cs="方正仿宋_GBK"/>
                <w:bCs/>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时效指标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项目按时开工率</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ascii="方正仿宋_GBK" w:hAnsi="方正仿宋_GBK" w:cs="方正仿宋_GBK"/>
                <w:bCs/>
                <w:color w:val="000000"/>
                <w:sz w:val="20"/>
                <w:szCs w:val="20"/>
              </w:rPr>
              <w:t>100%</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ascii="方正仿宋_GBK" w:hAnsi="方正仿宋_GBK" w:cs="方正仿宋_GBK"/>
                <w:bCs/>
                <w:color w:val="000000"/>
                <w:sz w:val="20"/>
                <w:szCs w:val="20"/>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方正仿宋_GBK" w:hAnsi="方正仿宋_GBK" w:cs="方正仿宋_GBK"/>
                <w:bCs/>
                <w:color w:val="000000"/>
                <w:sz w:val="20"/>
                <w:szCs w:val="20"/>
              </w:rPr>
            </w:pPr>
          </w:p>
        </w:tc>
      </w:tr>
      <w:tr>
        <w:tblPrEx>
          <w:tblCellMar>
            <w:top w:w="0" w:type="dxa"/>
            <w:left w:w="0" w:type="dxa"/>
            <w:bottom w:w="0" w:type="dxa"/>
            <w:right w:w="0" w:type="dxa"/>
          </w:tblCellMar>
        </w:tblPrEx>
        <w:trPr>
          <w:gridBefore w:val="1"/>
          <w:gridAfter w:val="1"/>
          <w:wBefore w:w="96" w:type="dxa"/>
          <w:wAfter w:w="8" w:type="dxa"/>
          <w:trHeight w:val="435"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ascii="方正仿宋_GBK" w:hAnsi="方正仿宋_GBK" w:cs="方正仿宋_GBK"/>
                <w:bCs/>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质量指标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项目验收合格率</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100%</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ascii="方正仿宋_GBK" w:hAnsi="方正仿宋_GBK" w:cs="方正仿宋_GBK"/>
                <w:bCs/>
                <w:color w:val="000000"/>
                <w:sz w:val="20"/>
                <w:szCs w:val="20"/>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方正仿宋_GBK" w:hAnsi="方正仿宋_GBK" w:cs="方正仿宋_GBK"/>
                <w:bCs/>
                <w:color w:val="000000"/>
                <w:sz w:val="20"/>
                <w:szCs w:val="20"/>
              </w:rPr>
            </w:pPr>
          </w:p>
        </w:tc>
      </w:tr>
      <w:tr>
        <w:tblPrEx>
          <w:tblCellMar>
            <w:top w:w="0" w:type="dxa"/>
            <w:left w:w="0" w:type="dxa"/>
            <w:bottom w:w="0" w:type="dxa"/>
            <w:right w:w="0" w:type="dxa"/>
          </w:tblCellMar>
        </w:tblPrEx>
        <w:trPr>
          <w:gridBefore w:val="1"/>
          <w:gridAfter w:val="1"/>
          <w:wBefore w:w="96" w:type="dxa"/>
          <w:wAfter w:w="8" w:type="dxa"/>
          <w:trHeight w:val="1314"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ascii="方正仿宋_GBK" w:hAnsi="方正仿宋_GBK" w:cs="方正仿宋_GBK"/>
                <w:bCs/>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社会公众或服务对象满意度指标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出行群众满意度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满意</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方正仿宋_GBK" w:hAnsi="方正仿宋_GBK" w:cs="方正仿宋_GBK"/>
                <w:bCs/>
                <w:color w:val="000000"/>
                <w:sz w:val="20"/>
                <w:szCs w:val="20"/>
              </w:rPr>
            </w:pPr>
          </w:p>
        </w:tc>
      </w:tr>
      <w:tr>
        <w:tblPrEx>
          <w:tblCellMar>
            <w:top w:w="0" w:type="dxa"/>
            <w:left w:w="0" w:type="dxa"/>
            <w:bottom w:w="0" w:type="dxa"/>
            <w:right w:w="0" w:type="dxa"/>
          </w:tblCellMar>
        </w:tblPrEx>
        <w:trPr>
          <w:gridBefore w:val="1"/>
          <w:gridAfter w:val="1"/>
          <w:wBefore w:w="96" w:type="dxa"/>
          <w:wAfter w:w="8" w:type="dxa"/>
          <w:trHeight w:val="435"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ascii="方正仿宋_GBK" w:hAnsi="方正仿宋_GBK" w:cs="方正仿宋_GBK"/>
                <w:bCs/>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请在此处简要说明各级审计和财政监督检查中发现的问题及其所涉及的金额，如没有请填无。</w:t>
            </w:r>
          </w:p>
        </w:tc>
        <w:tc>
          <w:tcPr>
            <w:tcW w:w="1624" w:type="dxa"/>
            <w:tcBorders>
              <w:bottom w:val="single" w:color="auto" w:sz="4" w:space="0"/>
            </w:tcBorders>
            <w:tcMar>
              <w:top w:w="12" w:type="dxa"/>
              <w:left w:w="12" w:type="dxa"/>
              <w:right w:w="12" w:type="dxa"/>
            </w:tcMar>
          </w:tcPr>
          <w:p>
            <w:pPr>
              <w:rPr>
                <w:rFonts w:ascii="方正仿宋_GBK" w:hAnsi="方正仿宋_GBK" w:cs="方正仿宋_GBK"/>
                <w:bCs/>
                <w:color w:val="000000"/>
                <w:sz w:val="20"/>
                <w:szCs w:val="20"/>
              </w:rPr>
            </w:pPr>
            <w:r>
              <w:rPr>
                <w:rFonts w:hint="eastAsia" w:ascii="方正仿宋_GBK" w:hAnsi="方正仿宋_GBK" w:cs="方正仿宋_GBK"/>
                <w:bCs/>
                <w:color w:val="000000"/>
                <w:sz w:val="20"/>
                <w:szCs w:val="20"/>
              </w:rPr>
              <w:t>无</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方正仿宋_GBK" w:hAnsi="方正仿宋_GBK" w:cs="方正仿宋_GBK"/>
                <w:bCs/>
                <w:color w:val="000000"/>
                <w:sz w:val="20"/>
                <w:szCs w:val="2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方正仿宋_GBK" w:hAnsi="方正仿宋_GBK" w:cs="方正仿宋_GBK"/>
                <w:bCs/>
                <w:color w:val="000000"/>
                <w:sz w:val="20"/>
                <w:szCs w:val="20"/>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方正仿宋_GBK" w:hAnsi="方正仿宋_GBK" w:cs="方正仿宋_GBK"/>
                <w:bCs/>
                <w:color w:val="000000"/>
                <w:sz w:val="20"/>
                <w:szCs w:val="20"/>
              </w:rPr>
            </w:pPr>
          </w:p>
        </w:tc>
      </w:tr>
      <w:tr>
        <w:tblPrEx>
          <w:tblCellMar>
            <w:top w:w="0" w:type="dxa"/>
            <w:left w:w="0" w:type="dxa"/>
            <w:bottom w:w="0" w:type="dxa"/>
            <w:right w:w="0" w:type="dxa"/>
          </w:tblCellMar>
        </w:tblPrEx>
        <w:trPr>
          <w:gridBefore w:val="1"/>
          <w:gridAfter w:val="1"/>
          <w:wBefore w:w="96" w:type="dxa"/>
          <w:wAfter w:w="8" w:type="dxa"/>
          <w:trHeight w:val="679" w:hRule="atLeast"/>
          <w:jc w:val="center"/>
        </w:trPr>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方正仿宋_GBK" w:hAnsi="方正仿宋_GBK" w:cs="方正仿宋_GBK"/>
                <w:bCs/>
                <w:color w:val="000000"/>
                <w:sz w:val="20"/>
                <w:szCs w:val="20"/>
              </w:rPr>
            </w:pPr>
            <w:r>
              <w:rPr>
                <w:rFonts w:hint="eastAsia" w:ascii="方正仿宋_GBK" w:hAnsi="方正仿宋_GBK" w:cs="方正仿宋_GBK"/>
                <w:bCs/>
                <w:color w:val="000000"/>
                <w:kern w:val="0"/>
                <w:sz w:val="20"/>
                <w:szCs w:val="20"/>
              </w:rPr>
              <w:t>说明</w:t>
            </w:r>
          </w:p>
        </w:tc>
        <w:tc>
          <w:tcPr>
            <w:tcW w:w="785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方正仿宋_GBK" w:hAnsi="方正仿宋_GBK" w:cs="方正仿宋_GBK"/>
                <w:bCs/>
                <w:color w:val="000000"/>
                <w:sz w:val="20"/>
                <w:szCs w:val="20"/>
              </w:rPr>
            </w:pPr>
          </w:p>
        </w:tc>
      </w:tr>
    </w:tbl>
    <w:p>
      <w:pPr>
        <w:rPr>
          <w:rFonts w:ascii="方正仿宋_GBK" w:hAnsi="方正仿宋_GBK" w:cs="方正仿宋_GBK"/>
          <w:kern w:val="0"/>
          <w:szCs w:val="32"/>
        </w:rPr>
      </w:pPr>
    </w:p>
    <w:p>
      <w:pPr>
        <w:pStyle w:val="4"/>
        <w:spacing w:before="0" w:beforeAutospacing="0" w:after="0" w:afterAutospacing="0" w:line="600" w:lineRule="exact"/>
        <w:ind w:firstLine="645"/>
        <w:jc w:val="both"/>
        <w:rPr>
          <w:rFonts w:ascii="宋体" w:hAnsi="宋体" w:eastAsia="仿宋" w:cs="宋体"/>
          <w:color w:val="333333"/>
          <w:kern w:val="44"/>
          <w:sz w:val="32"/>
          <w:szCs w:val="27"/>
        </w:rPr>
      </w:pPr>
    </w:p>
    <w:p>
      <w:pPr>
        <w:pStyle w:val="4"/>
        <w:spacing w:before="0" w:beforeAutospacing="0" w:after="0" w:afterAutospacing="0" w:line="600" w:lineRule="exact"/>
        <w:ind w:firstLine="640" w:firstLineChars="200"/>
        <w:jc w:val="both"/>
        <w:rPr>
          <w:rFonts w:ascii="方正黑体_GBK" w:hAnsi="方正黑体_GBK" w:eastAsia="方正黑体_GBK" w:cs="方正黑体_GBK"/>
          <w:bCs/>
          <w:color w:val="333333"/>
          <w:kern w:val="44"/>
          <w:sz w:val="32"/>
          <w:szCs w:val="27"/>
        </w:rPr>
      </w:pPr>
      <w:r>
        <w:rPr>
          <w:rFonts w:hint="eastAsia" w:ascii="方正黑体_GBK" w:hAnsi="方正黑体_GBK" w:eastAsia="方正黑体_GBK" w:cs="方正黑体_GBK"/>
          <w:bCs/>
          <w:color w:val="333333"/>
          <w:kern w:val="44"/>
          <w:sz w:val="32"/>
          <w:szCs w:val="27"/>
        </w:rPr>
        <w:t>六、专业名词解释</w:t>
      </w:r>
    </w:p>
    <w:p>
      <w:pPr>
        <w:pStyle w:val="4"/>
        <w:spacing w:before="0" w:beforeAutospacing="0" w:after="0" w:afterAutospacing="0" w:line="600" w:lineRule="exact"/>
        <w:ind w:firstLine="645"/>
        <w:jc w:val="both"/>
        <w:rPr>
          <w:rFonts w:ascii="方正仿宋_GBK" w:hAnsi="方正仿宋_GBK" w:cs="方正仿宋_GBK"/>
          <w:color w:val="333333"/>
          <w:kern w:val="44"/>
          <w:sz w:val="32"/>
          <w:szCs w:val="32"/>
        </w:rPr>
      </w:pPr>
      <w:r>
        <w:rPr>
          <w:rFonts w:hint="eastAsia" w:ascii="方正楷体_GBK" w:hAnsi="方正楷体_GBK" w:eastAsia="方正楷体_GBK" w:cs="方正楷体_GBK"/>
          <w:color w:val="333333"/>
          <w:kern w:val="44"/>
          <w:sz w:val="32"/>
          <w:szCs w:val="32"/>
        </w:rPr>
        <w:t>（一）财政拨款收入</w:t>
      </w:r>
      <w:r>
        <w:rPr>
          <w:rFonts w:cs="宋体" w:asciiTheme="minorEastAsia" w:hAnsiTheme="minorEastAsia" w:eastAsiaTheme="minorEastAsia"/>
          <w:color w:val="333333"/>
          <w:kern w:val="44"/>
          <w:sz w:val="28"/>
          <w:szCs w:val="28"/>
        </w:rPr>
        <w:t>：</w:t>
      </w:r>
      <w:r>
        <w:rPr>
          <w:rFonts w:hint="eastAsia" w:ascii="方正仿宋_GBK" w:hAnsi="方正仿宋_GBK" w:cs="方正仿宋_GBK"/>
          <w:color w:val="333333"/>
          <w:kern w:val="44"/>
          <w:sz w:val="32"/>
          <w:szCs w:val="32"/>
        </w:rPr>
        <w:t>指本年度从本级财政部门取得的财政拨款，包括一般公共预算财政拨款和政府性基金预算财政拨款。</w:t>
      </w:r>
    </w:p>
    <w:p>
      <w:pPr>
        <w:pStyle w:val="4"/>
        <w:spacing w:before="0" w:beforeAutospacing="0" w:after="0" w:afterAutospacing="0" w:line="600" w:lineRule="exact"/>
        <w:ind w:firstLine="645"/>
        <w:jc w:val="both"/>
        <w:rPr>
          <w:rFonts w:ascii="方正仿宋_GBK" w:hAnsi="方正仿宋_GBK" w:cs="方正仿宋_GBK"/>
          <w:color w:val="333333"/>
          <w:kern w:val="44"/>
          <w:sz w:val="32"/>
          <w:szCs w:val="32"/>
        </w:rPr>
      </w:pPr>
      <w:r>
        <w:rPr>
          <w:rFonts w:hint="eastAsia" w:ascii="方正楷体_GBK" w:hAnsi="方正楷体_GBK" w:eastAsia="方正楷体_GBK" w:cs="方正楷体_GBK"/>
          <w:color w:val="333333"/>
          <w:kern w:val="44"/>
          <w:sz w:val="32"/>
          <w:szCs w:val="32"/>
        </w:rPr>
        <w:t>（二）其他收入</w:t>
      </w:r>
      <w:r>
        <w:rPr>
          <w:rFonts w:hint="eastAsia" w:ascii="方正仿宋_GBK" w:hAnsi="方正仿宋_GBK" w:cs="方正仿宋_GBK"/>
          <w:color w:val="333333"/>
          <w:kern w:val="44"/>
          <w:sz w:val="32"/>
          <w:szCs w:val="32"/>
        </w:rPr>
        <w:t>：指单位取得的除“财政拨款收入”、“事业收入”、“经营收入”等以外的收入。</w:t>
      </w:r>
    </w:p>
    <w:p>
      <w:pPr>
        <w:pStyle w:val="4"/>
        <w:spacing w:before="0" w:beforeAutospacing="0" w:after="0" w:afterAutospacing="0" w:line="600" w:lineRule="exact"/>
        <w:ind w:firstLine="645"/>
        <w:jc w:val="both"/>
        <w:rPr>
          <w:rFonts w:ascii="方正仿宋_GBK" w:hAnsi="方正仿宋_GBK" w:cs="方正仿宋_GBK"/>
          <w:color w:val="333333"/>
          <w:kern w:val="44"/>
          <w:sz w:val="32"/>
          <w:szCs w:val="32"/>
        </w:rPr>
      </w:pPr>
      <w:r>
        <w:rPr>
          <w:rFonts w:hint="eastAsia" w:ascii="方正楷体_GBK" w:hAnsi="方正楷体_GBK" w:eastAsia="方正楷体_GBK" w:cs="方正楷体_GBK"/>
          <w:color w:val="333333"/>
          <w:kern w:val="44"/>
          <w:sz w:val="32"/>
          <w:szCs w:val="32"/>
        </w:rPr>
        <w:t>（三）基本支出</w:t>
      </w:r>
      <w:r>
        <w:rPr>
          <w:rFonts w:hint="eastAsia" w:ascii="方正仿宋_GBK" w:hAnsi="方正仿宋_GBK" w:cs="方正仿宋_GBK"/>
          <w:color w:val="333333"/>
          <w:kern w:val="44"/>
          <w:sz w:val="32"/>
          <w:szCs w:val="32"/>
        </w:rPr>
        <w:t>：指为保障机构正常运转、完成日常工作任务而发生的人员经费和公用经费。</w:t>
      </w:r>
    </w:p>
    <w:p>
      <w:pPr>
        <w:pStyle w:val="4"/>
        <w:spacing w:before="0" w:beforeAutospacing="0" w:after="0" w:afterAutospacing="0" w:line="600" w:lineRule="exact"/>
        <w:ind w:firstLine="645"/>
        <w:jc w:val="both"/>
        <w:rPr>
          <w:rFonts w:ascii="方正仿宋_GBK" w:hAnsi="方正仿宋_GBK" w:cs="方正仿宋_GBK"/>
          <w:color w:val="333333"/>
          <w:kern w:val="44"/>
          <w:sz w:val="32"/>
          <w:szCs w:val="32"/>
        </w:rPr>
      </w:pPr>
      <w:r>
        <w:rPr>
          <w:rFonts w:hint="eastAsia" w:ascii="方正楷体_GBK" w:hAnsi="方正楷体_GBK" w:eastAsia="方正楷体_GBK" w:cs="方正楷体_GBK"/>
          <w:color w:val="333333"/>
          <w:kern w:val="44"/>
          <w:sz w:val="32"/>
          <w:szCs w:val="32"/>
        </w:rPr>
        <w:t>（四）项目支出</w:t>
      </w:r>
      <w:r>
        <w:rPr>
          <w:rFonts w:hint="eastAsia" w:ascii="方正仿宋_GBK" w:hAnsi="方正仿宋_GBK" w:cs="方正仿宋_GBK"/>
          <w:color w:val="333333"/>
          <w:kern w:val="44"/>
          <w:sz w:val="32"/>
          <w:szCs w:val="32"/>
        </w:rPr>
        <w:t>：指在基本支出之外为完成特定行政任务和事业发展目标所发生的支出。</w:t>
      </w:r>
    </w:p>
    <w:p>
      <w:pPr>
        <w:pStyle w:val="4"/>
        <w:spacing w:before="0" w:beforeAutospacing="0" w:after="0" w:afterAutospacing="0" w:line="600" w:lineRule="exact"/>
        <w:ind w:firstLine="645"/>
        <w:jc w:val="both"/>
        <w:rPr>
          <w:rFonts w:ascii="方正仿宋_GBK" w:hAnsi="方正仿宋_GBK" w:cs="方正仿宋_GBK"/>
          <w:color w:val="333333"/>
          <w:kern w:val="44"/>
          <w:sz w:val="32"/>
          <w:szCs w:val="32"/>
        </w:rPr>
      </w:pPr>
      <w:r>
        <w:rPr>
          <w:rFonts w:hint="eastAsia" w:ascii="方正楷体_GBK" w:hAnsi="方正楷体_GBK" w:eastAsia="方正楷体_GBK" w:cs="方正楷体_GBK"/>
          <w:color w:val="333333"/>
          <w:kern w:val="44"/>
          <w:sz w:val="32"/>
          <w:szCs w:val="32"/>
        </w:rPr>
        <w:t>（五）“三公”经费</w:t>
      </w:r>
      <w:r>
        <w:rPr>
          <w:rFonts w:hint="eastAsia" w:ascii="方正仿宋_GBK" w:hAnsi="方正仿宋_GBK" w:cs="方正仿宋_GBK"/>
          <w:color w:val="333333"/>
          <w:kern w:val="44"/>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pacing w:before="0" w:beforeAutospacing="0" w:after="0" w:afterAutospacing="0" w:line="600" w:lineRule="exact"/>
        <w:ind w:firstLine="645"/>
        <w:jc w:val="both"/>
        <w:rPr>
          <w:rFonts w:hint="eastAsia" w:ascii="方正仿宋_GBK" w:hAnsi="方正仿宋_GBK" w:cs="方正仿宋_GBK"/>
          <w:color w:val="333333"/>
          <w:kern w:val="44"/>
          <w:sz w:val="32"/>
          <w:szCs w:val="32"/>
        </w:rPr>
      </w:pPr>
      <w:r>
        <w:rPr>
          <w:rFonts w:hint="eastAsia" w:ascii="方正楷体_GBK" w:hAnsi="方正楷体_GBK" w:eastAsia="方正楷体_GBK" w:cs="方正楷体_GBK"/>
          <w:color w:val="333333"/>
          <w:kern w:val="44"/>
          <w:sz w:val="32"/>
          <w:szCs w:val="32"/>
        </w:rPr>
        <w:t>（六）机关运行经费：</w:t>
      </w:r>
      <w:r>
        <w:rPr>
          <w:rFonts w:hint="eastAsia" w:ascii="方正仿宋_GBK" w:hAnsi="方正仿宋_GBK" w:cs="方正仿宋_GBK"/>
          <w:color w:val="333333"/>
          <w:kern w:val="44"/>
          <w:sz w:val="32"/>
          <w:szCs w:val="32"/>
        </w:rPr>
        <w:t>为保障行政单位（含参照公务员法管理的事业单位）运行用于购买货物和服务等各项公用经费，包括办公及印刷费、邮电费、差旅费、会议费、福利费、日常维护费、专用材料及一般设备购置费、办公用房水电费、办公用房取暖费、办公用房物业管理费、公务用车运行维护费以及其他费用。</w:t>
      </w:r>
    </w:p>
    <w:p>
      <w:pPr>
        <w:pStyle w:val="4"/>
        <w:spacing w:before="0" w:beforeAutospacing="0" w:after="0" w:afterAutospacing="0" w:line="600" w:lineRule="exact"/>
        <w:ind w:firstLine="640" w:firstLineChars="200"/>
        <w:jc w:val="both"/>
        <w:rPr>
          <w:rFonts w:ascii="方正黑体_GBK" w:hAnsi="方正黑体_GBK" w:eastAsia="方正黑体_GBK" w:cs="方正黑体_GBK"/>
          <w:bCs/>
          <w:color w:val="333333"/>
          <w:kern w:val="44"/>
          <w:sz w:val="32"/>
          <w:szCs w:val="27"/>
        </w:rPr>
      </w:pPr>
      <w:r>
        <w:rPr>
          <w:rFonts w:hint="eastAsia" w:ascii="方正黑体_GBK" w:hAnsi="方正黑体_GBK" w:eastAsia="方正黑体_GBK" w:cs="方正黑体_GBK"/>
          <w:bCs/>
          <w:color w:val="333333"/>
          <w:kern w:val="44"/>
          <w:sz w:val="32"/>
          <w:szCs w:val="27"/>
        </w:rPr>
        <w:t>七、决算公开联系方式</w:t>
      </w:r>
    </w:p>
    <w:p>
      <w:pPr>
        <w:pStyle w:val="4"/>
        <w:spacing w:before="0" w:beforeAutospacing="0" w:after="0" w:afterAutospacing="0" w:line="600" w:lineRule="exact"/>
        <w:ind w:firstLine="645"/>
        <w:jc w:val="both"/>
        <w:rPr>
          <w:rFonts w:ascii="方正仿宋_GBK" w:hAnsi="方正仿宋_GBK" w:cs="方正仿宋_GBK"/>
          <w:color w:val="333333"/>
          <w:kern w:val="44"/>
          <w:sz w:val="32"/>
          <w:szCs w:val="32"/>
        </w:rPr>
      </w:pPr>
      <w:r>
        <w:rPr>
          <w:rFonts w:hint="eastAsia" w:ascii="方正仿宋_GBK" w:hAnsi="方正仿宋_GBK" w:cs="方正仿宋_GBK"/>
          <w:color w:val="333333"/>
          <w:kern w:val="44"/>
          <w:sz w:val="32"/>
          <w:szCs w:val="32"/>
        </w:rPr>
        <w:t>2021年部门决算通过万州区溪口乡人民政府信息平台进行公开，接受社会监督，若有异议可以通过电话方式进行反馈。</w:t>
      </w:r>
    </w:p>
    <w:p>
      <w:pPr>
        <w:pStyle w:val="4"/>
        <w:spacing w:before="0" w:beforeAutospacing="0" w:after="0" w:afterAutospacing="0" w:line="600" w:lineRule="exact"/>
        <w:ind w:firstLine="645"/>
        <w:jc w:val="both"/>
        <w:rPr>
          <w:rFonts w:ascii="方正仿宋_GBK" w:hAnsi="方正仿宋_GBK" w:cs="方正仿宋_GBK"/>
          <w:color w:val="333333"/>
          <w:kern w:val="44"/>
          <w:sz w:val="32"/>
          <w:szCs w:val="32"/>
        </w:rPr>
      </w:pPr>
      <w:r>
        <w:rPr>
          <w:rFonts w:hint="eastAsia" w:ascii="方正仿宋_GBK" w:hAnsi="方正仿宋_GBK" w:cs="方正仿宋_GBK"/>
          <w:color w:val="333333"/>
          <w:kern w:val="44"/>
          <w:sz w:val="32"/>
          <w:szCs w:val="32"/>
        </w:rPr>
        <w:t>部门决算公开联系人：邓小玲    联系方式：023-58572098</w:t>
      </w:r>
    </w:p>
    <w:p>
      <w:pPr>
        <w:spacing w:line="600" w:lineRule="exact"/>
        <w:rPr>
          <w:rFonts w:eastAsia="仿宋"/>
        </w:rPr>
      </w:pPr>
    </w:p>
    <w:sectPr>
      <w:footerReference r:id="rId5" w:type="default"/>
      <w:pgSz w:w="11906" w:h="16838"/>
      <w:pgMar w:top="2098" w:right="1417" w:bottom="1985" w:left="1247" w:header="851" w:footer="1474"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60326"/>
      <w:docPartObj>
        <w:docPartGallery w:val="autotext"/>
      </w:docPartObj>
    </w:sdtPr>
    <w:sdtContent>
      <w:p>
        <w:pPr>
          <w:pStyle w:val="2"/>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B99D6"/>
    <w:multiLevelType w:val="singleLevel"/>
    <w:tmpl w:val="C3EB99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ZkOGE0NTM1N2FmZDdlODZiNTVlYjJkNjZhNTY5YzgifQ=="/>
  </w:docVars>
  <w:rsids>
    <w:rsidRoot w:val="00AA0BB9"/>
    <w:rsid w:val="00012247"/>
    <w:rsid w:val="00024271"/>
    <w:rsid w:val="0005546B"/>
    <w:rsid w:val="000621DD"/>
    <w:rsid w:val="00086D35"/>
    <w:rsid w:val="000D4509"/>
    <w:rsid w:val="000E3C20"/>
    <w:rsid w:val="000F250E"/>
    <w:rsid w:val="0015224B"/>
    <w:rsid w:val="00155842"/>
    <w:rsid w:val="00161085"/>
    <w:rsid w:val="00176235"/>
    <w:rsid w:val="00176ABD"/>
    <w:rsid w:val="001B7D9C"/>
    <w:rsid w:val="001E52D5"/>
    <w:rsid w:val="001E63F5"/>
    <w:rsid w:val="002056E2"/>
    <w:rsid w:val="00232268"/>
    <w:rsid w:val="002351B5"/>
    <w:rsid w:val="002756A8"/>
    <w:rsid w:val="002A30B8"/>
    <w:rsid w:val="002A56FB"/>
    <w:rsid w:val="002B163D"/>
    <w:rsid w:val="002D0686"/>
    <w:rsid w:val="002E3256"/>
    <w:rsid w:val="002E6DAC"/>
    <w:rsid w:val="00326081"/>
    <w:rsid w:val="00326854"/>
    <w:rsid w:val="003318C4"/>
    <w:rsid w:val="00380E6E"/>
    <w:rsid w:val="003B644D"/>
    <w:rsid w:val="003D410E"/>
    <w:rsid w:val="003F59E7"/>
    <w:rsid w:val="00404117"/>
    <w:rsid w:val="004370AE"/>
    <w:rsid w:val="00437C5E"/>
    <w:rsid w:val="0044315E"/>
    <w:rsid w:val="00450F32"/>
    <w:rsid w:val="004609D2"/>
    <w:rsid w:val="00476BCC"/>
    <w:rsid w:val="00487EE3"/>
    <w:rsid w:val="004A40DC"/>
    <w:rsid w:val="004B5903"/>
    <w:rsid w:val="004B65A7"/>
    <w:rsid w:val="004D65A1"/>
    <w:rsid w:val="004E554C"/>
    <w:rsid w:val="004F785E"/>
    <w:rsid w:val="00506B14"/>
    <w:rsid w:val="00555015"/>
    <w:rsid w:val="005654A4"/>
    <w:rsid w:val="00571501"/>
    <w:rsid w:val="00573189"/>
    <w:rsid w:val="00577ADF"/>
    <w:rsid w:val="00625397"/>
    <w:rsid w:val="006334DD"/>
    <w:rsid w:val="006425E9"/>
    <w:rsid w:val="00657098"/>
    <w:rsid w:val="00661ABE"/>
    <w:rsid w:val="00673376"/>
    <w:rsid w:val="00676581"/>
    <w:rsid w:val="006A334F"/>
    <w:rsid w:val="006A3C11"/>
    <w:rsid w:val="006A4D6E"/>
    <w:rsid w:val="006C1011"/>
    <w:rsid w:val="006D34F9"/>
    <w:rsid w:val="006D4D74"/>
    <w:rsid w:val="00707829"/>
    <w:rsid w:val="007123FD"/>
    <w:rsid w:val="007246F6"/>
    <w:rsid w:val="00725387"/>
    <w:rsid w:val="007301AC"/>
    <w:rsid w:val="00745CE5"/>
    <w:rsid w:val="00762E6C"/>
    <w:rsid w:val="00765A4A"/>
    <w:rsid w:val="00771483"/>
    <w:rsid w:val="00773E5E"/>
    <w:rsid w:val="00784F4C"/>
    <w:rsid w:val="00797704"/>
    <w:rsid w:val="007A001C"/>
    <w:rsid w:val="007A563A"/>
    <w:rsid w:val="007B5994"/>
    <w:rsid w:val="007B7EA0"/>
    <w:rsid w:val="007C3724"/>
    <w:rsid w:val="007D1E6F"/>
    <w:rsid w:val="007D372B"/>
    <w:rsid w:val="007D5798"/>
    <w:rsid w:val="00804E1C"/>
    <w:rsid w:val="00834376"/>
    <w:rsid w:val="008457A5"/>
    <w:rsid w:val="0085206E"/>
    <w:rsid w:val="00876A54"/>
    <w:rsid w:val="00891DDB"/>
    <w:rsid w:val="00900C3C"/>
    <w:rsid w:val="00903C6E"/>
    <w:rsid w:val="009062FD"/>
    <w:rsid w:val="009160F7"/>
    <w:rsid w:val="00943015"/>
    <w:rsid w:val="00947F45"/>
    <w:rsid w:val="009C7762"/>
    <w:rsid w:val="009D6FAD"/>
    <w:rsid w:val="009E4102"/>
    <w:rsid w:val="009E5888"/>
    <w:rsid w:val="009E7B9D"/>
    <w:rsid w:val="00A07922"/>
    <w:rsid w:val="00A34BD2"/>
    <w:rsid w:val="00A56082"/>
    <w:rsid w:val="00A902C7"/>
    <w:rsid w:val="00AA0BB9"/>
    <w:rsid w:val="00AC424E"/>
    <w:rsid w:val="00AD3764"/>
    <w:rsid w:val="00AD4AD7"/>
    <w:rsid w:val="00B023D3"/>
    <w:rsid w:val="00B17B82"/>
    <w:rsid w:val="00B24F7A"/>
    <w:rsid w:val="00B319EC"/>
    <w:rsid w:val="00BB7C08"/>
    <w:rsid w:val="00BC12E7"/>
    <w:rsid w:val="00BE33D9"/>
    <w:rsid w:val="00C11685"/>
    <w:rsid w:val="00C13627"/>
    <w:rsid w:val="00C139FC"/>
    <w:rsid w:val="00C37F30"/>
    <w:rsid w:val="00C97456"/>
    <w:rsid w:val="00CA2B2D"/>
    <w:rsid w:val="00CA3239"/>
    <w:rsid w:val="00CD7EC2"/>
    <w:rsid w:val="00D15E56"/>
    <w:rsid w:val="00D33EA5"/>
    <w:rsid w:val="00D477D6"/>
    <w:rsid w:val="00D75D28"/>
    <w:rsid w:val="00E46559"/>
    <w:rsid w:val="00E61940"/>
    <w:rsid w:val="00E66D6F"/>
    <w:rsid w:val="00E86198"/>
    <w:rsid w:val="00E9750C"/>
    <w:rsid w:val="00E977F4"/>
    <w:rsid w:val="00EB4D6F"/>
    <w:rsid w:val="00EC02BF"/>
    <w:rsid w:val="00ED4E6A"/>
    <w:rsid w:val="00F10ECA"/>
    <w:rsid w:val="00F149FE"/>
    <w:rsid w:val="00F14E66"/>
    <w:rsid w:val="00F36520"/>
    <w:rsid w:val="00F44522"/>
    <w:rsid w:val="00F76840"/>
    <w:rsid w:val="00F810D6"/>
    <w:rsid w:val="00FA0B32"/>
    <w:rsid w:val="00FB7340"/>
    <w:rsid w:val="00FC1D69"/>
    <w:rsid w:val="00FC2F96"/>
    <w:rsid w:val="00FD360B"/>
    <w:rsid w:val="04D477BB"/>
    <w:rsid w:val="0C6A432F"/>
    <w:rsid w:val="1E085670"/>
    <w:rsid w:val="22A542BD"/>
    <w:rsid w:val="3703798F"/>
    <w:rsid w:val="457E03C1"/>
    <w:rsid w:val="56405C78"/>
    <w:rsid w:val="6E486E44"/>
    <w:rsid w:val="77D733AD"/>
    <w:rsid w:val="783A48FA"/>
    <w:rsid w:val="7EE3E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方正仿宋_GBK"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22"/>
    <w:rPr>
      <w:b/>
      <w:bCs/>
    </w:rPr>
  </w:style>
  <w:style w:type="character" w:styleId="8">
    <w:name w:val="FollowedHyperlink"/>
    <w:basedOn w:val="6"/>
    <w:qFormat/>
    <w:uiPriority w:val="0"/>
    <w:rPr>
      <w:color w:val="333333"/>
      <w:u w:val="non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font41"/>
    <w:basedOn w:val="6"/>
    <w:qFormat/>
    <w:uiPriority w:val="0"/>
    <w:rPr>
      <w:rFonts w:hint="eastAsia" w:ascii="宋体" w:hAnsi="宋体" w:eastAsia="宋体" w:cs="宋体"/>
      <w:color w:val="000000"/>
      <w:sz w:val="20"/>
      <w:szCs w:val="20"/>
      <w:u w:val="none"/>
    </w:rPr>
  </w:style>
  <w:style w:type="character" w:customStyle="1" w:styleId="13">
    <w:name w:val="font01"/>
    <w:basedOn w:val="6"/>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1081</Words>
  <Characters>6168</Characters>
  <Lines>51</Lines>
  <Paragraphs>14</Paragraphs>
  <TotalTime>16</TotalTime>
  <ScaleCrop>false</ScaleCrop>
  <LinksUpToDate>false</LinksUpToDate>
  <CharactersWithSpaces>7235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2021-10-21T17:09:00Z</dcterms:created>
  <dc:creator>Microsoft</dc:creator>
  <cp:lastModifiedBy>Administrator</cp:lastModifiedBy>
  <dcterms:modified xsi:type="dcterms:W3CDTF">2023-11-03T01:27:04Z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5E5AFED86A9D47A2A845280F5F101053</vt:lpwstr>
  </property>
</Properties>
</file>