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重庆市万州区熊家镇人民政府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熊家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镇垃圾分类先锋创建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工作实施方案》的通知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熊家府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sz w:val="32"/>
          <w:szCs w:val="32"/>
        </w:rPr>
        <w:t>各村（社区），镇属各单位，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各内设机构、事业单位</w:t>
      </w:r>
      <w:r>
        <w:rPr>
          <w:rFonts w:hint="eastAsia" w:asci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为深入推进我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生活垃圾分类工作，按照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生活垃圾分类工作领导小组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办公室统一部署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万州分类办〔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印发〈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垃圾分类先锋创建活动工作方案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〉的通知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》要求，经镇党委、政府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研究，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决定在全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镇扎实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开展垃圾分类先锋创建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现将《熊家镇垃圾分类先锋创建活动工作实施方案》印发给你们，请认真贯彻落实。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</w:rPr>
        <w:t>重庆市万州区熊家镇人民政府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熊家镇垃圾分类先锋创建活动工作实施方案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为全面推进垃圾分类治理工作，践行绿色发展要求，根据《重庆市万州区垃圾分类先锋创建活动工作方案》（万州分类办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号）文件精神，按照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委、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政府有关工作部署，我镇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将扎实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加快推进垃圾分类先锋创建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，制定本工作实施方案。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一、总体要求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坚持以习近平新时代中国特色社会主义思想为指导，全面贯彻党的二十大精神，深入学习贯彻习近平总书记关于垃圾分类系列重要指示批示精神，认真落实市委六届二次、三次全会决策部署，按照“全生命周期管理、全过程分类治理、全区域统筹实施、全社会普遍参与和共建共治共享”要求，以创建为载体，以创促改、以创促升，全面提升垃圾分类治理水平，培育一批具有辨识度的垃圾分类标志性成果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为美丽重庆建设贡献熊家智慧和力量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二、创建对象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创建对象包括镇、社区、行政村、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小区、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单位(含公共机构、生产企业、经营场所等)。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创建类别分为垃圾分类先锋单元和垃圾分类先锋细胞，其中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垃圾分类先锋单元包括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、社区、行政村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垃圾分类先锋细胞包括小区、单位。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三、创建目标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2024年，启动全镇垃圾分类先锋创建活动，开展先锋单元和先锋细胞创建工作，8月底以前成功创建先锋行政村8个，先锋小区（单位）4个；2024年10月以前成功创建先锋社区（行政村）4个，先锋小区（单位）4个，2024年底成功创建万州区级垃圾分类先锋镇（见附件1）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四、主要任务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（一）全面推进垃圾分类先锋示范建设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按照《重庆市全面推进垃圾分类治理工作实施方案》以及《重庆市万州区垃圾分类先锋创建活动工作方案》等文件要求，各村（社区）因地制宜，统筹推进辖区内垃圾分类先锋创建工作，做到有计划（方案），有指导员，有宣传动员，有分类设施整改，有全程监督管理，对标对表，打表推进，建立专档，全覆盖推进目标完成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（二）加快完善垃圾分类体系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规范垃圾分类投放方式。一是参照《生活垃圾分类标志》，结合实际明确生活垃圾分类方式，设置规范的垃圾分类投放标志和宣传标牌40余处，便于村民正确投放生活垃圾。二是加强可回收物规范管理，采取“敲门行动”宣传、指导可回收物的家庭分类处置技巧，提升低值可回收物单独投放比例。三是积极推广定时投放、桶边值守和监督指导等行之有效的分类投放模式，提升生活垃圾分类投放效果。四是进一步健全分类收集设施。按照分类类别合理布局各村（社区）生活垃圾分类投放点258个，配齐垃圾分类容器，推进收集能力与收集范围内人口数量、垃圾产生量相协调。加快老旧分类收集设施整修150多处，喷涂统一、规范、清晰的标志，确保设施设置规范、干净整洁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（三）因地制宜推进农村生活垃圾分类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根据农村特点和农民生活习惯，因地制宜推进简便易行的垃圾分类和资源化利用方法。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加强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农户家庭厨余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垃圾就地处理和资源化利用，协同推进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果蔬等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易腐烂垃圾、厕所粪污、农业生产有机废弃物资源化处理利用。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做好可回收物的回收利用，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充分发挥村级“可回收物”库房和当地废品回收店的“上门服务”运维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体系。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强化有害垃圾收运处置，对从生活垃圾中分出并集中收集的有害垃圾，属于危险废物的，严格按照危险废物相关规定进行管理，集中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村居“有害垃圾”点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运送至有资质的单位规范处理。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四是增强生活垃圾及时收运、处置的有效运行机制，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val="en-US" w:eastAsia="zh-CN"/>
        </w:rPr>
        <w:t>增设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val="en-US" w:eastAsia="zh-CN"/>
        </w:rPr>
        <w:t>名环卫专职驾驶员，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确保分类处置，“垃圾不落地”。五是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积极探索总结分类投放、分类收集、分类运输、分类处置的农村生活垃圾处理模式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及时梳理提炼创建工作中的经验做法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打造一批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叫得响、立得住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的典型案例并全面推广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切实提升全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垃圾分类治理水平。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（四）建立共建共治共享工作机制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以基层党组织建设为引领，以村民自治组织为纽带，围绕农村生活垃圾分类工作，建立农民群众全过程参与的工作机制。动员群众共建体系，组织村民定期打扫庭院和房前屋后卫生，因地制宜建立垃圾处理农户付费制度。动员群众共管环境，制定村民环境卫生行为准则或将有关内容写入村规民约，明确村民自觉维护公共环境的义务。动员群众共评效果，建立环境卫生理事会等群众自治组织，定期开展环境卫生检查，组织村民对垃圾治理效果进行评价。推进工作成果群众共享，通过建立积分制、设立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评优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榜”等多种方式对农户进行激励，结合实际对工作情况较好的保洁员、工作成效突出的村（社区）给予奖励。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评估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验收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仿宋_GBK" w:cs="方正楷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各村、社区、单位按方案要求“目标”时间完成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先锋创建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，并向熊家镇申请验收，镇政府组织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评估工作小组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对创建工作开展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全面评估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。评估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验收形式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包括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资料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审核、实地核查、民意调查、大数据查验等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。通过镇级评估验收的，上报区级部门，由区级部门组织下一步验收工作。最终是否完成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先锋创建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，以区级验收结果为准。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五、保障措施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（一）加强组织领导。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各村居、单位（小区）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要成立垃圾分类先锋创建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工作领导小组，切实履行职责，压实目标责任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要健全基层生活垃圾综合管理机制，优化资源和管理力量配置，切实推进垃圾分类先锋创建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活动，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提质增效。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（二）加强宣传引导。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以宣传为引领，以创建为抓手，采取集中主题宣传、分散入户宣传等方式，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突出绿色办公、光盘行动、垃圾焚烧、农膜回收等先锋创建短板，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引导居民习惯养成，形成绿色低碳的生产生活方式。注重典型引路、正面引导，全面客观报道生活垃圾分类政策措施及其成效，营造良好舆论氛围。发挥志愿者、乡贤能人等群体在基层治理中的独特作用，做好宣传引导，带动更多群众养成分类投放的好习惯，推动垃圾分类成为低碳生活新时尚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（三）加强监督考核。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探索建立政府依法监督、第三方专业监督、社会公众参与监督的生活垃圾分类和处置全过程综合监督体系，配合上级健全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、镇、村（社区）三级监督检查机制。强化日常监管，严格执法检查，定期开展垃圾分类和处置工作质量评估和专项检查，定期通报生活垃圾分类和处置工作开展情况，对不作为、慢作为影响生活垃圾分类工作的行为，按相关规定追责问责，确保分类处置取得实效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eastAsia="zh-CN"/>
        </w:rPr>
        <w:t>熊家镇垃圾分类先锋单元和细胞创建目标分解表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22" w:firstLineChars="507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eastAsia="zh-CN"/>
        </w:rPr>
        <w:t>熊家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</w:rPr>
        <w:t>镇垃圾分类先锋社区创建评价指标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22" w:firstLineChars="507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eastAsia="zh-CN"/>
        </w:rPr>
        <w:t>熊家镇垃圾分类先锋行政村创建评价指标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22" w:firstLineChars="507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eastAsia="zh-CN"/>
        </w:rPr>
        <w:t>.熊家镇垃圾分类先锋小区创建评价指标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22" w:firstLineChars="507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val="en-US" w:eastAsia="zh-CN"/>
        </w:rPr>
        <w:t>5.熊家镇垃圾分类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先锋单位创建评价指标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22" w:firstLineChars="507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6.熊家镇垃圾分类先锋镇创建评价指标   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1545"/>
        <w:jc w:val="both"/>
        <w:rPr>
          <w:rFonts w:hint="default" w:ascii="方正仿宋_GBK" w:hAnsi="方正仿宋_GBK" w:eastAsia="方正仿宋_GBK" w:cs="方正仿宋_GBK"/>
          <w:sz w:val="31"/>
          <w:szCs w:val="31"/>
          <w:lang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1545"/>
        <w:jc w:val="both"/>
        <w:rPr>
          <w:rFonts w:hint="default" w:ascii="方正仿宋_GBK" w:hAnsi="方正仿宋_GBK" w:eastAsia="方正仿宋_GBK" w:cs="方正仿宋_GBK"/>
          <w:sz w:val="31"/>
          <w:szCs w:val="31"/>
          <w:lang w:eastAsia="zh-CN"/>
        </w:rPr>
      </w:pPr>
    </w:p>
    <w:p/>
    <w:p>
      <w:pPr>
        <w:pStyle w:val="2"/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134" w:gutter="0"/>
          <w:pgNumType w:fmt="decimal"/>
          <w:cols w:space="0" w:num="1"/>
          <w:rtlGutter w:val="0"/>
          <w:docGrid w:type="lines" w:linePitch="620" w:charSpace="0"/>
        </w:sect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熊家镇垃圾分类先锋单元和细胞创建目标任务分解表</w:t>
      </w:r>
    </w:p>
    <w:tbl>
      <w:tblPr>
        <w:tblStyle w:val="15"/>
        <w:tblW w:w="49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957"/>
        <w:gridCol w:w="2203"/>
        <w:gridCol w:w="2873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eastAsia="zh-CN"/>
              </w:rPr>
              <w:t>先锋创建单元或细胞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eastAsia="zh-CN"/>
              </w:rPr>
              <w:t>先锋创建单元或细胞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熊家镇政府机关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燕子村委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熊家中学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松柏村委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熊家小学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白水村委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熊家镇中心卫生院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万家村委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古城村委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半边井社区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庄子村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委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响水滩社区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红星村委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杨浩湾小区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腊烛村委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哈嗼湾小区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举安村委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晋瑞小区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石公村委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盛世佳园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color w:val="auto"/>
        </w:rPr>
      </w:pPr>
      <w:r>
        <w:rPr>
          <w:rFonts w:hint="eastAsia" w:eastAsia="方正小标宋_GBK"/>
          <w:color w:val="auto"/>
          <w:sz w:val="36"/>
          <w:szCs w:val="36"/>
        </w:rPr>
        <w:t>重庆市</w:t>
      </w:r>
      <w:r>
        <w:rPr>
          <w:rFonts w:hint="eastAsia" w:eastAsia="方正小标宋_GBK"/>
          <w:color w:val="auto"/>
          <w:sz w:val="36"/>
          <w:szCs w:val="36"/>
          <w:lang w:val="en-US" w:eastAsia="zh-CN"/>
        </w:rPr>
        <w:t>万州</w:t>
      </w:r>
      <w:r>
        <w:rPr>
          <w:rFonts w:hint="eastAsia" w:eastAsia="方正小标宋_GBK"/>
          <w:color w:val="auto"/>
          <w:sz w:val="36"/>
          <w:szCs w:val="36"/>
        </w:rPr>
        <w:t>区</w:t>
      </w:r>
      <w:r>
        <w:rPr>
          <w:rFonts w:hint="eastAsia" w:eastAsia="方正小标宋_GBK"/>
          <w:color w:val="auto"/>
          <w:sz w:val="36"/>
          <w:szCs w:val="36"/>
          <w:lang w:eastAsia="zh-CN"/>
        </w:rPr>
        <w:t>熊家</w:t>
      </w:r>
      <w:r>
        <w:rPr>
          <w:rFonts w:hint="eastAsia" w:eastAsia="方正小标宋_GBK"/>
          <w:color w:val="auto"/>
          <w:sz w:val="36"/>
          <w:szCs w:val="36"/>
        </w:rPr>
        <w:t>镇垃圾分类先锋社区创建评价指标</w:t>
      </w:r>
    </w:p>
    <w:tbl>
      <w:tblPr>
        <w:tblStyle w:val="14"/>
        <w:tblW w:w="129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296"/>
        <w:gridCol w:w="5837"/>
        <w:gridCol w:w="1920"/>
        <w:gridCol w:w="21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tblHeader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133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评</w:t>
            </w:r>
            <w:r>
              <w:rPr>
                <w:rFonts w:hint="eastAsia" w:eastAsia="方正黑体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eastAsia="方正黑体_GBK"/>
                <w:color w:val="auto"/>
                <w:sz w:val="24"/>
                <w:szCs w:val="24"/>
              </w:rPr>
              <w:t>价</w:t>
            </w:r>
            <w:r>
              <w:rPr>
                <w:rFonts w:hint="eastAsia" w:eastAsia="方正黑体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eastAsia="方正黑体_GBK"/>
                <w:color w:val="auto"/>
                <w:sz w:val="24"/>
                <w:szCs w:val="24"/>
              </w:rPr>
              <w:t>指</w:t>
            </w:r>
            <w:r>
              <w:rPr>
                <w:rFonts w:hint="eastAsia" w:eastAsia="方正黑体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eastAsia="方正黑体_GBK"/>
                <w:color w:val="auto"/>
                <w:sz w:val="24"/>
                <w:szCs w:val="24"/>
              </w:rPr>
              <w:t>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目标要求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黑体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源头减量</w:t>
            </w: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推行“光盘行动”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引导辖区居民低碳出行、绿色办公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落实限制一次性用品使用措施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有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垃圾分类收运体系建设和管理</w:t>
            </w: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辖区生活垃圾分类覆盖率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生活垃圾分类收集点（亭、房、站）设置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生活垃圾分类投放设施升级改造率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生活垃圾分类收运设施设备完好率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生活垃圾分类收运设施设备干净整洁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生活垃圾分类标志标识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辖区生活垃圾分类准确率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≥80%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辖区厨余垃圾分出率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≥30%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桶边值守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有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楼层撤桶率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大件垃圾分类收运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垃圾分类收运体系建设和管理</w:t>
            </w: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建筑垃圾分类收运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医疗废物规范暂存、收运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各类垃圾规范运输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垃圾资源化回收利用</w:t>
            </w: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“两网融合”点数量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≥1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再生资源回收网点覆盖率达标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基层治理</w:t>
            </w: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强化基层党建引领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依托基层治理网格推动垃圾分类治理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创建成功的垃圾分类先锋小区（单位）占比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一票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否决性指标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≥80%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监督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生活垃圾管理责任人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履行管理责任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健全垃圾分类指导员制度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推行垃圾分类志愿者服务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推行“门前三包”“五长制”和“一员多岗”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实行垃圾分类“红黑榜”管理制度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73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宣传教育</w:t>
            </w: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垃圾分类知晓率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73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垃圾分类参与率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73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年度入户宣传率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73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居民满意度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73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保障措施</w:t>
            </w: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落实专人负责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垃圾分类工作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73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多渠道筹措资金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73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台账完善，管理规范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737" w:hRule="exac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常态化开展垃圾分类督促指导</w:t>
            </w:r>
          </w:p>
        </w:tc>
        <w:tc>
          <w:tcPr>
            <w:tcW w:w="192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16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color w:val="auto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color w:val="auto"/>
        </w:rPr>
      </w:pPr>
      <w:r>
        <w:rPr>
          <w:rFonts w:hint="eastAsia" w:eastAsia="方正小标宋_GBK"/>
          <w:color w:val="auto"/>
          <w:sz w:val="36"/>
          <w:szCs w:val="36"/>
        </w:rPr>
        <w:t>重庆市</w:t>
      </w:r>
      <w:r>
        <w:rPr>
          <w:rFonts w:hint="eastAsia" w:eastAsia="方正小标宋_GBK"/>
          <w:color w:val="auto"/>
          <w:sz w:val="36"/>
          <w:szCs w:val="36"/>
          <w:lang w:val="en-US" w:eastAsia="zh-CN"/>
        </w:rPr>
        <w:t>万州</w:t>
      </w:r>
      <w:r>
        <w:rPr>
          <w:rFonts w:hint="eastAsia" w:eastAsia="方正小标宋_GBK"/>
          <w:color w:val="auto"/>
          <w:sz w:val="36"/>
          <w:szCs w:val="36"/>
        </w:rPr>
        <w:t>区</w:t>
      </w:r>
      <w:r>
        <w:rPr>
          <w:rFonts w:hint="eastAsia" w:eastAsia="方正小标宋_GBK"/>
          <w:color w:val="auto"/>
          <w:sz w:val="36"/>
          <w:szCs w:val="36"/>
          <w:lang w:eastAsia="zh-CN"/>
        </w:rPr>
        <w:t>熊家</w:t>
      </w:r>
      <w:r>
        <w:rPr>
          <w:rFonts w:hint="eastAsia" w:eastAsia="方正小标宋_GBK"/>
          <w:color w:val="auto"/>
          <w:sz w:val="36"/>
          <w:szCs w:val="36"/>
        </w:rPr>
        <w:t>镇垃圾分类先锋行政村创建评价指标</w:t>
      </w:r>
    </w:p>
    <w:tbl>
      <w:tblPr>
        <w:tblStyle w:val="14"/>
        <w:tblW w:w="13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338"/>
        <w:gridCol w:w="6243"/>
        <w:gridCol w:w="1488"/>
        <w:gridCol w:w="2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58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评    价    指    标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目标要求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  <w:lang w:eastAsia="zh-CN"/>
              </w:rPr>
              <w:t>备</w:t>
            </w:r>
            <w:r>
              <w:rPr>
                <w:rFonts w:hint="eastAsia" w:eastAsia="方正黑体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黑体_GBK"/>
                <w:color w:val="auto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源头减量</w:t>
            </w: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推行“光盘行动”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厨余垃圾采取就地就近资源化处置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农家乐、民宿等经营场所减少一次性用品使用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农业固体废物源头减量管控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垃圾分类收运体系建设和管理</w:t>
            </w: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自然村（院落）生活垃圾分类覆盖率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≥95%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生活垃圾分类收集点（亭、房、站）设置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生活垃圾分类收运设施设备完备、完好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生活垃圾分类收运设施设备干净整洁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生活垃圾分类标志标识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规范建设或提标改造厨余垃圾处置设施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生活垃圾分类准确率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≥80%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大件垃圾规范收运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秸秆综合利用率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＞90%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农膜回收率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≥95%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垃圾分类收运体系建设和管理</w:t>
            </w: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医疗废物规范暂存、收运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各类垃圾规范运输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垃圾资源化回收利用</w:t>
            </w: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“两网融合”点数量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≥1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再生资源回收网点覆盖率达标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畜禽粪污资源化利用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基层治理</w:t>
            </w: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强化基层党建引领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依托基层治理网格推动垃圾分类治理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将生活垃圾分类相关要求纳入村规民约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实行垃圾分类“红黑榜”“积分制”管理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将垃圾分类纳入“最美院落”评选和“传统村落”建设等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监督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生活垃圾管理责任人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履行管理责任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健全垃圾分类指导员制度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“一员多岗”和公益性岗位参与垃圾分类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积极开展垃圾分类模范庭院建设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宣传教育</w:t>
            </w: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垃圾分类知晓率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垃圾分类参与率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广泛开展垃圾分类宣传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村民满意度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保障措施</w:t>
            </w: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落实专人负责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垃圾分类工作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多渠道筹措资金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台账完善，管理规范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常态化开展垃圾分类督促指导</w:t>
            </w:r>
          </w:p>
        </w:tc>
        <w:tc>
          <w:tcPr>
            <w:tcW w:w="148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20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/>
          <w:color w:val="auto"/>
          <w:lang w:val="en-US" w:eastAsia="zh-CN"/>
        </w:rPr>
      </w:pPr>
      <w:r>
        <w:rPr>
          <w:color w:val="auto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hint="eastAsia" w:eastAsia="方正小标宋_GBK"/>
          <w:color w:val="auto"/>
          <w:sz w:val="36"/>
          <w:szCs w:val="36"/>
        </w:rPr>
      </w:pPr>
      <w:r>
        <w:rPr>
          <w:rFonts w:hint="eastAsia" w:eastAsia="方正小标宋_GBK"/>
          <w:color w:val="auto"/>
          <w:sz w:val="36"/>
          <w:szCs w:val="36"/>
        </w:rPr>
        <w:t>重庆市</w:t>
      </w:r>
      <w:r>
        <w:rPr>
          <w:rFonts w:hint="eastAsia" w:eastAsia="方正小标宋_GBK"/>
          <w:color w:val="auto"/>
          <w:sz w:val="36"/>
          <w:szCs w:val="36"/>
          <w:lang w:val="en-US" w:eastAsia="zh-CN"/>
        </w:rPr>
        <w:t>万州</w:t>
      </w:r>
      <w:r>
        <w:rPr>
          <w:rFonts w:hint="eastAsia" w:eastAsia="方正小标宋_GBK"/>
          <w:color w:val="auto"/>
          <w:sz w:val="36"/>
          <w:szCs w:val="36"/>
        </w:rPr>
        <w:t>区</w:t>
      </w:r>
      <w:r>
        <w:rPr>
          <w:rFonts w:hint="eastAsia" w:eastAsia="方正小标宋_GBK"/>
          <w:color w:val="auto"/>
          <w:sz w:val="36"/>
          <w:szCs w:val="36"/>
          <w:lang w:eastAsia="zh-CN"/>
        </w:rPr>
        <w:t>熊家镇</w:t>
      </w:r>
      <w:r>
        <w:rPr>
          <w:rFonts w:hint="eastAsia" w:eastAsia="方正小标宋_GBK"/>
          <w:color w:val="auto"/>
          <w:sz w:val="36"/>
          <w:szCs w:val="36"/>
        </w:rPr>
        <w:t>垃圾分类先锋小区创建评价指标</w:t>
      </w: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338"/>
        <w:gridCol w:w="6914"/>
        <w:gridCol w:w="1749"/>
        <w:gridCol w:w="14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252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评    价    指    标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目标要求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  <w:lang w:eastAsia="zh-CN"/>
              </w:rPr>
              <w:t>备</w:t>
            </w:r>
            <w:r>
              <w:rPr>
                <w:rFonts w:hint="eastAsia" w:eastAsia="方正黑体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黑体_GBK"/>
                <w:color w:val="auto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源头减量</w:t>
            </w: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引导居民绿色低碳生活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垃圾分类投放收运设施建设和管理</w:t>
            </w: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生活垃圾分类投放收集点（亭、房、站）设置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生活垃圾分类投放设施升级改造率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生活垃圾分类投放设施设备完好率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生活垃圾分类投放、收运设施设备干净整洁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生活垃圾分类标志标识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生活垃圾分类准确率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≥80%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小区厨余垃圾分出率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≥30%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桶边值守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有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楼层撤桶率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大件垃圾分类投放、收运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建筑垃圾分类投放、收运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各类垃圾规范运输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小区管理</w:t>
            </w: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履行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生活垃圾管理责任人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责任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业主大会、业主委员会和物业企业协调推进垃圾分类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落实垃圾分类指导员制度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推行“一员多岗”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垃圾分类纳入居民公约和业主委员会章程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广泛开展垃圾分类模范家庭评选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实行垃圾分类“红黑榜”管理制度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落实专人负责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垃圾分类工作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多渠道筹措资金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台账完善，管理规范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常态化开展垃圾分类督促指导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宣传教育</w:t>
            </w: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垃圾分类知晓率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垃圾分类参与率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年度入户宣传率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广泛开展垃圾分类宣传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9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居民满意度</w:t>
            </w:r>
          </w:p>
        </w:tc>
        <w:tc>
          <w:tcPr>
            <w:tcW w:w="174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1401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color w:val="auto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5</w:t>
      </w:r>
    </w:p>
    <w:p>
      <w:pPr>
        <w:snapToGrid w:val="0"/>
        <w:spacing w:line="500" w:lineRule="exact"/>
        <w:jc w:val="center"/>
        <w:rPr>
          <w:rFonts w:hint="eastAsia" w:eastAsia="方正小标宋_GBK"/>
          <w:color w:val="auto"/>
          <w:sz w:val="36"/>
          <w:szCs w:val="36"/>
        </w:rPr>
      </w:pPr>
      <w:r>
        <w:rPr>
          <w:rFonts w:hint="eastAsia" w:eastAsia="方正小标宋_GBK"/>
          <w:color w:val="auto"/>
          <w:sz w:val="36"/>
          <w:szCs w:val="36"/>
        </w:rPr>
        <w:t>重庆市</w:t>
      </w:r>
      <w:r>
        <w:rPr>
          <w:rFonts w:hint="eastAsia" w:eastAsia="方正小标宋_GBK"/>
          <w:color w:val="auto"/>
          <w:sz w:val="36"/>
          <w:szCs w:val="36"/>
          <w:lang w:val="en-US" w:eastAsia="zh-CN"/>
        </w:rPr>
        <w:t>万州</w:t>
      </w:r>
      <w:r>
        <w:rPr>
          <w:rFonts w:hint="eastAsia" w:eastAsia="方正小标宋_GBK"/>
          <w:color w:val="auto"/>
          <w:sz w:val="36"/>
          <w:szCs w:val="36"/>
        </w:rPr>
        <w:t>区</w:t>
      </w:r>
      <w:r>
        <w:rPr>
          <w:rFonts w:hint="eastAsia" w:eastAsia="方正小标宋_GBK"/>
          <w:color w:val="auto"/>
          <w:sz w:val="36"/>
          <w:szCs w:val="36"/>
          <w:lang w:eastAsia="zh-CN"/>
        </w:rPr>
        <w:t>熊家</w:t>
      </w:r>
      <w:r>
        <w:rPr>
          <w:rFonts w:hint="eastAsia" w:eastAsia="方正小标宋_GBK"/>
          <w:color w:val="auto"/>
          <w:sz w:val="36"/>
          <w:szCs w:val="36"/>
        </w:rPr>
        <w:t>镇垃圾分类先锋单位创建评价指标</w:t>
      </w: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324"/>
        <w:gridCol w:w="5334"/>
        <w:gridCol w:w="2072"/>
        <w:gridCol w:w="26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58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评    价    指    标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目标要求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  <w:lang w:eastAsia="zh-CN"/>
              </w:rPr>
              <w:t>备</w:t>
            </w:r>
            <w:r>
              <w:rPr>
                <w:rFonts w:hint="eastAsia" w:eastAsia="方正黑体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黑体_GBK"/>
                <w:color w:val="auto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24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源头减量</w:t>
            </w: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引导员工绿色办公、低碳出行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推行“光盘行动”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限制一次性用品使用措施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“限塑令”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减少商品过度包装措施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推动产生大宗工业固废行业绿色转型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324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垃圾分类投放收运处置设施建设和管理</w:t>
            </w: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生活垃圾分类投放收集点（亭、房、站）设置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生活垃圾分类投放设施升级改造率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生活垃圾分类准确率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≥80%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各类垃圾分类投放、收运设施设备完好率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各类垃圾分类投放、收运设施设备干净整洁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各类垃圾标志标识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大件垃圾分类投放、收运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工业固废、医疗废物和建筑垃圾等分类投放、收运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324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垃圾分类投放收运处置设施建设和管理</w:t>
            </w: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大宗工业固废资源化利用率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＞75%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危险废物（医疗废物）和工业废物规范暂存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397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各类垃圾规范运输处置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324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单位管理</w:t>
            </w: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履行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生活垃圾管理责任人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责任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落实垃圾分类指导员制度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落实专人负责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垃圾分类工作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垃圾分类收运处置经费充足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台账完善，管理规范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常态化开展垃圾分类督促指导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324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宣传教育</w:t>
            </w: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垃圾分类知晓率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垃圾分类参与率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广泛开展垃圾分类宣传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员工满意度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25" w:hRule="atLeast"/>
          <w:jc w:val="center"/>
        </w:trPr>
        <w:tc>
          <w:tcPr>
            <w:tcW w:w="71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324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334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落实垃圾分类“进校园”“进课堂”“进教材”</w:t>
            </w:r>
          </w:p>
        </w:tc>
        <w:tc>
          <w:tcPr>
            <w:tcW w:w="207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snapToGrid w:val="0"/>
        <w:jc w:val="left"/>
        <w:rPr>
          <w:rFonts w:hint="eastAsia"/>
          <w:color w:va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6</w:t>
      </w:r>
    </w:p>
    <w:p>
      <w:pPr>
        <w:snapToGrid w:val="0"/>
        <w:jc w:val="center"/>
        <w:rPr>
          <w:rFonts w:hint="eastAsia" w:eastAsia="方正小标宋_GBK"/>
          <w:color w:val="auto"/>
          <w:sz w:val="36"/>
          <w:szCs w:val="36"/>
        </w:rPr>
      </w:pPr>
      <w:r>
        <w:rPr>
          <w:rFonts w:hint="eastAsia" w:eastAsia="方正小标宋_GBK"/>
          <w:color w:val="auto"/>
          <w:sz w:val="36"/>
          <w:szCs w:val="36"/>
        </w:rPr>
        <w:t>重庆市</w:t>
      </w:r>
      <w:r>
        <w:rPr>
          <w:rFonts w:hint="eastAsia" w:eastAsia="方正小标宋_GBK"/>
          <w:color w:val="auto"/>
          <w:sz w:val="36"/>
          <w:szCs w:val="36"/>
          <w:lang w:val="en-US" w:eastAsia="zh-CN"/>
        </w:rPr>
        <w:t>万州</w:t>
      </w:r>
      <w:r>
        <w:rPr>
          <w:rFonts w:hint="eastAsia" w:eastAsia="方正小标宋_GBK"/>
          <w:color w:val="auto"/>
          <w:sz w:val="36"/>
          <w:szCs w:val="36"/>
        </w:rPr>
        <w:t>区</w:t>
      </w:r>
      <w:r>
        <w:rPr>
          <w:rFonts w:hint="eastAsia" w:eastAsia="方正小标宋_GBK"/>
          <w:color w:val="auto"/>
          <w:sz w:val="36"/>
          <w:szCs w:val="36"/>
          <w:lang w:eastAsia="zh-CN"/>
        </w:rPr>
        <w:t>熊家</w:t>
      </w:r>
      <w:r>
        <w:rPr>
          <w:rFonts w:hint="eastAsia" w:eastAsia="方正小标宋_GBK"/>
          <w:color w:val="auto"/>
          <w:sz w:val="36"/>
          <w:szCs w:val="36"/>
        </w:rPr>
        <w:t>镇垃圾分类先锋</w:t>
      </w:r>
      <w:r>
        <w:rPr>
          <w:rFonts w:hint="eastAsia" w:eastAsia="方正小标宋_GBK"/>
          <w:color w:val="auto"/>
          <w:sz w:val="36"/>
          <w:szCs w:val="36"/>
          <w:lang w:eastAsia="zh-CN"/>
        </w:rPr>
        <w:t>镇</w:t>
      </w:r>
      <w:r>
        <w:rPr>
          <w:rFonts w:hint="eastAsia" w:eastAsia="方正小标宋_GBK"/>
          <w:color w:val="auto"/>
          <w:sz w:val="36"/>
          <w:szCs w:val="36"/>
        </w:rPr>
        <w:t>创建评价指标</w:t>
      </w: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297"/>
        <w:gridCol w:w="6843"/>
        <w:gridCol w:w="1357"/>
        <w:gridCol w:w="14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140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评    价    指    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</w:rPr>
              <w:t>目标要求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  <w:lang w:eastAsia="zh-CN"/>
              </w:rPr>
              <w:t>备</w:t>
            </w:r>
            <w:r>
              <w:rPr>
                <w:rFonts w:hint="eastAsia" w:eastAsia="方正黑体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方正黑体_GBK"/>
                <w:color w:val="auto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97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源头减量</w:t>
            </w: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人均生活垃圾产生量逐年下降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引导辖区居民低碳出行、绿色办公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减少商品过度包装措施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有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普遍推行“光盘行动”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限制一次性用品使用措施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有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“限塑令”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农业固体废物源头减量管控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仅用于涉农街道（乡镇）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97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垃圾分类收运处置体系建设和管理</w:t>
            </w: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建成区生活垃圾分类覆盖率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行政村生活垃圾分类覆盖率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仅用于涉农街道（乡镇）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生活垃圾分类投放设施升级改造率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生活垃圾分类收运处置设施设备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生活垃圾分类标志标识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建成区生活垃圾分类准确率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≥80%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行政村生活垃圾分类准确率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仅用于涉农街道（乡镇）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≥80%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97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垃圾分类收运处置体系建设和管理</w:t>
            </w: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建成区厨余垃圾分出率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≥30%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各类垃圾规范运输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运输单位资质合法、作业规范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行政村厨余垃圾就近就地处置率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仅用于涉农街道（乡镇）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≥80%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秸秆综合利用率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仅用于涉农街道（乡镇）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＞90%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农膜回收率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仅用于涉农街道（乡镇）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≥95%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建筑垃圾运输和处置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工业危险废物收运利用处置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城镇医疗废物收运处置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297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垃圾资源化回收利用</w:t>
            </w: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“两网融合”点数量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≥2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再生资源回收网点覆盖率达标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落实垃圾资源化利用措施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畜禽粪污资源化利用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仅用于涉农街道（乡镇）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297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基层治理</w:t>
            </w: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强化基层党建引领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依托基层治理网格推动垃圾分类治理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创建成功的垃圾分类先锋社区（行政村）占比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一票否决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指标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≥70%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监督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生活垃圾管理责任人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履行管理责任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7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宣传教育</w:t>
            </w: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垃圾分类知晓率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垃圾分类参与率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7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宣传教育</w:t>
            </w: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年度入户宣传率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居民（村民）满意度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≥90%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垃圾分类“进社区”“进机关”等“九进”活动开展有效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垃圾分类“进校园”“进课堂”“进教材”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7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保障措施</w:t>
            </w: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责任清晰明确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垃圾分类机制完善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资金保障长效充足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台账完善，管理规范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7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常态化开展垃圾分类执法和监管</w:t>
            </w:r>
          </w:p>
        </w:tc>
        <w:tc>
          <w:tcPr>
            <w:tcW w:w="135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是</w:t>
            </w:r>
          </w:p>
        </w:tc>
        <w:tc>
          <w:tcPr>
            <w:tcW w:w="140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color w:val="auto"/>
        </w:rPr>
      </w:pPr>
    </w:p>
    <w:sectPr>
      <w:headerReference r:id="rId5" w:type="default"/>
      <w:footerReference r:id="rId6" w:type="default"/>
      <w:pgSz w:w="16838" w:h="11906" w:orient="landscape"/>
      <w:pgMar w:top="1587" w:right="2098" w:bottom="1644" w:left="198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6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方正仿宋_GBK" w:hAnsi="方正仿宋_GBK" w:eastAsia="方正仿宋_GBK" w:cs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L35972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8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3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zIzYjU2M2E0ODk3YzY0MjUzOTRhNjUzOTkxNjMifQ=="/>
  </w:docVars>
  <w:rsids>
    <w:rsidRoot w:val="7DC861CE"/>
    <w:rsid w:val="00A2611C"/>
    <w:rsid w:val="023C2B85"/>
    <w:rsid w:val="04094A36"/>
    <w:rsid w:val="05DD2EC4"/>
    <w:rsid w:val="06590829"/>
    <w:rsid w:val="09D53941"/>
    <w:rsid w:val="0A3F3DAD"/>
    <w:rsid w:val="0B30303F"/>
    <w:rsid w:val="0E1F5D55"/>
    <w:rsid w:val="0F1A6CFD"/>
    <w:rsid w:val="11193D9C"/>
    <w:rsid w:val="11C516E1"/>
    <w:rsid w:val="11FA2C92"/>
    <w:rsid w:val="13DC045F"/>
    <w:rsid w:val="18511889"/>
    <w:rsid w:val="1CBD494F"/>
    <w:rsid w:val="1D015EE1"/>
    <w:rsid w:val="204A7987"/>
    <w:rsid w:val="252217F3"/>
    <w:rsid w:val="2A3224D8"/>
    <w:rsid w:val="2AD34DE2"/>
    <w:rsid w:val="2DC57F54"/>
    <w:rsid w:val="302E54F0"/>
    <w:rsid w:val="35681A3D"/>
    <w:rsid w:val="36637EBD"/>
    <w:rsid w:val="3F0D09C6"/>
    <w:rsid w:val="41D841CC"/>
    <w:rsid w:val="4FD45663"/>
    <w:rsid w:val="59B72635"/>
    <w:rsid w:val="5BCC64A2"/>
    <w:rsid w:val="5BED38B1"/>
    <w:rsid w:val="5D9A67D0"/>
    <w:rsid w:val="62931209"/>
    <w:rsid w:val="66B45A48"/>
    <w:rsid w:val="6AB0093A"/>
    <w:rsid w:val="6AC41146"/>
    <w:rsid w:val="700F3CEF"/>
    <w:rsid w:val="70670474"/>
    <w:rsid w:val="743C31F6"/>
    <w:rsid w:val="75F45E61"/>
    <w:rsid w:val="7C7409A3"/>
    <w:rsid w:val="7CFB1883"/>
    <w:rsid w:val="7DC861CE"/>
    <w:rsid w:val="BDD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90" w:lineRule="exact"/>
      <w:ind w:firstLine="0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  <w:jc w:val="both"/>
    </w:pPr>
    <w:rPr>
      <w:rFonts w:ascii="Calibri" w:hAnsi="Calibri" w:eastAsia="宋体"/>
      <w:color w:val="auto"/>
      <w:kern w:val="2"/>
      <w:sz w:val="21"/>
      <w:szCs w:val="22"/>
      <w:lang w:eastAsia="zh-CN" w:bidi="ar-SA"/>
    </w:rPr>
  </w:style>
  <w:style w:type="paragraph" w:styleId="5">
    <w:name w:val="Body Text"/>
    <w:basedOn w:val="1"/>
    <w:next w:val="6"/>
    <w:qFormat/>
    <w:uiPriority w:val="0"/>
    <w:rPr>
      <w:rFonts w:eastAsia="仿宋_GB2312"/>
      <w:sz w:val="32"/>
    </w:r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autoSpaceDE w:val="0"/>
      <w:autoSpaceDN w:val="0"/>
      <w:spacing w:line="360" w:lineRule="auto"/>
      <w:ind w:firstLine="100" w:firstLineChars="100"/>
    </w:pPr>
    <w:rPr>
      <w:sz w:val="21"/>
      <w:szCs w:val="20"/>
    </w:rPr>
  </w:style>
  <w:style w:type="paragraph" w:styleId="13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索引 51"/>
    <w:basedOn w:val="1"/>
    <w:next w:val="1"/>
    <w:qFormat/>
    <w:uiPriority w:val="0"/>
    <w:pPr>
      <w:ind w:left="1680"/>
    </w:pPr>
  </w:style>
  <w:style w:type="paragraph" w:customStyle="1" w:styleId="19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默认"/>
    <w:unhideWhenUsed/>
    <w:qFormat/>
    <w:uiPriority w:val="0"/>
    <w:pPr>
      <w:spacing w:beforeLines="0" w:afterLines="0"/>
    </w:pPr>
    <w:rPr>
      <w:rFonts w:hint="default" w:ascii="Helvetica" w:hAnsi="Helvetica" w:eastAsia="宋体" w:cs="Times New Roman"/>
      <w:color w:val="000000"/>
      <w:sz w:val="22"/>
      <w:lang w:val="en-US" w:eastAsia="zh-CN"/>
    </w:rPr>
  </w:style>
  <w:style w:type="paragraph" w:customStyle="1" w:styleId="21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5867</Words>
  <Characters>6151</Characters>
  <Lines>0</Lines>
  <Paragraphs>0</Paragraphs>
  <TotalTime>13</TotalTime>
  <ScaleCrop>false</ScaleCrop>
  <LinksUpToDate>false</LinksUpToDate>
  <CharactersWithSpaces>6295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2024-05-08T16:10:00Z</dcterms:created>
  <dc:creator>骁</dc:creator>
  <cp:lastModifiedBy>熊家镇固定管理员</cp:lastModifiedBy>
  <cp:lastPrinted>2024-08-09T14:51:00Z</cp:lastPrinted>
  <dcterms:modified xsi:type="dcterms:W3CDTF">2024-08-09T17:00:54Z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7B249E044C88477184EA100E076C6850_11</vt:lpwstr>
  </property>
</Properties>
</file>