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bidi w:val="0"/>
        <w:jc w:val="center"/>
        <w:rPr>
          <w:rFonts w:hint="eastAsia"/>
        </w:rPr>
      </w:pPr>
      <w:r>
        <w:rPr>
          <w:rFonts w:hint="eastAsia"/>
        </w:rPr>
        <w:t>重庆市万州区武陵镇</w:t>
      </w:r>
      <w:r>
        <w:rPr>
          <w:rFonts w:hint="eastAsia"/>
          <w:lang w:eastAsia="zh-CN"/>
        </w:rPr>
        <w:t>农业</w:t>
      </w:r>
      <w:r>
        <w:rPr>
          <w:rFonts w:hint="eastAsia"/>
        </w:rPr>
        <w:t>服务中心</w:t>
      </w:r>
    </w:p>
    <w:p>
      <w:pPr>
        <w:pStyle w:val="2"/>
        <w:bidi w:val="0"/>
        <w:jc w:val="center"/>
        <w:rPr>
          <w:rFonts w:hint="eastAsia" w:ascii="Times New Roman" w:hAnsi="Times New Roman" w:eastAsia="华文中宋" w:cs="华文中宋"/>
          <w:sz w:val="44"/>
          <w:szCs w:val="44"/>
        </w:rPr>
      </w:pPr>
      <w:r>
        <w:rPr>
          <w:rFonts w:hint="eastAsia"/>
          <w:lang w:eastAsia="zh-CN"/>
        </w:rPr>
        <w:t>2024</w:t>
      </w:r>
      <w:r>
        <w:rPr>
          <w:rFonts w:hint="eastAsia"/>
        </w:rPr>
        <w:t>年单位预算情况说明</w:t>
      </w:r>
    </w:p>
    <w:p>
      <w:pPr>
        <w:spacing w:line="600" w:lineRule="exact"/>
        <w:ind w:firstLine="640" w:firstLineChars="200"/>
        <w:rPr>
          <w:rFonts w:hint="eastAsia" w:ascii="Times New Roman" w:hAnsi="Times New Roman" w:eastAsia="方正黑体_GBK" w:cs="仿宋_GB2312"/>
          <w:sz w:val="32"/>
        </w:rPr>
      </w:pPr>
      <w:r>
        <w:rPr>
          <w:rFonts w:hint="eastAsia" w:ascii="Times New Roman" w:hAnsi="Times New Roman" w:eastAsia="方正黑体_GBK" w:cs="仿宋_GB2312"/>
          <w:sz w:val="32"/>
        </w:rPr>
        <w:t>一、单位基本情况</w:t>
      </w:r>
    </w:p>
    <w:p>
      <w:pPr>
        <w:spacing w:line="600" w:lineRule="exact"/>
        <w:ind w:firstLine="640" w:firstLineChars="200"/>
        <w:rPr>
          <w:rFonts w:hint="eastAsia" w:ascii="方正楷体_GBK" w:hAnsi="方正楷体_GBK" w:eastAsia="方正楷体_GBK" w:cs="方正楷体_GBK"/>
          <w:sz w:val="32"/>
        </w:rPr>
      </w:pPr>
      <w:r>
        <w:rPr>
          <w:rFonts w:hint="eastAsia" w:ascii="方正楷体_GBK" w:hAnsi="方正楷体_GBK" w:eastAsia="方正楷体_GBK" w:cs="方正楷体_GBK"/>
          <w:sz w:val="32"/>
        </w:rPr>
        <w:t>（一）职能职责</w:t>
      </w:r>
    </w:p>
    <w:p>
      <w:pPr>
        <w:spacing w:line="578" w:lineRule="exact"/>
        <w:ind w:firstLine="640" w:firstLineChars="200"/>
        <w:rPr>
          <w:rFonts w:hint="eastAsia" w:ascii="Times New Roman" w:hAnsi="Times New Roman" w:eastAsia="方正仿宋_GBK"/>
          <w:sz w:val="32"/>
        </w:rPr>
      </w:pPr>
      <w:r>
        <w:rPr>
          <w:rFonts w:hint="eastAsia" w:ascii="Times New Roman" w:hAnsi="Times New Roman" w:eastAsia="方正仿宋_GBK"/>
          <w:sz w:val="32"/>
        </w:rPr>
        <w:t>贯彻执行党的路线方针政策和国家的法律法规，深学笃用习近平新时代中国特色社会主义思想，坚持以人民为中心的发展思想，充分发挥镇党委领导核心作用，坚持促进经济发展、增加农民收入，强化公共服务、着力改善民生，加强社会管理、维护农村稳定，推进基层民主、促进农村和谐的基本职能，适应经济社会发展新要求和人民群众新期待，推动工作重心转移到加强基层党的建设，强化经济发展、公共服务、公共管理、公共安全等方面职能。承担区级部门下放的服务管理职权、承担依法授权或委托的行政执法权。构建职能科学、运转有序、保障有力、服务高效、人民满意的服务管理体制机制。</w:t>
      </w:r>
    </w:p>
    <w:p>
      <w:pPr>
        <w:spacing w:line="600" w:lineRule="exact"/>
        <w:ind w:firstLine="640" w:firstLineChars="200"/>
        <w:rPr>
          <w:rFonts w:hint="eastAsia" w:ascii="方正楷体_GBK" w:hAnsi="方正楷体_GBK" w:eastAsia="方正楷体_GBK" w:cs="方正楷体_GBK"/>
          <w:sz w:val="32"/>
        </w:rPr>
      </w:pPr>
      <w:r>
        <w:rPr>
          <w:rFonts w:hint="eastAsia" w:ascii="方正楷体_GBK" w:hAnsi="方正楷体_GBK" w:eastAsia="方正楷体_GBK" w:cs="方正楷体_GBK"/>
          <w:sz w:val="32"/>
        </w:rPr>
        <w:t>（二）单位构成</w:t>
      </w:r>
    </w:p>
    <w:p>
      <w:pPr>
        <w:spacing w:line="578" w:lineRule="exact"/>
        <w:ind w:firstLine="640" w:firstLineChars="200"/>
        <w:rPr>
          <w:rFonts w:hint="eastAsia" w:ascii="Times New Roman" w:hAnsi="Times New Roman" w:eastAsia="方正仿宋_GBK"/>
          <w:sz w:val="32"/>
        </w:rPr>
      </w:pPr>
      <w:r>
        <w:rPr>
          <w:rFonts w:hint="eastAsia" w:ascii="Times New Roman" w:hAnsi="Times New Roman" w:eastAsia="方正仿宋_GBK"/>
          <w:sz w:val="32"/>
        </w:rPr>
        <w:t>主要承担农技、农机、林业、水利水保、水产、畜牧兽医等方面的重大技术推广、信息服务、资源环境保护、灾害防治等工作以及农民质量安全知识的培训、质量安全控制技术的推广、生产环节质量安全的日常巡查、各项监管措施的督促落实等工作，从源头上保障农产品质量安全。</w:t>
      </w:r>
    </w:p>
    <w:p>
      <w:pPr>
        <w:spacing w:line="600" w:lineRule="exact"/>
        <w:ind w:firstLine="640" w:firstLineChars="200"/>
        <w:rPr>
          <w:rFonts w:hint="eastAsia" w:ascii="Times New Roman" w:hAnsi="Times New Roman" w:eastAsia="方正黑体_GBK" w:cs="仿宋_GB2312"/>
          <w:sz w:val="32"/>
        </w:rPr>
      </w:pPr>
      <w:r>
        <w:rPr>
          <w:rFonts w:hint="eastAsia" w:ascii="Times New Roman" w:hAnsi="Times New Roman" w:eastAsia="方正黑体_GBK" w:cs="仿宋_GB2312"/>
          <w:sz w:val="32"/>
        </w:rPr>
        <w:t>二、单位收支总体情况</w:t>
      </w:r>
    </w:p>
    <w:p>
      <w:pPr>
        <w:spacing w:line="578" w:lineRule="exact"/>
        <w:ind w:firstLine="640" w:firstLineChars="200"/>
        <w:rPr>
          <w:rFonts w:hint="eastAsia" w:ascii="Times New Roman" w:hAnsi="Times New Roman" w:eastAsia="方正仿宋_GBK" w:cs="仿宋_GB2312"/>
          <w:sz w:val="32"/>
          <w:lang w:eastAsia="zh-CN"/>
        </w:rPr>
      </w:pPr>
      <w:r>
        <w:rPr>
          <w:rFonts w:hint="eastAsia" w:ascii="方正楷体_GBK" w:hAnsi="方正楷体_GBK" w:eastAsia="方正楷体_GBK" w:cs="方正楷体_GBK"/>
          <w:sz w:val="32"/>
        </w:rPr>
        <w:t>（一）收入预算</w:t>
      </w:r>
      <w:r>
        <w:rPr>
          <w:rFonts w:hint="eastAsia" w:ascii="Times New Roman" w:hAnsi="Times New Roman" w:eastAsia="方正仿宋_GBK" w:cs="仿宋_GB2312"/>
          <w:sz w:val="32"/>
        </w:rPr>
        <w:t>：</w:t>
      </w:r>
      <w:r>
        <w:rPr>
          <w:rFonts w:hint="eastAsia" w:ascii="Times New Roman" w:hAnsi="Times New Roman" w:eastAsia="方正仿宋_GBK" w:cs="仿宋_GB2312"/>
          <w:sz w:val="32"/>
          <w:lang w:eastAsia="zh-CN"/>
        </w:rPr>
        <w:t>2024</w:t>
      </w:r>
      <w:r>
        <w:rPr>
          <w:rFonts w:hint="eastAsia" w:ascii="Times New Roman" w:hAnsi="Times New Roman" w:eastAsia="方正仿宋_GBK" w:cs="仿宋_GB2312"/>
          <w:sz w:val="32"/>
        </w:rPr>
        <w:t>年年初预算数</w:t>
      </w:r>
      <w:r>
        <w:rPr>
          <w:rFonts w:hint="eastAsia" w:ascii="Times New Roman" w:hAnsi="Times New Roman" w:eastAsia="方正仿宋_GBK" w:cs="仿宋_GB2312"/>
          <w:sz w:val="32"/>
          <w:lang w:val="en-US" w:eastAsia="zh-CN"/>
        </w:rPr>
        <w:t>471.21</w:t>
      </w:r>
      <w:r>
        <w:rPr>
          <w:rFonts w:hint="eastAsia" w:ascii="Times New Roman" w:hAnsi="Times New Roman" w:eastAsia="方正仿宋_GBK" w:cs="仿宋_GB2312"/>
          <w:sz w:val="32"/>
        </w:rPr>
        <w:t>万元，其中：一般公共预算拨款</w:t>
      </w:r>
      <w:r>
        <w:rPr>
          <w:rFonts w:hint="eastAsia" w:ascii="Times New Roman" w:hAnsi="Times New Roman" w:eastAsia="方正仿宋_GBK" w:cs="仿宋_GB2312"/>
          <w:sz w:val="32"/>
          <w:lang w:val="en-US" w:eastAsia="zh-CN"/>
        </w:rPr>
        <w:t>471.21</w:t>
      </w:r>
      <w:r>
        <w:rPr>
          <w:rFonts w:hint="eastAsia" w:ascii="Times New Roman" w:hAnsi="Times New Roman" w:eastAsia="方正仿宋_GBK" w:cs="仿宋_GB2312"/>
          <w:sz w:val="32"/>
        </w:rPr>
        <w:t>万元，政府性基金预算拨款</w:t>
      </w:r>
      <w:r>
        <w:rPr>
          <w:rFonts w:hint="eastAsia" w:ascii="Times New Roman" w:hAnsi="Times New Roman" w:eastAsia="方正仿宋_GBK" w:cs="仿宋_GB2312"/>
          <w:sz w:val="32"/>
          <w:lang w:val="en-US" w:eastAsia="zh-CN"/>
        </w:rPr>
        <w:t>0</w:t>
      </w:r>
      <w:r>
        <w:rPr>
          <w:rFonts w:hint="eastAsia" w:ascii="Times New Roman" w:hAnsi="Times New Roman" w:eastAsia="方正仿宋_GBK" w:cs="仿宋_GB2312"/>
          <w:sz w:val="32"/>
        </w:rPr>
        <w:t>万元</w:t>
      </w:r>
      <w:r>
        <w:rPr>
          <w:rFonts w:hint="eastAsia" w:ascii="Times New Roman" w:hAnsi="Times New Roman" w:eastAsia="方正仿宋_GBK" w:cs="仿宋_GB2312"/>
          <w:sz w:val="32"/>
          <w:lang w:eastAsia="zh-CN"/>
        </w:rPr>
        <w:t>。</w:t>
      </w:r>
      <w:r>
        <w:rPr>
          <w:rFonts w:hint="eastAsia" w:ascii="Times New Roman" w:hAnsi="Times New Roman" w:eastAsia="方正仿宋_GBK"/>
          <w:sz w:val="32"/>
          <w:lang w:val="en-US" w:eastAsia="zh-CN"/>
        </w:rPr>
        <w:t>因2023年部门是编制整体预算，2024年预算采用分二级单位的形式编制部门预算和单位预算，故不能做对比。</w:t>
      </w:r>
    </w:p>
    <w:p>
      <w:pPr>
        <w:spacing w:line="600" w:lineRule="exact"/>
        <w:ind w:firstLine="640" w:firstLineChars="200"/>
        <w:rPr>
          <w:rFonts w:hint="eastAsia" w:ascii="Times New Roman" w:hAnsi="Times New Roman" w:eastAsia="方正仿宋_GBK" w:cs="仿宋_GB2312"/>
          <w:sz w:val="32"/>
        </w:rPr>
      </w:pPr>
      <w:r>
        <w:rPr>
          <w:rFonts w:hint="eastAsia" w:ascii="方正楷体_GBK" w:hAnsi="方正楷体_GBK" w:eastAsia="方正楷体_GBK" w:cs="方正楷体_GBK"/>
          <w:sz w:val="32"/>
        </w:rPr>
        <w:t>（二）支出预算</w:t>
      </w:r>
      <w:r>
        <w:rPr>
          <w:rFonts w:hint="eastAsia" w:ascii="Times New Roman" w:hAnsi="Times New Roman" w:eastAsia="方正仿宋_GBK" w:cs="仿宋_GB2312"/>
          <w:sz w:val="32"/>
        </w:rPr>
        <w:t>：</w:t>
      </w:r>
      <w:r>
        <w:rPr>
          <w:rFonts w:hint="eastAsia" w:ascii="Times New Roman" w:hAnsi="Times New Roman" w:eastAsia="方正仿宋_GBK" w:cs="仿宋_GB2312"/>
          <w:sz w:val="32"/>
          <w:lang w:eastAsia="zh-CN"/>
        </w:rPr>
        <w:t>2024</w:t>
      </w:r>
      <w:r>
        <w:rPr>
          <w:rFonts w:hint="eastAsia" w:ascii="Times New Roman" w:hAnsi="Times New Roman" w:eastAsia="方正仿宋_GBK" w:cs="仿宋_GB2312"/>
          <w:sz w:val="32"/>
        </w:rPr>
        <w:t>年年初预算数</w:t>
      </w:r>
      <w:r>
        <w:rPr>
          <w:rFonts w:hint="eastAsia" w:ascii="Times New Roman" w:hAnsi="Times New Roman" w:eastAsia="方正仿宋_GBK" w:cs="仿宋_GB2312"/>
          <w:sz w:val="32"/>
          <w:lang w:val="en-US" w:eastAsia="zh-CN"/>
        </w:rPr>
        <w:t>471.21</w:t>
      </w:r>
      <w:r>
        <w:rPr>
          <w:rFonts w:hint="eastAsia" w:ascii="Times New Roman" w:hAnsi="Times New Roman" w:eastAsia="方正仿宋_GBK" w:cs="仿宋_GB2312"/>
          <w:sz w:val="32"/>
        </w:rPr>
        <w:t>万元，其中：</w:t>
      </w:r>
      <w:r>
        <w:rPr>
          <w:rFonts w:hint="eastAsia" w:ascii="Times New Roman" w:hAnsi="Times New Roman" w:eastAsia="方正仿宋_GBK" w:cs="仿宋_GB2312"/>
          <w:sz w:val="32"/>
          <w:lang w:eastAsia="zh-CN"/>
        </w:rPr>
        <w:t>一般公共服务支出预算</w:t>
      </w:r>
      <w:r>
        <w:rPr>
          <w:rFonts w:hint="eastAsia" w:ascii="Times New Roman" w:hAnsi="Times New Roman" w:eastAsia="方正仿宋_GBK" w:cs="仿宋_GB2312"/>
          <w:sz w:val="32"/>
          <w:lang w:val="en-US" w:eastAsia="zh-CN"/>
        </w:rPr>
        <w:t>11.00万元，</w:t>
      </w:r>
      <w:r>
        <w:rPr>
          <w:rFonts w:hint="eastAsia" w:ascii="Times New Roman" w:hAnsi="Times New Roman" w:eastAsia="方正仿宋_GBK" w:cs="仿宋_GB2312"/>
          <w:sz w:val="32"/>
        </w:rPr>
        <w:t>社会保障和就业支出预算</w:t>
      </w:r>
      <w:r>
        <w:rPr>
          <w:rFonts w:hint="eastAsia" w:ascii="Times New Roman" w:hAnsi="Times New Roman" w:eastAsia="方正仿宋_GBK" w:cs="仿宋_GB2312"/>
          <w:sz w:val="32"/>
          <w:lang w:val="en-US" w:eastAsia="zh-CN"/>
        </w:rPr>
        <w:t>129.87</w:t>
      </w:r>
      <w:r>
        <w:rPr>
          <w:rFonts w:hint="eastAsia" w:ascii="Times New Roman" w:hAnsi="Times New Roman" w:eastAsia="方正仿宋_GBK" w:cs="仿宋_GB2312"/>
          <w:sz w:val="32"/>
        </w:rPr>
        <w:t>万元，卫生健康支出预算</w:t>
      </w:r>
      <w:r>
        <w:rPr>
          <w:rFonts w:hint="eastAsia" w:ascii="Times New Roman" w:hAnsi="Times New Roman" w:eastAsia="方正仿宋_GBK" w:cs="仿宋_GB2312"/>
          <w:sz w:val="32"/>
          <w:lang w:val="en-US" w:eastAsia="zh-CN"/>
        </w:rPr>
        <w:t>28.12</w:t>
      </w:r>
      <w:r>
        <w:rPr>
          <w:rFonts w:hint="eastAsia" w:ascii="Times New Roman" w:hAnsi="Times New Roman" w:eastAsia="方正仿宋_GBK" w:cs="仿宋_GB2312"/>
          <w:sz w:val="32"/>
        </w:rPr>
        <w:t>万元，</w:t>
      </w:r>
      <w:r>
        <w:rPr>
          <w:rFonts w:hint="eastAsia" w:ascii="Times New Roman" w:hAnsi="Times New Roman" w:eastAsia="方正仿宋_GBK" w:cs="仿宋_GB2312"/>
          <w:sz w:val="32"/>
          <w:lang w:eastAsia="zh-CN"/>
        </w:rPr>
        <w:t>农林水支出预算</w:t>
      </w:r>
      <w:r>
        <w:rPr>
          <w:rFonts w:hint="eastAsia" w:ascii="Times New Roman" w:hAnsi="Times New Roman" w:eastAsia="方正仿宋_GBK" w:cs="仿宋_GB2312"/>
          <w:sz w:val="32"/>
          <w:lang w:val="en-US" w:eastAsia="zh-CN"/>
        </w:rPr>
        <w:t>285.59万元，</w:t>
      </w:r>
      <w:r>
        <w:rPr>
          <w:rFonts w:hint="eastAsia" w:ascii="Times New Roman" w:hAnsi="Times New Roman" w:eastAsia="方正仿宋_GBK" w:cs="仿宋_GB2312"/>
          <w:sz w:val="32"/>
          <w:lang w:eastAsia="zh-CN"/>
        </w:rPr>
        <w:t>住房保障支出预算</w:t>
      </w:r>
      <w:r>
        <w:rPr>
          <w:rFonts w:hint="eastAsia" w:ascii="Times New Roman" w:hAnsi="Times New Roman" w:eastAsia="方正仿宋_GBK" w:cs="仿宋_GB2312"/>
          <w:sz w:val="32"/>
          <w:lang w:val="en-US" w:eastAsia="zh-CN"/>
        </w:rPr>
        <w:t>16.63万元</w:t>
      </w:r>
      <w:r>
        <w:rPr>
          <w:rFonts w:hint="eastAsia" w:ascii="Times New Roman" w:hAnsi="Times New Roman" w:eastAsia="方正仿宋_GBK" w:cs="仿宋_GB2312"/>
          <w:sz w:val="32"/>
        </w:rPr>
        <w:t>。因2023年部门是编制整体预算，2024年预算采用分二级单位的形式编制部门预算和单位预算，故不能做对比。</w:t>
      </w:r>
    </w:p>
    <w:p>
      <w:pPr>
        <w:spacing w:line="600" w:lineRule="exact"/>
        <w:ind w:firstLine="640" w:firstLineChars="200"/>
        <w:rPr>
          <w:rFonts w:hint="eastAsia" w:ascii="Times New Roman" w:hAnsi="Times New Roman" w:eastAsia="方正仿宋_GBK" w:cs="仿宋_GB2312"/>
          <w:sz w:val="32"/>
        </w:rPr>
      </w:pPr>
      <w:r>
        <w:rPr>
          <w:rFonts w:hint="eastAsia" w:ascii="Times New Roman" w:hAnsi="Times New Roman" w:eastAsia="方正黑体_GBK" w:cs="仿宋_GB2312"/>
          <w:sz w:val="32"/>
        </w:rPr>
        <w:t>三</w:t>
      </w:r>
      <w:r>
        <w:rPr>
          <w:rFonts w:ascii="Times New Roman" w:hAnsi="Times New Roman" w:eastAsia="方正黑体_GBK" w:cs="仿宋_GB2312"/>
          <w:sz w:val="32"/>
        </w:rPr>
        <w:t>、</w:t>
      </w:r>
      <w:r>
        <w:rPr>
          <w:rFonts w:hint="eastAsia" w:ascii="Times New Roman" w:hAnsi="Times New Roman" w:eastAsia="方正黑体_GBK" w:cs="仿宋_GB2312"/>
          <w:sz w:val="32"/>
        </w:rPr>
        <w:t>单位预算情况说明</w:t>
      </w:r>
    </w:p>
    <w:p>
      <w:pPr>
        <w:spacing w:line="600" w:lineRule="exact"/>
        <w:ind w:firstLine="640" w:firstLineChars="200"/>
        <w:rPr>
          <w:rFonts w:hint="eastAsia" w:ascii="Times New Roman" w:hAnsi="Times New Roman" w:eastAsia="方正仿宋_GBK" w:cs="仿宋_GB2312"/>
          <w:sz w:val="32"/>
          <w:lang w:eastAsia="zh-CN"/>
        </w:rPr>
      </w:pPr>
      <w:r>
        <w:rPr>
          <w:rFonts w:hint="eastAsia" w:ascii="Times New Roman" w:hAnsi="Times New Roman" w:eastAsia="方正仿宋_GBK" w:cs="仿宋_GB2312"/>
          <w:sz w:val="32"/>
          <w:lang w:eastAsia="zh-CN"/>
        </w:rPr>
        <w:t>2024</w:t>
      </w:r>
      <w:r>
        <w:rPr>
          <w:rFonts w:hint="eastAsia" w:ascii="Times New Roman" w:hAnsi="Times New Roman" w:eastAsia="方正仿宋_GBK" w:cs="仿宋_GB2312"/>
          <w:sz w:val="32"/>
        </w:rPr>
        <w:t>年一般公共预算财政拨款收入</w:t>
      </w:r>
      <w:r>
        <w:rPr>
          <w:rFonts w:hint="eastAsia" w:ascii="Times New Roman" w:hAnsi="Times New Roman" w:eastAsia="方正仿宋_GBK" w:cs="仿宋_GB2312"/>
          <w:sz w:val="32"/>
          <w:lang w:val="en-US" w:eastAsia="zh-CN"/>
        </w:rPr>
        <w:t>471.21</w:t>
      </w:r>
      <w:r>
        <w:rPr>
          <w:rFonts w:hint="eastAsia" w:ascii="Times New Roman" w:hAnsi="Times New Roman" w:eastAsia="方正仿宋_GBK" w:cs="仿宋_GB2312"/>
          <w:sz w:val="32"/>
        </w:rPr>
        <w:t>万元，一般公共预算财政拨款支出</w:t>
      </w:r>
      <w:r>
        <w:rPr>
          <w:rFonts w:hint="eastAsia" w:ascii="Times New Roman" w:hAnsi="Times New Roman" w:eastAsia="方正仿宋_GBK" w:cs="仿宋_GB2312"/>
          <w:sz w:val="32"/>
          <w:lang w:val="en-US" w:eastAsia="zh-CN"/>
        </w:rPr>
        <w:t>471.21</w:t>
      </w:r>
      <w:r>
        <w:rPr>
          <w:rFonts w:hint="eastAsia" w:ascii="Times New Roman" w:hAnsi="Times New Roman" w:eastAsia="方正仿宋_GBK" w:cs="仿宋_GB2312"/>
          <w:sz w:val="32"/>
        </w:rPr>
        <w:t>万元，其中：基本支出</w:t>
      </w:r>
      <w:r>
        <w:rPr>
          <w:rFonts w:hint="eastAsia" w:ascii="Times New Roman" w:hAnsi="Times New Roman" w:eastAsia="方正仿宋_GBK" w:cs="仿宋_GB2312"/>
          <w:sz w:val="32"/>
          <w:lang w:val="en-US" w:eastAsia="zh-CN"/>
        </w:rPr>
        <w:t>471.21</w:t>
      </w:r>
      <w:r>
        <w:rPr>
          <w:rFonts w:hint="eastAsia" w:ascii="Times New Roman" w:hAnsi="Times New Roman" w:eastAsia="方正仿宋_GBK" w:cs="仿宋_GB2312"/>
          <w:sz w:val="32"/>
        </w:rPr>
        <w:t>万元，主要用于保障在职人员工资福利及社会保险缴费，离休人员离休费，退休人员补助等，保障单位正常运转的各项商品服务支出；项目支出</w:t>
      </w:r>
      <w:r>
        <w:rPr>
          <w:rFonts w:hint="eastAsia" w:ascii="Times New Roman" w:hAnsi="Times New Roman" w:eastAsia="方正仿宋_GBK" w:cs="仿宋_GB2312"/>
          <w:sz w:val="32"/>
          <w:lang w:val="en-US" w:eastAsia="zh-CN"/>
        </w:rPr>
        <w:t>0</w:t>
      </w:r>
      <w:r>
        <w:rPr>
          <w:rFonts w:hint="eastAsia" w:ascii="Times New Roman" w:hAnsi="Times New Roman" w:eastAsia="方正仿宋_GBK" w:cs="仿宋_GB2312"/>
          <w:sz w:val="32"/>
        </w:rPr>
        <w:t>万元</w:t>
      </w:r>
      <w:r>
        <w:rPr>
          <w:rFonts w:hint="eastAsia" w:ascii="Times New Roman" w:hAnsi="Times New Roman" w:eastAsia="方正仿宋_GBK" w:cs="仿宋_GB2312"/>
          <w:sz w:val="32"/>
          <w:lang w:eastAsia="zh-CN"/>
        </w:rPr>
        <w:t>。因2023年部门是编制整体预算，2024年预算采用分二级单位的形式编制部门预算和单位预算，故不能做对比。</w:t>
      </w:r>
    </w:p>
    <w:p>
      <w:pPr>
        <w:spacing w:line="600" w:lineRule="exact"/>
        <w:ind w:firstLine="640" w:firstLineChars="200"/>
        <w:rPr>
          <w:rFonts w:hint="eastAsia" w:ascii="Times New Roman" w:hAnsi="Times New Roman" w:eastAsia="方正仿宋_GBK" w:cs="仿宋_GB2312"/>
          <w:sz w:val="32"/>
          <w:lang w:eastAsia="zh-CN"/>
        </w:rPr>
      </w:pPr>
      <w:r>
        <w:rPr>
          <w:rFonts w:hint="eastAsia" w:ascii="Times New Roman" w:hAnsi="Times New Roman" w:eastAsia="方正仿宋_GBK" w:cs="仿宋_GB2312"/>
          <w:sz w:val="32"/>
          <w:lang w:eastAsia="zh-CN"/>
        </w:rPr>
        <w:t>我单位2024</w:t>
      </w:r>
      <w:r>
        <w:rPr>
          <w:rFonts w:hint="eastAsia" w:ascii="Times New Roman" w:hAnsi="Times New Roman" w:eastAsia="方正仿宋_GBK" w:cs="仿宋_GB2312"/>
          <w:sz w:val="32"/>
        </w:rPr>
        <w:t>年无使用政府性基金预算拨款安排的支出</w:t>
      </w:r>
      <w:r>
        <w:rPr>
          <w:rFonts w:hint="eastAsia" w:ascii="Times New Roman" w:hAnsi="Times New Roman" w:eastAsia="方正仿宋_GBK" w:cs="仿宋_GB2312"/>
          <w:sz w:val="32"/>
          <w:lang w:eastAsia="zh-CN"/>
        </w:rPr>
        <w:t>。</w:t>
      </w:r>
    </w:p>
    <w:p>
      <w:pPr>
        <w:spacing w:line="600" w:lineRule="exact"/>
        <w:ind w:firstLine="640" w:firstLineChars="200"/>
        <w:rPr>
          <w:rFonts w:hint="eastAsia" w:ascii="Times New Roman" w:hAnsi="Times New Roman" w:eastAsia="方正仿宋_GBK" w:cs="仿宋_GB2312"/>
          <w:sz w:val="32"/>
        </w:rPr>
      </w:pPr>
      <w:r>
        <w:rPr>
          <w:rFonts w:hint="eastAsia" w:ascii="Times New Roman" w:hAnsi="Times New Roman" w:eastAsia="方正黑体_GBK" w:cs="仿宋_GB2312"/>
          <w:sz w:val="32"/>
        </w:rPr>
        <w:t>四</w:t>
      </w:r>
      <w:r>
        <w:rPr>
          <w:rFonts w:ascii="Times New Roman" w:hAnsi="Times New Roman" w:eastAsia="方正黑体_GBK" w:cs="仿宋_GB2312"/>
          <w:sz w:val="32"/>
        </w:rPr>
        <w:t>、</w:t>
      </w:r>
      <w:r>
        <w:rPr>
          <w:rFonts w:hint="eastAsia" w:ascii="Times New Roman" w:hAnsi="Times New Roman" w:eastAsia="方正黑体_GBK" w:cs="仿宋_GB2312"/>
          <w:sz w:val="32"/>
        </w:rPr>
        <w:t>“三公”经费情况说明</w:t>
      </w:r>
    </w:p>
    <w:p>
      <w:pPr>
        <w:spacing w:line="600" w:lineRule="exact"/>
        <w:ind w:firstLine="600"/>
        <w:rPr>
          <w:rFonts w:hint="eastAsia" w:ascii="Times New Roman" w:hAnsi="Times New Roman" w:eastAsia="方正仿宋_GBK" w:cs="仿宋_GB2312"/>
          <w:sz w:val="32"/>
          <w:lang w:eastAsia="zh-CN"/>
        </w:rPr>
      </w:pPr>
      <w:r>
        <w:rPr>
          <w:rFonts w:hint="eastAsia" w:ascii="Times New Roman" w:hAnsi="Times New Roman" w:eastAsia="方正仿宋_GBK" w:cs="仿宋_GB2312"/>
          <w:sz w:val="32"/>
          <w:lang w:eastAsia="zh-CN"/>
        </w:rPr>
        <w:t>我单位2024</w:t>
      </w:r>
      <w:r>
        <w:rPr>
          <w:rFonts w:hint="eastAsia" w:ascii="Times New Roman" w:hAnsi="Times New Roman" w:eastAsia="方正仿宋_GBK" w:cs="仿宋_GB2312"/>
          <w:sz w:val="32"/>
        </w:rPr>
        <w:t>年</w:t>
      </w:r>
      <w:r>
        <w:rPr>
          <w:rFonts w:hint="eastAsia" w:ascii="Times New Roman" w:hAnsi="Times New Roman" w:eastAsia="方正仿宋_GBK" w:cs="仿宋_GB2312"/>
          <w:sz w:val="32"/>
          <w:lang w:eastAsia="zh-CN"/>
        </w:rPr>
        <w:t>无使用</w:t>
      </w:r>
      <w:r>
        <w:rPr>
          <w:rFonts w:hint="eastAsia" w:ascii="Times New Roman" w:hAnsi="Times New Roman" w:eastAsia="方正仿宋_GBK" w:cs="仿宋_GB2312"/>
          <w:sz w:val="32"/>
        </w:rPr>
        <w:t>“三公”经费</w:t>
      </w:r>
      <w:r>
        <w:rPr>
          <w:rFonts w:hint="eastAsia" w:ascii="Times New Roman" w:hAnsi="Times New Roman" w:eastAsia="方正仿宋_GBK" w:cs="仿宋_GB2312"/>
          <w:sz w:val="32"/>
          <w:lang w:eastAsia="zh-CN"/>
        </w:rPr>
        <w:t>安排的支出。</w:t>
      </w:r>
    </w:p>
    <w:p>
      <w:pPr>
        <w:spacing w:line="600" w:lineRule="exact"/>
        <w:ind w:firstLine="640" w:firstLineChars="200"/>
        <w:rPr>
          <w:rFonts w:hint="eastAsia" w:ascii="Times New Roman" w:hAnsi="Times New Roman" w:eastAsia="方正黑体_GBK" w:cs="仿宋_GB2312"/>
          <w:sz w:val="32"/>
        </w:rPr>
      </w:pPr>
      <w:r>
        <w:rPr>
          <w:rFonts w:hint="eastAsia" w:ascii="Times New Roman" w:hAnsi="Times New Roman" w:eastAsia="方正黑体_GBK" w:cs="仿宋_GB2312"/>
          <w:sz w:val="32"/>
        </w:rPr>
        <w:t>五、其他重要事项的情况说明</w:t>
      </w:r>
    </w:p>
    <w:p>
      <w:pPr>
        <w:ind w:firstLine="640" w:firstLineChars="200"/>
        <w:rPr>
          <w:rFonts w:hint="eastAsia" w:ascii="Times New Roman" w:hAnsi="Times New Roman" w:eastAsia="方正仿宋_GBK" w:cs="仿宋_GB2312"/>
          <w:sz w:val="32"/>
          <w:lang w:eastAsia="zh-CN"/>
        </w:rPr>
      </w:pPr>
      <w:r>
        <w:rPr>
          <w:rFonts w:hint="eastAsia" w:ascii="方正楷体_GBK" w:hAnsi="方正楷体_GBK" w:eastAsia="方正楷体_GBK" w:cs="方正楷体_GBK"/>
          <w:sz w:val="32"/>
        </w:rPr>
        <w:t>（一）机关运行经费</w:t>
      </w:r>
      <w:r>
        <w:rPr>
          <w:rFonts w:hint="eastAsia" w:ascii="Times New Roman" w:hAnsi="Times New Roman" w:eastAsia="方正仿宋_GBK" w:cs="仿宋_GB2312"/>
          <w:sz w:val="32"/>
        </w:rPr>
        <w:t>。我单位不在机关运行经费统计范围之内</w:t>
      </w:r>
      <w:r>
        <w:rPr>
          <w:rFonts w:hint="eastAsia" w:ascii="Times New Roman" w:hAnsi="Times New Roman" w:eastAsia="方正仿宋_GBK" w:cs="仿宋_GB2312"/>
          <w:sz w:val="32"/>
          <w:lang w:eastAsia="zh-CN"/>
        </w:rPr>
        <w:t>，但</w:t>
      </w:r>
      <w:r>
        <w:rPr>
          <w:rFonts w:hint="eastAsia" w:ascii="Times New Roman" w:hAnsi="Times New Roman" w:eastAsia="方正仿宋_GBK" w:cs="仿宋_GB2312"/>
          <w:sz w:val="32"/>
        </w:rPr>
        <w:t>因在预算时对农业服务中心的遗属生活补助项目进行入库时支出功能分类</w:t>
      </w:r>
      <w:r>
        <w:rPr>
          <w:rFonts w:hint="eastAsia" w:ascii="Times New Roman" w:hAnsi="Times New Roman" w:eastAsia="方正仿宋_GBK" w:cs="仿宋_GB2312"/>
          <w:sz w:val="32"/>
          <w:lang w:eastAsia="zh-CN"/>
        </w:rPr>
        <w:t>选在了“行政运行”</w:t>
      </w:r>
      <w:r>
        <w:rPr>
          <w:rFonts w:hint="eastAsia" w:ascii="Times New Roman" w:hAnsi="Times New Roman" w:eastAsia="方正仿宋_GBK" w:cs="仿宋_GB2312"/>
          <w:sz w:val="32"/>
        </w:rPr>
        <w:t>，故有11.00万元</w:t>
      </w:r>
      <w:r>
        <w:rPr>
          <w:rFonts w:hint="eastAsia" w:ascii="Times New Roman" w:hAnsi="Times New Roman" w:eastAsia="方正仿宋_GBK" w:cs="仿宋_GB2312"/>
          <w:sz w:val="32"/>
          <w:lang w:eastAsia="zh-CN"/>
        </w:rPr>
        <w:t>的机关运行经费</w:t>
      </w:r>
      <w:r>
        <w:rPr>
          <w:rFonts w:hint="eastAsia" w:ascii="Times New Roman" w:hAnsi="Times New Roman" w:eastAsia="方正仿宋_GBK" w:cs="仿宋_GB2312"/>
          <w:sz w:val="32"/>
        </w:rPr>
        <w:t>在农业服务中心预算中体现11.00万元</w:t>
      </w:r>
      <w:r>
        <w:rPr>
          <w:rFonts w:hint="eastAsia" w:ascii="Times New Roman" w:hAnsi="Times New Roman" w:eastAsia="方正仿宋_GBK" w:cs="仿宋_GB2312"/>
          <w:sz w:val="32"/>
          <w:lang w:eastAsia="zh-CN"/>
        </w:rPr>
        <w:t>。</w:t>
      </w:r>
    </w:p>
    <w:p>
      <w:pPr>
        <w:ind w:firstLine="640" w:firstLineChars="200"/>
        <w:rPr>
          <w:rFonts w:hint="eastAsia" w:ascii="Times New Roman" w:hAnsi="Times New Roman" w:eastAsia="方正仿宋_GBK" w:cs="仿宋_GB2312"/>
          <w:sz w:val="32"/>
          <w:lang w:eastAsia="zh-CN"/>
        </w:rPr>
      </w:pPr>
      <w:r>
        <w:rPr>
          <w:rFonts w:hint="eastAsia" w:ascii="方正楷体_GBK" w:hAnsi="方正楷体_GBK" w:eastAsia="方正楷体_GBK" w:cs="方正楷体_GBK"/>
          <w:sz w:val="32"/>
        </w:rPr>
        <w:t>（二）政府采购情况</w:t>
      </w:r>
      <w:r>
        <w:rPr>
          <w:rFonts w:hint="eastAsia" w:ascii="Times New Roman" w:hAnsi="Times New Roman" w:eastAsia="方正仿宋_GBK" w:cs="仿宋_GB2312"/>
          <w:sz w:val="32"/>
        </w:rPr>
        <w:t>。</w:t>
      </w:r>
      <w:r>
        <w:rPr>
          <w:rFonts w:hint="eastAsia" w:ascii="Times New Roman" w:hAnsi="Times New Roman" w:eastAsia="方正仿宋_GBK" w:cs="仿宋_GB2312"/>
          <w:sz w:val="32"/>
          <w:lang w:eastAsia="zh-CN"/>
        </w:rPr>
        <w:t>我</w:t>
      </w:r>
      <w:r>
        <w:rPr>
          <w:rFonts w:hint="eastAsia" w:ascii="Times New Roman" w:hAnsi="Times New Roman" w:eastAsia="方正仿宋_GBK" w:cs="仿宋_GB2312"/>
          <w:sz w:val="32"/>
        </w:rPr>
        <w:t>单位</w:t>
      </w:r>
      <w:r>
        <w:rPr>
          <w:rFonts w:hint="eastAsia" w:ascii="Times New Roman" w:hAnsi="Times New Roman" w:eastAsia="方正仿宋_GBK" w:cs="仿宋_GB2312"/>
          <w:sz w:val="32"/>
          <w:lang w:eastAsia="zh-CN"/>
        </w:rPr>
        <w:t>无</w:t>
      </w:r>
      <w:r>
        <w:rPr>
          <w:rFonts w:hint="eastAsia" w:ascii="Times New Roman" w:hAnsi="Times New Roman" w:eastAsia="方正仿宋_GBK" w:cs="仿宋_GB2312"/>
          <w:sz w:val="32"/>
        </w:rPr>
        <w:t>政府采购预算</w:t>
      </w:r>
      <w:r>
        <w:rPr>
          <w:rFonts w:hint="eastAsia" w:ascii="Times New Roman" w:hAnsi="Times New Roman" w:eastAsia="方正仿宋_GBK" w:cs="仿宋_GB2312"/>
          <w:sz w:val="32"/>
          <w:lang w:eastAsia="zh-CN"/>
        </w:rPr>
        <w:t>。</w:t>
      </w:r>
    </w:p>
    <w:p>
      <w:pPr>
        <w:ind w:firstLine="640" w:firstLineChars="200"/>
        <w:rPr>
          <w:rFonts w:hint="eastAsia" w:ascii="Times New Roman" w:hAnsi="Times New Roman" w:eastAsia="方正仿宋_GBK" w:cs="仿宋_GB2312"/>
          <w:color w:val="000000"/>
          <w:sz w:val="32"/>
        </w:rPr>
      </w:pPr>
      <w:r>
        <w:rPr>
          <w:rFonts w:hint="eastAsia" w:ascii="方正楷体_GBK" w:hAnsi="方正楷体_GBK" w:eastAsia="方正楷体_GBK" w:cs="方正楷体_GBK"/>
          <w:sz w:val="32"/>
        </w:rPr>
        <w:t>（三）绩效目标设置情况</w:t>
      </w:r>
      <w:r>
        <w:rPr>
          <w:rFonts w:hint="eastAsia" w:ascii="Times New Roman" w:hAnsi="Times New Roman" w:eastAsia="方正仿宋_GBK" w:cs="仿宋_GB2312"/>
          <w:sz w:val="32"/>
        </w:rPr>
        <w:t>。</w:t>
      </w:r>
      <w:r>
        <w:rPr>
          <w:rFonts w:hint="eastAsia" w:ascii="Times New Roman" w:hAnsi="Times New Roman" w:eastAsia="方正仿宋_GBK" w:cs="仿宋_GB2312"/>
          <w:sz w:val="32"/>
          <w:lang w:eastAsia="zh-CN"/>
        </w:rPr>
        <w:t>我单位无使用</w:t>
      </w:r>
      <w:r>
        <w:rPr>
          <w:rFonts w:hint="eastAsia" w:ascii="Times New Roman" w:hAnsi="Times New Roman" w:eastAsia="方正仿宋_GBK" w:cs="仿宋_GB2312"/>
          <w:color w:val="000000"/>
          <w:sz w:val="32"/>
          <w:lang w:eastAsia="zh-CN"/>
        </w:rPr>
        <w:t>2024</w:t>
      </w:r>
      <w:r>
        <w:rPr>
          <w:rFonts w:hint="eastAsia" w:ascii="Times New Roman" w:hAnsi="Times New Roman" w:eastAsia="方正仿宋_GBK" w:cs="仿宋_GB2312"/>
          <w:color w:val="000000"/>
          <w:sz w:val="32"/>
        </w:rPr>
        <w:t>年项目支出</w:t>
      </w:r>
      <w:r>
        <w:rPr>
          <w:rFonts w:hint="eastAsia" w:ascii="Times New Roman" w:hAnsi="Times New Roman" w:eastAsia="方正仿宋_GBK" w:cs="仿宋_GB2312"/>
          <w:color w:val="000000"/>
          <w:sz w:val="32"/>
          <w:lang w:eastAsia="zh-CN"/>
        </w:rPr>
        <w:t>预算</w:t>
      </w:r>
      <w:r>
        <w:rPr>
          <w:rFonts w:hint="eastAsia" w:ascii="Times New Roman" w:hAnsi="Times New Roman" w:eastAsia="方正仿宋_GBK" w:cs="仿宋_GB2312"/>
          <w:color w:val="000000"/>
          <w:sz w:val="32"/>
        </w:rPr>
        <w:t>。</w:t>
      </w:r>
    </w:p>
    <w:p>
      <w:pPr>
        <w:ind w:firstLine="640" w:firstLineChars="200"/>
        <w:rPr>
          <w:rFonts w:hint="eastAsia" w:ascii="Times New Roman" w:hAnsi="Times New Roman" w:eastAsia="方正仿宋_GBK" w:cs="仿宋_GB2312"/>
          <w:color w:val="000000"/>
          <w:sz w:val="32"/>
        </w:rPr>
      </w:pPr>
      <w:r>
        <w:rPr>
          <w:rFonts w:hint="eastAsia" w:ascii="方正楷体_GBK" w:hAnsi="方正楷体_GBK" w:eastAsia="方正楷体_GBK" w:cs="方正楷体_GBK"/>
          <w:sz w:val="32"/>
        </w:rPr>
        <w:t>（四）国有资产占有使用情况</w:t>
      </w:r>
      <w:r>
        <w:rPr>
          <w:rFonts w:hint="eastAsia" w:ascii="Times New Roman" w:hAnsi="Times New Roman" w:eastAsia="方正仿宋_GBK" w:cs="仿宋_GB2312"/>
          <w:color w:val="000000"/>
          <w:sz w:val="32"/>
        </w:rPr>
        <w:t>。我单位</w:t>
      </w:r>
      <w:r>
        <w:rPr>
          <w:rFonts w:hint="eastAsia" w:ascii="Times New Roman" w:hAnsi="Times New Roman" w:eastAsia="方正仿宋_GBK" w:cs="仿宋_GB2312"/>
          <w:color w:val="000000"/>
          <w:sz w:val="32"/>
          <w:lang w:eastAsia="zh-CN"/>
        </w:rPr>
        <w:t>无国有资产占有使用情况。</w:t>
      </w:r>
    </w:p>
    <w:p>
      <w:pPr>
        <w:spacing w:line="600" w:lineRule="exact"/>
        <w:ind w:firstLine="640" w:firstLineChars="200"/>
        <w:rPr>
          <w:rFonts w:hint="eastAsia" w:ascii="Times New Roman" w:hAnsi="Times New Roman" w:eastAsia="方正黑体_GBK" w:cs="仿宋_GB2312"/>
          <w:sz w:val="32"/>
        </w:rPr>
      </w:pPr>
      <w:r>
        <w:rPr>
          <w:rFonts w:hint="eastAsia" w:ascii="Times New Roman" w:hAnsi="Times New Roman" w:eastAsia="方正黑体_GBK" w:cs="仿宋_GB2312"/>
          <w:sz w:val="32"/>
        </w:rPr>
        <w:t>六</w:t>
      </w:r>
      <w:r>
        <w:rPr>
          <w:rFonts w:ascii="Times New Roman" w:hAnsi="Times New Roman" w:eastAsia="方正黑体_GBK" w:cs="仿宋_GB2312"/>
          <w:sz w:val="32"/>
        </w:rPr>
        <w:t>、</w:t>
      </w:r>
      <w:r>
        <w:rPr>
          <w:rFonts w:hint="eastAsia" w:ascii="Times New Roman" w:hAnsi="Times New Roman" w:eastAsia="方正黑体_GBK" w:cs="仿宋_GB2312"/>
          <w:sz w:val="32"/>
        </w:rPr>
        <w:t>专业性名词解释</w:t>
      </w:r>
    </w:p>
    <w:p>
      <w:pPr>
        <w:pStyle w:val="14"/>
        <w:tabs>
          <w:tab w:val="center" w:pos="4153"/>
          <w:tab w:val="left" w:pos="7275"/>
        </w:tabs>
        <w:spacing w:line="600" w:lineRule="exact"/>
        <w:ind w:firstLine="640"/>
        <w:jc w:val="left"/>
        <w:rPr>
          <w:rFonts w:hint="eastAsia" w:ascii="Times New Roman" w:hAnsi="Times New Roman" w:eastAsia="方正仿宋_GBK"/>
          <w:sz w:val="32"/>
          <w:szCs w:val="32"/>
        </w:rPr>
      </w:pPr>
      <w:r>
        <w:rPr>
          <w:rFonts w:hint="eastAsia" w:ascii="方正楷体_GBK" w:hAnsi="方正楷体_GBK" w:eastAsia="方正楷体_GBK" w:cs="方正楷体_GBK"/>
          <w:kern w:val="2"/>
          <w:sz w:val="32"/>
          <w:szCs w:val="22"/>
          <w:lang w:val="en-US" w:eastAsia="zh-CN" w:bidi="ar-SA"/>
        </w:rPr>
        <w:t>（一）财政拨款收入</w:t>
      </w:r>
      <w:r>
        <w:rPr>
          <w:rFonts w:hint="eastAsia" w:ascii="Times New Roman" w:hAnsi="Times New Roman" w:eastAsia="方正仿宋_GBK"/>
          <w:sz w:val="32"/>
          <w:szCs w:val="32"/>
        </w:rPr>
        <w:t>：指本年度从本级财政部门取得的财政拨款，包括一般公共预算财政拨款和政府性基金预算财政拨款。</w:t>
      </w:r>
    </w:p>
    <w:p>
      <w:pPr>
        <w:pStyle w:val="14"/>
        <w:tabs>
          <w:tab w:val="center" w:pos="4153"/>
          <w:tab w:val="left" w:pos="7275"/>
        </w:tabs>
        <w:spacing w:line="600" w:lineRule="exact"/>
        <w:ind w:firstLine="640"/>
        <w:jc w:val="left"/>
        <w:rPr>
          <w:rFonts w:hint="eastAsia" w:ascii="Times New Roman" w:hAnsi="Times New Roman" w:eastAsia="方正仿宋_GBK"/>
          <w:sz w:val="32"/>
          <w:szCs w:val="32"/>
        </w:rPr>
      </w:pPr>
      <w:r>
        <w:rPr>
          <w:rFonts w:hint="eastAsia" w:ascii="方正楷体_GBK" w:hAnsi="方正楷体_GBK" w:eastAsia="方正楷体_GBK" w:cs="方正楷体_GBK"/>
          <w:kern w:val="2"/>
          <w:sz w:val="32"/>
          <w:szCs w:val="22"/>
          <w:lang w:val="en-US" w:eastAsia="zh-CN" w:bidi="ar-SA"/>
        </w:rPr>
        <w:t>（二）其他收入</w:t>
      </w:r>
      <w:r>
        <w:rPr>
          <w:rFonts w:hint="eastAsia" w:ascii="Times New Roman" w:hAnsi="Times New Roman" w:eastAsia="方正仿宋_GBK"/>
          <w:sz w:val="32"/>
          <w:szCs w:val="32"/>
        </w:rPr>
        <w:t>：指单位取得的除“财政拨款收入”、“事业收入”、“经营收入”等以外的收入。</w:t>
      </w:r>
    </w:p>
    <w:p>
      <w:pPr>
        <w:pStyle w:val="14"/>
        <w:tabs>
          <w:tab w:val="center" w:pos="4153"/>
          <w:tab w:val="left" w:pos="7275"/>
        </w:tabs>
        <w:spacing w:line="600" w:lineRule="exact"/>
        <w:ind w:firstLine="640"/>
        <w:jc w:val="left"/>
        <w:rPr>
          <w:rFonts w:hint="eastAsia" w:ascii="Times New Roman" w:hAnsi="Times New Roman" w:eastAsia="方正仿宋_GBK"/>
          <w:sz w:val="32"/>
          <w:szCs w:val="32"/>
        </w:rPr>
      </w:pPr>
      <w:r>
        <w:rPr>
          <w:rFonts w:hint="eastAsia" w:ascii="方正楷体_GBK" w:hAnsi="方正楷体_GBK" w:eastAsia="方正楷体_GBK" w:cs="方正楷体_GBK"/>
          <w:kern w:val="2"/>
          <w:sz w:val="32"/>
          <w:szCs w:val="22"/>
          <w:lang w:val="en-US" w:eastAsia="zh-CN" w:bidi="ar-SA"/>
        </w:rPr>
        <w:t>（三）基本支出</w:t>
      </w:r>
      <w:r>
        <w:rPr>
          <w:rFonts w:hint="eastAsia" w:ascii="Times New Roman" w:hAnsi="Times New Roman" w:eastAsia="方正仿宋_GBK"/>
          <w:sz w:val="32"/>
          <w:szCs w:val="32"/>
        </w:rPr>
        <w:t>：指为保障机构正常运转、完成日常工作任务而发生的人员经费和公用经费。</w:t>
      </w:r>
    </w:p>
    <w:p>
      <w:pPr>
        <w:pStyle w:val="14"/>
        <w:tabs>
          <w:tab w:val="center" w:pos="4153"/>
          <w:tab w:val="left" w:pos="7275"/>
        </w:tabs>
        <w:spacing w:line="600" w:lineRule="exact"/>
        <w:ind w:firstLine="640"/>
        <w:jc w:val="left"/>
        <w:rPr>
          <w:rFonts w:hint="eastAsia" w:ascii="Times New Roman" w:hAnsi="Times New Roman" w:eastAsia="方正仿宋_GBK"/>
          <w:sz w:val="32"/>
          <w:szCs w:val="32"/>
        </w:rPr>
      </w:pPr>
      <w:r>
        <w:rPr>
          <w:rFonts w:hint="eastAsia" w:ascii="方正楷体_GBK" w:hAnsi="方正楷体_GBK" w:eastAsia="方正楷体_GBK" w:cs="方正楷体_GBK"/>
          <w:kern w:val="2"/>
          <w:sz w:val="32"/>
          <w:szCs w:val="22"/>
          <w:lang w:val="en-US" w:eastAsia="zh-CN" w:bidi="ar-SA"/>
        </w:rPr>
        <w:t>（四）项目支出</w:t>
      </w:r>
      <w:r>
        <w:rPr>
          <w:rFonts w:hint="eastAsia" w:ascii="Times New Roman" w:hAnsi="Times New Roman" w:eastAsia="方正仿宋_GBK"/>
          <w:sz w:val="32"/>
          <w:szCs w:val="32"/>
        </w:rPr>
        <w:t>：指在基本支出之外为完成特定行政任务和事业发展目标所发生的支出。</w:t>
      </w:r>
    </w:p>
    <w:p>
      <w:pPr>
        <w:ind w:firstLine="640" w:firstLineChars="200"/>
        <w:rPr>
          <w:rFonts w:hint="eastAsia" w:ascii="Times New Roman" w:hAnsi="Times New Roman" w:eastAsia="方正仿宋_GBK"/>
          <w:sz w:val="32"/>
          <w:szCs w:val="32"/>
        </w:rPr>
      </w:pPr>
      <w:r>
        <w:rPr>
          <w:rFonts w:hint="eastAsia" w:ascii="方正楷体_GBK" w:hAnsi="方正楷体_GBK" w:eastAsia="方正楷体_GBK" w:cs="方正楷体_GBK"/>
          <w:sz w:val="32"/>
        </w:rPr>
        <w:t>（五）“三公”经费</w:t>
      </w:r>
      <w:r>
        <w:rPr>
          <w:rFonts w:hint="eastAsia" w:ascii="Times New Roman" w:hAnsi="Times New Roman" w:eastAsia="方正仿宋_GBK"/>
          <w:sz w:val="32"/>
          <w:szCs w:val="32"/>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spacing w:line="578" w:lineRule="exact"/>
        <w:ind w:firstLine="640" w:firstLineChars="200"/>
        <w:rPr>
          <w:rFonts w:hint="eastAsia" w:ascii="Times New Roman" w:hAnsi="Times New Roman" w:eastAsia="方正仿宋_GBK"/>
          <w:sz w:val="32"/>
          <w:lang w:val="en-US" w:eastAsia="zh-CN"/>
        </w:rPr>
      </w:pPr>
      <w:r>
        <w:rPr>
          <w:rFonts w:hint="eastAsia" w:ascii="Times New Roman" w:hAnsi="Times New Roman" w:eastAsia="方正仿宋_GBK"/>
          <w:sz w:val="32"/>
          <w:lang w:eastAsia="zh-CN"/>
        </w:rPr>
        <w:t>附件：</w:t>
      </w:r>
      <w:r>
        <w:rPr>
          <w:rFonts w:hint="eastAsia" w:ascii="Times New Roman" w:hAnsi="Times New Roman" w:eastAsia="方正仿宋_GBK"/>
          <w:sz w:val="32"/>
          <w:lang w:val="en-US" w:eastAsia="zh-CN"/>
        </w:rPr>
        <w:t>1.重庆市万州区武陵镇农业服务中心2024年单位预算情况说明</w:t>
      </w:r>
    </w:p>
    <w:p>
      <w:pPr>
        <w:spacing w:line="578" w:lineRule="exact"/>
        <w:ind w:firstLine="1600" w:firstLineChars="500"/>
        <w:rPr>
          <w:rFonts w:hint="eastAsia" w:ascii="Times New Roman" w:hAnsi="Times New Roman" w:eastAsia="方正仿宋_GBK"/>
          <w:sz w:val="32"/>
          <w:szCs w:val="32"/>
        </w:rPr>
      </w:pPr>
      <w:r>
        <w:rPr>
          <w:rFonts w:hint="eastAsia" w:ascii="Times New Roman" w:hAnsi="Times New Roman" w:eastAsia="方正仿宋_GBK"/>
          <w:sz w:val="32"/>
          <w:lang w:val="en-US" w:eastAsia="zh-CN"/>
        </w:rPr>
        <w:t>2.重庆市万州区武陵镇农业服务中心2024年单位预算附表</w:t>
      </w:r>
      <w:bookmarkStart w:id="0" w:name="_GoBack"/>
      <w:bookmarkEnd w:id="0"/>
    </w:p>
    <w:p>
      <w:pPr>
        <w:ind w:firstLine="643" w:firstLineChars="200"/>
        <w:rPr>
          <w:rFonts w:hint="eastAsia" w:ascii="Times New Roman" w:hAnsi="Times New Roman" w:eastAsia="方正仿宋_GBK" w:cs="仿宋_GB2312"/>
          <w:b/>
          <w:sz w:val="32"/>
        </w:rPr>
      </w:pPr>
      <w:r>
        <w:rPr>
          <w:rFonts w:hint="eastAsia" w:ascii="Times New Roman" w:hAnsi="Times New Roman" w:eastAsia="方正仿宋_GBK" w:cs="仿宋_GB2312"/>
          <w:b/>
          <w:sz w:val="32"/>
        </w:rPr>
        <w:t>单位预算公开联系人：</w:t>
      </w:r>
      <w:r>
        <w:rPr>
          <w:rFonts w:hint="eastAsia" w:ascii="Times New Roman" w:hAnsi="Times New Roman" w:eastAsia="方正仿宋_GBK"/>
          <w:b/>
          <w:sz w:val="32"/>
          <w:lang w:eastAsia="zh-CN"/>
        </w:rPr>
        <w:t>唐正碧</w:t>
      </w:r>
      <w:r>
        <w:rPr>
          <w:rFonts w:hint="eastAsia" w:ascii="Times New Roman" w:hAnsi="Times New Roman" w:eastAsia="方正仿宋_GBK" w:cs="仿宋_GB2312"/>
          <w:b/>
          <w:sz w:val="32"/>
        </w:rPr>
        <w:t xml:space="preserve">  联系方式：</w:t>
      </w:r>
      <w:r>
        <w:rPr>
          <w:rFonts w:hint="eastAsia" w:ascii="Times New Roman" w:hAnsi="Times New Roman" w:eastAsia="方正仿宋_GBK"/>
          <w:b/>
          <w:sz w:val="32"/>
        </w:rPr>
        <w:t>023-</w:t>
      </w:r>
      <w:r>
        <w:rPr>
          <w:rFonts w:hint="eastAsia" w:ascii="Times New Roman" w:hAnsi="Times New Roman" w:eastAsia="方正仿宋_GBK"/>
          <w:b/>
          <w:sz w:val="32"/>
          <w:lang w:val="en-US" w:eastAsia="zh-CN"/>
        </w:rPr>
        <w:t>58743101</w:t>
      </w:r>
      <w:r>
        <w:rPr>
          <w:rFonts w:hint="eastAsia" w:ascii="Times New Roman" w:hAnsi="Times New Roman" w:eastAsia="方正仿宋_GBK"/>
          <w:b/>
          <w:sz w:val="32"/>
        </w:rPr>
        <w:t xml:space="preserve">  </w:t>
      </w:r>
    </w:p>
    <w:p>
      <w:pPr>
        <w:ind w:firstLine="643" w:firstLineChars="200"/>
        <w:rPr>
          <w:rFonts w:hint="eastAsia" w:ascii="Times New Roman" w:hAnsi="Times New Roman" w:eastAsia="方正仿宋_GBK" w:cs="仿宋_GB2312"/>
          <w:b/>
          <w:sz w:val="32"/>
        </w:rPr>
      </w:pPr>
    </w:p>
    <w:sectPr>
      <w:footerReference r:id="rId3" w:type="default"/>
      <w:footerReference r:id="rId4" w:type="even"/>
      <w:pgSz w:w="16838" w:h="11906" w:orient="landscape"/>
      <w:pgMar w:top="1440" w:right="1080" w:bottom="1440" w:left="1080" w:header="851" w:footer="147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黑体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Times New Roman" w:hAnsi="Times New Roman" w:eastAsia="方正楷体_GBK"/>
        <w:sz w:val="28"/>
      </w:rPr>
    </w:pPr>
    <w:r>
      <w:rPr>
        <w:rStyle w:val="9"/>
        <w:rFonts w:ascii="Times New Roman" w:hAnsi="Times New Roman" w:eastAsia="方正楷体_GBK"/>
        <w:sz w:val="28"/>
      </w:rPr>
      <w:t>―</w:t>
    </w:r>
    <w:r>
      <w:rPr>
        <w:rFonts w:ascii="Times New Roman" w:hAnsi="Times New Roman" w:eastAsia="方正楷体_GBK"/>
        <w:kern w:val="0"/>
        <w:sz w:val="28"/>
      </w:rPr>
      <w:t xml:space="preserve"> </w:t>
    </w:r>
    <w:r>
      <w:rPr>
        <w:rFonts w:ascii="Times New Roman" w:hAnsi="Times New Roman" w:eastAsia="方正楷体_GBK"/>
        <w:kern w:val="0"/>
        <w:sz w:val="28"/>
      </w:rPr>
      <w:fldChar w:fldCharType="begin"/>
    </w:r>
    <w:r>
      <w:rPr>
        <w:rFonts w:ascii="Times New Roman" w:hAnsi="Times New Roman" w:eastAsia="方正楷体_GBK"/>
        <w:kern w:val="0"/>
        <w:sz w:val="28"/>
      </w:rPr>
      <w:instrText xml:space="preserve"> PAGE </w:instrText>
    </w:r>
    <w:r>
      <w:rPr>
        <w:rFonts w:ascii="Times New Roman" w:hAnsi="Times New Roman" w:eastAsia="方正楷体_GBK"/>
        <w:kern w:val="0"/>
        <w:sz w:val="28"/>
      </w:rPr>
      <w:fldChar w:fldCharType="separate"/>
    </w:r>
    <w:r>
      <w:rPr>
        <w:rFonts w:ascii="Times New Roman" w:hAnsi="Times New Roman" w:eastAsia="方正楷体_GBK"/>
        <w:kern w:val="0"/>
        <w:sz w:val="28"/>
      </w:rPr>
      <w:t>1</w:t>
    </w:r>
    <w:r>
      <w:rPr>
        <w:rFonts w:ascii="Times New Roman" w:hAnsi="Times New Roman" w:eastAsia="方正楷体_GBK"/>
        <w:kern w:val="0"/>
        <w:sz w:val="28"/>
      </w:rPr>
      <w:fldChar w:fldCharType="end"/>
    </w:r>
    <w:r>
      <w:rPr>
        <w:rFonts w:ascii="Times New Roman" w:hAnsi="Times New Roman" w:eastAsia="方正楷体_GBK"/>
        <w:kern w:val="0"/>
        <w:sz w:val="28"/>
      </w:rPr>
      <w:t xml:space="preserve"> </w:t>
    </w:r>
    <w:r>
      <w:rPr>
        <w:rStyle w:val="9"/>
        <w:rFonts w:ascii="Times New Roman" w:hAnsi="Times New Roman" w:eastAsia="方正楷体_GBK"/>
        <w:sz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rPr>
        <w:rFonts w:ascii="Times New Roman" w:hAnsi="Times New Roman" w:eastAsia="方正楷体_GBK"/>
        <w:sz w:val="28"/>
      </w:rPr>
    </w:pPr>
    <w:r>
      <w:rPr>
        <w:rStyle w:val="9"/>
        <w:rFonts w:ascii="Times New Roman" w:hAnsi="Times New Roman" w:eastAsia="方正楷体_GBK"/>
        <w:sz w:val="28"/>
      </w:rPr>
      <w:t>―</w:t>
    </w:r>
    <w:r>
      <w:rPr>
        <w:rFonts w:ascii="Times New Roman" w:hAnsi="Times New Roman" w:eastAsia="方正楷体_GBK"/>
        <w:kern w:val="0"/>
        <w:sz w:val="28"/>
      </w:rPr>
      <w:t xml:space="preserve"> </w:t>
    </w:r>
    <w:r>
      <w:rPr>
        <w:rFonts w:ascii="Times New Roman" w:hAnsi="Times New Roman" w:eastAsia="方正楷体_GBK"/>
        <w:kern w:val="0"/>
        <w:sz w:val="28"/>
      </w:rPr>
      <w:fldChar w:fldCharType="begin"/>
    </w:r>
    <w:r>
      <w:rPr>
        <w:rFonts w:ascii="Times New Roman" w:hAnsi="Times New Roman" w:eastAsia="方正楷体_GBK"/>
        <w:kern w:val="0"/>
        <w:sz w:val="28"/>
      </w:rPr>
      <w:instrText xml:space="preserve"> PAGE </w:instrText>
    </w:r>
    <w:r>
      <w:rPr>
        <w:rFonts w:ascii="Times New Roman" w:hAnsi="Times New Roman" w:eastAsia="方正楷体_GBK"/>
        <w:kern w:val="0"/>
        <w:sz w:val="28"/>
      </w:rPr>
      <w:fldChar w:fldCharType="separate"/>
    </w:r>
    <w:r>
      <w:rPr>
        <w:rFonts w:ascii="Times New Roman" w:hAnsi="Times New Roman" w:eastAsia="方正楷体_GBK"/>
        <w:kern w:val="0"/>
        <w:sz w:val="28"/>
      </w:rPr>
      <w:t>4</w:t>
    </w:r>
    <w:r>
      <w:rPr>
        <w:rFonts w:ascii="Times New Roman" w:hAnsi="Times New Roman" w:eastAsia="方正楷体_GBK"/>
        <w:kern w:val="0"/>
        <w:sz w:val="28"/>
      </w:rPr>
      <w:fldChar w:fldCharType="end"/>
    </w:r>
    <w:r>
      <w:rPr>
        <w:rFonts w:ascii="Times New Roman" w:hAnsi="Times New Roman" w:eastAsia="方正楷体_GBK"/>
        <w:kern w:val="0"/>
        <w:sz w:val="28"/>
      </w:rPr>
      <w:t xml:space="preserve"> </w:t>
    </w:r>
    <w:r>
      <w:rPr>
        <w:rStyle w:val="9"/>
        <w:rFonts w:ascii="Times New Roman" w:hAnsi="Times New Roman" w:eastAsia="方正楷体_GBK"/>
        <w:sz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RlYzM2MWEzN2ViMjU2MWUyODU3YjQyNjcxNTExYjYifQ=="/>
  </w:docVars>
  <w:rsids>
    <w:rsidRoot w:val="004F7D1D"/>
    <w:rsid w:val="00006FB1"/>
    <w:rsid w:val="0001271B"/>
    <w:rsid w:val="00023A4C"/>
    <w:rsid w:val="00042219"/>
    <w:rsid w:val="00047C7A"/>
    <w:rsid w:val="00053834"/>
    <w:rsid w:val="000551A4"/>
    <w:rsid w:val="000624D8"/>
    <w:rsid w:val="0007330D"/>
    <w:rsid w:val="00075914"/>
    <w:rsid w:val="0008570C"/>
    <w:rsid w:val="00091B93"/>
    <w:rsid w:val="00093301"/>
    <w:rsid w:val="00096685"/>
    <w:rsid w:val="000A60FC"/>
    <w:rsid w:val="000C3BC5"/>
    <w:rsid w:val="000C594E"/>
    <w:rsid w:val="000D2E8F"/>
    <w:rsid w:val="000D6437"/>
    <w:rsid w:val="000F1499"/>
    <w:rsid w:val="000F5707"/>
    <w:rsid w:val="0010264D"/>
    <w:rsid w:val="00106A76"/>
    <w:rsid w:val="00125C07"/>
    <w:rsid w:val="0014404E"/>
    <w:rsid w:val="001525DD"/>
    <w:rsid w:val="00161474"/>
    <w:rsid w:val="00165A74"/>
    <w:rsid w:val="00191ADC"/>
    <w:rsid w:val="001957F9"/>
    <w:rsid w:val="001C0A7C"/>
    <w:rsid w:val="001D0CAA"/>
    <w:rsid w:val="001D4937"/>
    <w:rsid w:val="001E1AED"/>
    <w:rsid w:val="001E31D9"/>
    <w:rsid w:val="00202E0A"/>
    <w:rsid w:val="002132E9"/>
    <w:rsid w:val="00213635"/>
    <w:rsid w:val="00226F1D"/>
    <w:rsid w:val="00242727"/>
    <w:rsid w:val="00246006"/>
    <w:rsid w:val="00246AA4"/>
    <w:rsid w:val="00252849"/>
    <w:rsid w:val="002605A5"/>
    <w:rsid w:val="0026529F"/>
    <w:rsid w:val="0027005A"/>
    <w:rsid w:val="002773F0"/>
    <w:rsid w:val="00280A93"/>
    <w:rsid w:val="00286440"/>
    <w:rsid w:val="002959B6"/>
    <w:rsid w:val="002B41F1"/>
    <w:rsid w:val="002C4122"/>
    <w:rsid w:val="002D2A88"/>
    <w:rsid w:val="002E46A9"/>
    <w:rsid w:val="0030024E"/>
    <w:rsid w:val="003019D9"/>
    <w:rsid w:val="00341606"/>
    <w:rsid w:val="00346387"/>
    <w:rsid w:val="0034700C"/>
    <w:rsid w:val="00357A28"/>
    <w:rsid w:val="00367516"/>
    <w:rsid w:val="00375FC9"/>
    <w:rsid w:val="00383298"/>
    <w:rsid w:val="003872D5"/>
    <w:rsid w:val="0039559F"/>
    <w:rsid w:val="003B11A5"/>
    <w:rsid w:val="003B33C4"/>
    <w:rsid w:val="003B36C2"/>
    <w:rsid w:val="003D14F0"/>
    <w:rsid w:val="003D7234"/>
    <w:rsid w:val="003D7504"/>
    <w:rsid w:val="003E4EB6"/>
    <w:rsid w:val="003F6450"/>
    <w:rsid w:val="00430B72"/>
    <w:rsid w:val="00437D88"/>
    <w:rsid w:val="004417DC"/>
    <w:rsid w:val="00445520"/>
    <w:rsid w:val="00462595"/>
    <w:rsid w:val="004756B4"/>
    <w:rsid w:val="00481BAA"/>
    <w:rsid w:val="0049017F"/>
    <w:rsid w:val="00492FB3"/>
    <w:rsid w:val="00496C6A"/>
    <w:rsid w:val="004B1650"/>
    <w:rsid w:val="004C42ED"/>
    <w:rsid w:val="004C60BD"/>
    <w:rsid w:val="004D1E02"/>
    <w:rsid w:val="004E592A"/>
    <w:rsid w:val="004E6E1A"/>
    <w:rsid w:val="004F1853"/>
    <w:rsid w:val="004F7D1D"/>
    <w:rsid w:val="00500B1D"/>
    <w:rsid w:val="00506DF4"/>
    <w:rsid w:val="00507823"/>
    <w:rsid w:val="005174B9"/>
    <w:rsid w:val="00536713"/>
    <w:rsid w:val="00543257"/>
    <w:rsid w:val="00572736"/>
    <w:rsid w:val="00580DDD"/>
    <w:rsid w:val="0058350C"/>
    <w:rsid w:val="00595C24"/>
    <w:rsid w:val="005A1227"/>
    <w:rsid w:val="005A4606"/>
    <w:rsid w:val="005A4AD7"/>
    <w:rsid w:val="005B0F11"/>
    <w:rsid w:val="005C3DD7"/>
    <w:rsid w:val="005E18A6"/>
    <w:rsid w:val="005F1960"/>
    <w:rsid w:val="006115F1"/>
    <w:rsid w:val="00620BCE"/>
    <w:rsid w:val="0066585E"/>
    <w:rsid w:val="006809FA"/>
    <w:rsid w:val="006C01C3"/>
    <w:rsid w:val="006D0C33"/>
    <w:rsid w:val="006D1609"/>
    <w:rsid w:val="006E0BEC"/>
    <w:rsid w:val="006E455F"/>
    <w:rsid w:val="006F7539"/>
    <w:rsid w:val="00714828"/>
    <w:rsid w:val="007158F8"/>
    <w:rsid w:val="0071734A"/>
    <w:rsid w:val="007252E3"/>
    <w:rsid w:val="00742C4D"/>
    <w:rsid w:val="007620B8"/>
    <w:rsid w:val="00762CF8"/>
    <w:rsid w:val="00765DF5"/>
    <w:rsid w:val="007713EB"/>
    <w:rsid w:val="00791CE4"/>
    <w:rsid w:val="007B10D4"/>
    <w:rsid w:val="007B22D6"/>
    <w:rsid w:val="007B5ACF"/>
    <w:rsid w:val="007B6182"/>
    <w:rsid w:val="007C4C9B"/>
    <w:rsid w:val="007D2AEA"/>
    <w:rsid w:val="007E0B4D"/>
    <w:rsid w:val="007E6A39"/>
    <w:rsid w:val="007F68E5"/>
    <w:rsid w:val="00801BFF"/>
    <w:rsid w:val="00803270"/>
    <w:rsid w:val="00805D05"/>
    <w:rsid w:val="00813B4F"/>
    <w:rsid w:val="00830BF3"/>
    <w:rsid w:val="00833B65"/>
    <w:rsid w:val="008560C6"/>
    <w:rsid w:val="00876439"/>
    <w:rsid w:val="00880920"/>
    <w:rsid w:val="00893BF5"/>
    <w:rsid w:val="008A13B7"/>
    <w:rsid w:val="008A622D"/>
    <w:rsid w:val="008D2570"/>
    <w:rsid w:val="008E3C27"/>
    <w:rsid w:val="008E5A19"/>
    <w:rsid w:val="008E7590"/>
    <w:rsid w:val="008F1CA6"/>
    <w:rsid w:val="008F731A"/>
    <w:rsid w:val="00905727"/>
    <w:rsid w:val="00914195"/>
    <w:rsid w:val="00926FE2"/>
    <w:rsid w:val="00933A24"/>
    <w:rsid w:val="00936EDC"/>
    <w:rsid w:val="00940465"/>
    <w:rsid w:val="00942ED0"/>
    <w:rsid w:val="0094655E"/>
    <w:rsid w:val="00946D33"/>
    <w:rsid w:val="009561D9"/>
    <w:rsid w:val="009653AE"/>
    <w:rsid w:val="00972AB0"/>
    <w:rsid w:val="00983001"/>
    <w:rsid w:val="0098712E"/>
    <w:rsid w:val="009B77D4"/>
    <w:rsid w:val="009E6734"/>
    <w:rsid w:val="009F01A9"/>
    <w:rsid w:val="00A05F72"/>
    <w:rsid w:val="00A07288"/>
    <w:rsid w:val="00A174AB"/>
    <w:rsid w:val="00A21DCD"/>
    <w:rsid w:val="00A33F5E"/>
    <w:rsid w:val="00A35F07"/>
    <w:rsid w:val="00A3721F"/>
    <w:rsid w:val="00A45A23"/>
    <w:rsid w:val="00A52D34"/>
    <w:rsid w:val="00A712EA"/>
    <w:rsid w:val="00A8020D"/>
    <w:rsid w:val="00A802E9"/>
    <w:rsid w:val="00A80B6C"/>
    <w:rsid w:val="00AA324B"/>
    <w:rsid w:val="00AB25DF"/>
    <w:rsid w:val="00AC6F85"/>
    <w:rsid w:val="00AE0A20"/>
    <w:rsid w:val="00AE4156"/>
    <w:rsid w:val="00B1352B"/>
    <w:rsid w:val="00B24FA7"/>
    <w:rsid w:val="00B257E3"/>
    <w:rsid w:val="00B54CE7"/>
    <w:rsid w:val="00B558CC"/>
    <w:rsid w:val="00B56688"/>
    <w:rsid w:val="00B65450"/>
    <w:rsid w:val="00B72347"/>
    <w:rsid w:val="00B86388"/>
    <w:rsid w:val="00BB3B39"/>
    <w:rsid w:val="00BC2C3D"/>
    <w:rsid w:val="00BD0BB9"/>
    <w:rsid w:val="00BD5FA5"/>
    <w:rsid w:val="00BE573E"/>
    <w:rsid w:val="00BF67E7"/>
    <w:rsid w:val="00C2696C"/>
    <w:rsid w:val="00C427D3"/>
    <w:rsid w:val="00C47446"/>
    <w:rsid w:val="00C5758E"/>
    <w:rsid w:val="00C601F9"/>
    <w:rsid w:val="00C7602D"/>
    <w:rsid w:val="00C827DC"/>
    <w:rsid w:val="00C95346"/>
    <w:rsid w:val="00CA4340"/>
    <w:rsid w:val="00CB0296"/>
    <w:rsid w:val="00CC4A96"/>
    <w:rsid w:val="00CD1C4A"/>
    <w:rsid w:val="00CE1014"/>
    <w:rsid w:val="00CF42ED"/>
    <w:rsid w:val="00D0143D"/>
    <w:rsid w:val="00D10AB7"/>
    <w:rsid w:val="00D160DD"/>
    <w:rsid w:val="00D21CDE"/>
    <w:rsid w:val="00D40ADE"/>
    <w:rsid w:val="00D411DD"/>
    <w:rsid w:val="00D46486"/>
    <w:rsid w:val="00D64C2C"/>
    <w:rsid w:val="00D66063"/>
    <w:rsid w:val="00D77D37"/>
    <w:rsid w:val="00D80BC2"/>
    <w:rsid w:val="00D8620E"/>
    <w:rsid w:val="00DA7788"/>
    <w:rsid w:val="00DA7FE6"/>
    <w:rsid w:val="00DB0EC5"/>
    <w:rsid w:val="00DB4539"/>
    <w:rsid w:val="00DE3685"/>
    <w:rsid w:val="00DE5805"/>
    <w:rsid w:val="00E00D68"/>
    <w:rsid w:val="00E01CEB"/>
    <w:rsid w:val="00E11FB2"/>
    <w:rsid w:val="00E275D0"/>
    <w:rsid w:val="00E40ED1"/>
    <w:rsid w:val="00E4747D"/>
    <w:rsid w:val="00E712B9"/>
    <w:rsid w:val="00E96899"/>
    <w:rsid w:val="00EC09E7"/>
    <w:rsid w:val="00EE21B6"/>
    <w:rsid w:val="00EF1B14"/>
    <w:rsid w:val="00EF782E"/>
    <w:rsid w:val="00EF7D6B"/>
    <w:rsid w:val="00F11A07"/>
    <w:rsid w:val="00F22254"/>
    <w:rsid w:val="00F258CE"/>
    <w:rsid w:val="00F46DD2"/>
    <w:rsid w:val="00F605C0"/>
    <w:rsid w:val="00F649FE"/>
    <w:rsid w:val="00F66710"/>
    <w:rsid w:val="00F84112"/>
    <w:rsid w:val="00F84AC6"/>
    <w:rsid w:val="00F86A3C"/>
    <w:rsid w:val="00F90464"/>
    <w:rsid w:val="00F9492F"/>
    <w:rsid w:val="00FC2169"/>
    <w:rsid w:val="00FC2267"/>
    <w:rsid w:val="00FE12C3"/>
    <w:rsid w:val="00FE28C5"/>
    <w:rsid w:val="00FF0B1F"/>
    <w:rsid w:val="00FF197F"/>
    <w:rsid w:val="031F70D8"/>
    <w:rsid w:val="0B1D1762"/>
    <w:rsid w:val="0BC45707"/>
    <w:rsid w:val="166443B1"/>
    <w:rsid w:val="16F70A49"/>
    <w:rsid w:val="18CC21E2"/>
    <w:rsid w:val="19D75DEA"/>
    <w:rsid w:val="1CF45E75"/>
    <w:rsid w:val="1DBE44DB"/>
    <w:rsid w:val="1F2F4F07"/>
    <w:rsid w:val="236D2C2B"/>
    <w:rsid w:val="24C37CD9"/>
    <w:rsid w:val="27156956"/>
    <w:rsid w:val="2C2B3683"/>
    <w:rsid w:val="32427031"/>
    <w:rsid w:val="33BF2D83"/>
    <w:rsid w:val="345E25B4"/>
    <w:rsid w:val="34AF1984"/>
    <w:rsid w:val="39BE7F11"/>
    <w:rsid w:val="3BC5739B"/>
    <w:rsid w:val="3F636838"/>
    <w:rsid w:val="42543C1B"/>
    <w:rsid w:val="453D4858"/>
    <w:rsid w:val="48310C7F"/>
    <w:rsid w:val="490530F7"/>
    <w:rsid w:val="4DAE5A6A"/>
    <w:rsid w:val="4DEB281B"/>
    <w:rsid w:val="4EB62E28"/>
    <w:rsid w:val="4F3A5808"/>
    <w:rsid w:val="52C57B1F"/>
    <w:rsid w:val="52CB0876"/>
    <w:rsid w:val="546450D5"/>
    <w:rsid w:val="5980650D"/>
    <w:rsid w:val="60D81578"/>
    <w:rsid w:val="60DE61A4"/>
    <w:rsid w:val="619A0388"/>
    <w:rsid w:val="62854AC2"/>
    <w:rsid w:val="62D60F4C"/>
    <w:rsid w:val="65C6174B"/>
    <w:rsid w:val="66501E31"/>
    <w:rsid w:val="6BED1AEF"/>
    <w:rsid w:val="6F745D74"/>
    <w:rsid w:val="73E32A3D"/>
    <w:rsid w:val="7DC477BF"/>
    <w:rsid w:val="7EF55D2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autoRedefine/>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8">
    <w:name w:val="Default Paragraph Font"/>
    <w:autoRedefine/>
    <w:semiHidden/>
    <w:qFormat/>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styleId="3">
    <w:name w:val="Balloon Text"/>
    <w:basedOn w:val="1"/>
    <w:link w:val="11"/>
    <w:autoRedefine/>
    <w:qFormat/>
    <w:uiPriority w:val="0"/>
    <w:rPr>
      <w:sz w:val="18"/>
      <w:szCs w:val="18"/>
    </w:rPr>
  </w:style>
  <w:style w:type="paragraph" w:styleId="4">
    <w:name w:val="footer"/>
    <w:basedOn w:val="1"/>
    <w:link w:val="12"/>
    <w:autoRedefine/>
    <w:qFormat/>
    <w:uiPriority w:val="0"/>
    <w:pPr>
      <w:tabs>
        <w:tab w:val="center" w:pos="4153"/>
        <w:tab w:val="right" w:pos="8306"/>
      </w:tabs>
      <w:snapToGrid w:val="0"/>
      <w:jc w:val="left"/>
    </w:pPr>
    <w:rPr>
      <w:sz w:val="18"/>
      <w:szCs w:val="18"/>
    </w:rPr>
  </w:style>
  <w:style w:type="paragraph" w:styleId="5">
    <w:name w:val="header"/>
    <w:basedOn w:val="1"/>
    <w:link w:val="10"/>
    <w:autoRedefine/>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autoRedefine/>
    <w:unhideWhenUsed/>
    <w:qFormat/>
    <w:uiPriority w:val="99"/>
    <w:pPr>
      <w:widowControl/>
      <w:spacing w:before="100" w:beforeAutospacing="1" w:after="100" w:afterAutospacing="1"/>
      <w:jc w:val="left"/>
    </w:pPr>
    <w:rPr>
      <w:rFonts w:ascii="宋体" w:hAnsi="宋体" w:cs="宋体"/>
      <w:kern w:val="0"/>
      <w:sz w:val="24"/>
      <w:szCs w:val="24"/>
    </w:rPr>
  </w:style>
  <w:style w:type="character" w:styleId="9">
    <w:name w:val="page number"/>
    <w:autoRedefine/>
    <w:unhideWhenUsed/>
    <w:qFormat/>
    <w:uiPriority w:val="0"/>
  </w:style>
  <w:style w:type="character" w:customStyle="1" w:styleId="10">
    <w:name w:val="页眉 Char"/>
    <w:link w:val="5"/>
    <w:autoRedefine/>
    <w:qFormat/>
    <w:uiPriority w:val="0"/>
    <w:rPr>
      <w:kern w:val="2"/>
      <w:sz w:val="18"/>
      <w:szCs w:val="18"/>
    </w:rPr>
  </w:style>
  <w:style w:type="character" w:customStyle="1" w:styleId="11">
    <w:name w:val="批注框文本 Char"/>
    <w:link w:val="3"/>
    <w:autoRedefine/>
    <w:qFormat/>
    <w:uiPriority w:val="0"/>
    <w:rPr>
      <w:kern w:val="2"/>
      <w:sz w:val="18"/>
      <w:szCs w:val="18"/>
    </w:rPr>
  </w:style>
  <w:style w:type="character" w:customStyle="1" w:styleId="12">
    <w:name w:val="页脚 Char"/>
    <w:link w:val="4"/>
    <w:autoRedefine/>
    <w:qFormat/>
    <w:uiPriority w:val="0"/>
    <w:rPr>
      <w:kern w:val="2"/>
      <w:sz w:val="18"/>
      <w:szCs w:val="18"/>
    </w:rPr>
  </w:style>
  <w:style w:type="character" w:customStyle="1" w:styleId="13">
    <w:name w:val="页脚 字符1"/>
    <w:autoRedefine/>
    <w:semiHidden/>
    <w:qFormat/>
    <w:locked/>
    <w:uiPriority w:val="0"/>
    <w:rPr>
      <w:kern w:val="2"/>
      <w:sz w:val="18"/>
      <w:szCs w:val="18"/>
    </w:rPr>
  </w:style>
  <w:style w:type="paragraph" w:styleId="14">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reamsoft\DSOA\wdzx97.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wdzx97</Template>
  <Pages>4</Pages>
  <Words>280</Words>
  <Characters>1596</Characters>
  <Lines>13</Lines>
  <Paragraphs>3</Paragraphs>
  <TotalTime>0</TotalTime>
  <ScaleCrop>false</ScaleCrop>
  <LinksUpToDate>false</LinksUpToDate>
  <CharactersWithSpaces>1873</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2022-02-09T11:19:00Z</dcterms:created>
  <dc:creator>Administrator</dc:creator>
  <cp:lastModifiedBy>Administrator</cp:lastModifiedBy>
  <cp:lastPrinted>2023-03-03T09:22:00Z</cp:lastPrinted>
  <dcterms:modified xsi:type="dcterms:W3CDTF">2024-04-18T06:08:15Z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C8CECB8D09B14E718B0E1FE2B9A1E709_13</vt:lpwstr>
  </property>
</Properties>
</file>