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rPr>
          <w:rFonts w:ascii="Times New Roman" w:hAnsi="Times New Roman" w:eastAsia="方正仿宋_GBK"/>
          <w:sz w:val="32"/>
        </w:rPr>
      </w:pPr>
      <w:bookmarkStart w:id="0" w:name="_GoBack"/>
      <w:bookmarkEnd w:id="0"/>
    </w:p>
    <w:p>
      <w:pPr>
        <w:spacing w:line="578" w:lineRule="exact"/>
        <w:ind w:firstLine="2640" w:firstLineChars="600"/>
        <w:rPr>
          <w:rFonts w:hint="eastAsia" w:ascii="Times New Roman" w:hAnsi="Times New Roman" w:eastAsia="方正小标宋_GBK"/>
          <w:sz w:val="44"/>
          <w:szCs w:val="44"/>
        </w:rPr>
      </w:pPr>
      <w:r>
        <w:rPr>
          <w:rFonts w:hint="eastAsia" w:ascii="Times New Roman" w:hAnsi="Times New Roman" w:eastAsia="方正小标宋_GBK"/>
          <w:sz w:val="44"/>
          <w:szCs w:val="44"/>
          <w:lang w:eastAsia="zh-CN"/>
        </w:rPr>
        <w:t>重庆市万州区武陵镇人民政府2024</w:t>
      </w:r>
      <w:r>
        <w:rPr>
          <w:rFonts w:hint="eastAsia" w:ascii="Times New Roman" w:hAnsi="Times New Roman" w:eastAsia="方正小标宋_GBK"/>
          <w:sz w:val="44"/>
          <w:szCs w:val="44"/>
        </w:rPr>
        <w:t>年部门预算情况说明</w:t>
      </w:r>
    </w:p>
    <w:p>
      <w:pPr>
        <w:spacing w:line="578" w:lineRule="exact"/>
        <w:rPr>
          <w:rFonts w:hint="eastAsia" w:ascii="Times New Roman" w:hAnsi="Times New Roman" w:eastAsia="方正仿宋_GBK"/>
          <w:sz w:val="32"/>
        </w:rPr>
      </w:pP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一、单位基本情况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（一）职能职责</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（二）单位构成</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1.遵循精简、统一、效能原则，设置综合办事机构9个，机构规格为正科级。分别是：</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①党政办公室。主要负责纪检、宣传、统战、法制、武装、民宗侨台以及综合协调、文秘等职责。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②党群工作办公室。主要负责党的建设、编制、人事、群团等职责。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③经济发展办公室（挂统计办公室、农村经营管理办公室牌子）。主要负责经济发展规划、农村经营管理、经济社会统计及贯彻执行扶贫开发方针政策、扶贫开发工作的统筹协调、产业扶贫指导、扶贫政策法规及相关技能培训的指导管理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④民政和社会事务办公室（挂卫生健康办公室牌子）。主要负责民政、教育、卫生、计生、文化、体育、社会救助、残疾人事业、劳动就业、社会保障、老龄事业发展等职责。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⑤ 平安建设办公室。主要负责信访、人民调解、社会治安综合治理、防范和处理邪教等职责。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⑥规划建设管理环保办公室。主要负责村镇规划、村镇建设、市政公用、市容环卫、环境保护等职责。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⑦财政办公室。主要负责财政收支、预决算、总会计、支农惠民资金兑付、财政资金监督检查、绩效评价、村（社区）级财务管理等职责。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⑧ 应急管理办公室。主要负责应急管理和安全生产综合监管，协助开展煤矿、非煤矿山、危险化学品、烟花爆竹等安全生产日常监管工作。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⑨综合行政执法办公室。主要负责集中行使依法授权或委托的农林水利、规划建设、环境保护、卫生计生、文化旅游、民政管理、城市管理等领域的行政执法权。</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镇人大办公室、纪委、武装部按照有关规定设置，人大办公室配备1名专职工作人员。工会、团委、妇联等群团按章程设置，具体工作由党群工作办公室明确1名群团工作综合岗位承担。</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2.设置事业站所6个，机构规格为正科级。分别是：</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①农业服务中心。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②文化服务中心。主要承担文化、宣传、广播电视、体育、科技培训等方面工作。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③劳动就业和社会保障服务所。主要承担劳动和社会保障、就业、再就业及农村富余劳动力转移工作；下岗失业人员的就业指导、培训、介绍以及流动人口的就业服务管理；负责低保对象的审核；负责优抚救济、社会互助等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④村镇建设环保服务中心。主要承担辖区规划建设、环境保护等工作。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⑤退役军人服务站。主要承担退役军人的关系转接、联络接待、困难帮扶、信息采集、情况反映、立功喜报、悬挂光荣牌和“八一”、春节等节日以及重大变故走访慰问等具体事务。</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⑥综合行政执法大队。主要负责集中行使依法授权或委托的农林水利、规划建设、环境保护、卫生计生、文化旅游、民政管理、城市管理等领域的行政执法权。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二、部门收支总体情况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2024年年初预算数2835.23万元，其中：一般公共预算拨款2745.86万元，政府性基金预算拨款4</w:t>
      </w:r>
      <w:r>
        <w:rPr>
          <w:rFonts w:hint="eastAsia" w:ascii="Times New Roman" w:hAnsi="Times New Roman" w:eastAsia="方正仿宋_GBK"/>
          <w:sz w:val="32"/>
          <w:lang w:eastAsia="zh-CN"/>
        </w:rPr>
        <w:t>0</w:t>
      </w:r>
      <w:r>
        <w:rPr>
          <w:rFonts w:hint="eastAsia" w:ascii="Times New Roman" w:hAnsi="Times New Roman" w:eastAsia="方正仿宋_GBK"/>
          <w:sz w:val="32"/>
          <w:lang w:val="en-US" w:eastAsia="zh-CN"/>
        </w:rPr>
        <w:t>.00</w:t>
      </w:r>
      <w:r>
        <w:rPr>
          <w:rFonts w:hint="eastAsia" w:ascii="Times New Roman" w:hAnsi="Times New Roman" w:eastAsia="方正仿宋_GBK"/>
          <w:sz w:val="32"/>
        </w:rPr>
        <w:t>万元，其他收入49.37万元，收入较去年增加56.99万元，主要是一般公共预算拨款增加17.62万元，其他收入较去年增加49.37万元，政府性基金预算拨款减少1</w:t>
      </w:r>
      <w:r>
        <w:rPr>
          <w:rFonts w:hint="eastAsia" w:ascii="Times New Roman" w:hAnsi="Times New Roman" w:eastAsia="方正仿宋_GBK"/>
          <w:sz w:val="32"/>
          <w:lang w:eastAsia="zh-CN"/>
        </w:rPr>
        <w:t>0</w:t>
      </w:r>
      <w:r>
        <w:rPr>
          <w:rFonts w:hint="eastAsia" w:ascii="Times New Roman" w:hAnsi="Times New Roman" w:eastAsia="方正仿宋_GBK"/>
          <w:sz w:val="32"/>
          <w:lang w:val="en-US" w:eastAsia="zh-CN"/>
        </w:rPr>
        <w:t>.00</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2024年年初预算数2835.23万元，其中：一般公共服务支出1009.76万元，国防支出2.00万元，公共安全支出18.40万元，文化旅游体育与传媒支出61.02万元，社会保障和就业支出743.19万元，卫生健康支出118.76万元，城乡社区支出113.71万元，农林水支出623.13万元，住房保障支出112.76万元，灾害防治及应急管理支出32.50万元；支出较去年增加56.99万元，主要是基本支出增加169.37万元，项目支出减少112.38万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2745.86</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2745.86</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年增加</w:t>
      </w:r>
      <w:r>
        <w:rPr>
          <w:rFonts w:hint="eastAsia" w:ascii="Times New Roman" w:hAnsi="Times New Roman" w:eastAsia="方正仿宋_GBK"/>
          <w:sz w:val="32"/>
          <w:lang w:val="en-US" w:eastAsia="zh-CN"/>
        </w:rPr>
        <w:t>17.62</w:t>
      </w:r>
      <w:r>
        <w:rPr>
          <w:rFonts w:hint="eastAsia" w:ascii="Times New Roman" w:hAnsi="Times New Roman" w:eastAsia="方正仿宋_GBK"/>
          <w:sz w:val="32"/>
        </w:rPr>
        <w:t>万元。其中：基本支出</w:t>
      </w:r>
      <w:r>
        <w:rPr>
          <w:rFonts w:hint="eastAsia" w:ascii="Times New Roman" w:hAnsi="Times New Roman" w:eastAsia="方正仿宋_GBK"/>
          <w:sz w:val="32"/>
          <w:lang w:val="en-US" w:eastAsia="zh-CN"/>
        </w:rPr>
        <w:t>2131.29</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年增加</w:t>
      </w:r>
      <w:r>
        <w:rPr>
          <w:rFonts w:hint="eastAsia" w:ascii="Times New Roman" w:hAnsi="Times New Roman" w:eastAsia="方正仿宋_GBK"/>
          <w:sz w:val="32"/>
          <w:lang w:val="en-US" w:eastAsia="zh-CN"/>
        </w:rPr>
        <w:t>169.37</w:t>
      </w:r>
      <w:r>
        <w:rPr>
          <w:rFonts w:hint="eastAsia" w:ascii="Times New Roman" w:hAnsi="Times New Roman" w:eastAsia="方正仿宋_GBK"/>
          <w:sz w:val="32"/>
        </w:rPr>
        <w:t>万元，主要原因是</w:t>
      </w:r>
      <w:r>
        <w:rPr>
          <w:rFonts w:hint="eastAsia" w:ascii="Times New Roman" w:hAnsi="Times New Roman" w:eastAsia="方正仿宋_GBK"/>
          <w:sz w:val="32"/>
          <w:lang w:val="en-US" w:eastAsia="zh-CN"/>
        </w:rPr>
        <w:t>2024年</w:t>
      </w:r>
      <w:r>
        <w:rPr>
          <w:rFonts w:hint="eastAsia" w:ascii="Times New Roman" w:hAnsi="Times New Roman" w:eastAsia="方正仿宋_GBK"/>
          <w:sz w:val="32"/>
        </w:rPr>
        <w:t>在职人员的增加，主要用于保障在职人员工资福利及社会保险缴费、退休人员补助等，保障部门正常运转的各项商品服务支出；项目支出</w:t>
      </w:r>
      <w:r>
        <w:rPr>
          <w:rFonts w:hint="eastAsia" w:ascii="Times New Roman" w:hAnsi="Times New Roman" w:eastAsia="方正仿宋_GBK"/>
          <w:sz w:val="32"/>
          <w:lang w:val="en-US" w:eastAsia="zh-CN"/>
        </w:rPr>
        <w:t>614.57</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151.74</w:t>
      </w:r>
      <w:r>
        <w:rPr>
          <w:rFonts w:hint="eastAsia" w:ascii="Times New Roman" w:hAnsi="Times New Roman" w:eastAsia="方正仿宋_GBK"/>
          <w:sz w:val="32"/>
        </w:rPr>
        <w:t>万元，主要原因项目资金的减少，优先保障运转。主要用于</w:t>
      </w:r>
      <w:r>
        <w:rPr>
          <w:rFonts w:hint="eastAsia" w:ascii="Times New Roman" w:hAnsi="Times New Roman" w:eastAsia="方正仿宋_GBK"/>
          <w:sz w:val="32"/>
          <w:lang w:eastAsia="zh-CN"/>
        </w:rPr>
        <w:t>保障村（社区）组织运转等其他特定项目支出</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lang w:eastAsia="zh-CN"/>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年政府性基金预算收入</w:t>
      </w:r>
      <w:r>
        <w:rPr>
          <w:rFonts w:hint="eastAsia" w:ascii="Times New Roman" w:hAnsi="Times New Roman" w:eastAsia="方正仿宋_GBK"/>
          <w:sz w:val="32"/>
          <w:lang w:val="en-US" w:eastAsia="zh-CN"/>
        </w:rPr>
        <w:t>40.00</w:t>
      </w:r>
      <w:r>
        <w:rPr>
          <w:rFonts w:hint="eastAsia" w:ascii="Times New Roman" w:hAnsi="Times New Roman" w:eastAsia="方正仿宋_GBK"/>
          <w:sz w:val="32"/>
        </w:rPr>
        <w:t>万元，政府性基金预算支出</w:t>
      </w:r>
      <w:r>
        <w:rPr>
          <w:rFonts w:hint="eastAsia" w:ascii="Times New Roman" w:hAnsi="Times New Roman" w:eastAsia="方正仿宋_GBK"/>
          <w:sz w:val="32"/>
          <w:lang w:val="en-US" w:eastAsia="zh-CN"/>
        </w:rPr>
        <w:t>40.00</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10.00</w:t>
      </w:r>
      <w:r>
        <w:rPr>
          <w:rFonts w:hint="eastAsia" w:ascii="Times New Roman" w:hAnsi="Times New Roman" w:eastAsia="方正仿宋_GBK"/>
          <w:sz w:val="32"/>
        </w:rPr>
        <w:t>万元，主要原因是城市基础设施配套费</w:t>
      </w:r>
      <w:r>
        <w:rPr>
          <w:rFonts w:hint="eastAsia" w:ascii="Times New Roman" w:hAnsi="Times New Roman" w:eastAsia="方正仿宋_GBK"/>
          <w:sz w:val="32"/>
          <w:lang w:eastAsia="zh-CN"/>
        </w:rPr>
        <w:t>减少</w:t>
      </w:r>
      <w:r>
        <w:rPr>
          <w:rFonts w:hint="eastAsia" w:ascii="Times New Roman" w:hAnsi="Times New Roman" w:eastAsia="方正仿宋_GBK"/>
          <w:sz w:val="32"/>
        </w:rPr>
        <w:t>，主要用于</w:t>
      </w:r>
      <w:r>
        <w:rPr>
          <w:rFonts w:hint="eastAsia" w:ascii="Times New Roman" w:hAnsi="Times New Roman" w:eastAsia="方正仿宋_GBK"/>
          <w:sz w:val="32"/>
          <w:lang w:eastAsia="zh-CN"/>
        </w:rPr>
        <w:t>城镇规划区内的房屋配套费及场镇污水管网相关支出。</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四、“三公”经费情况说明</w:t>
      </w:r>
    </w:p>
    <w:p>
      <w:pPr>
        <w:spacing w:line="578" w:lineRule="exact"/>
        <w:ind w:firstLine="640" w:firstLineChars="200"/>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年“三公”经费预算</w:t>
      </w:r>
      <w:r>
        <w:rPr>
          <w:rFonts w:hint="eastAsia" w:ascii="Times New Roman" w:hAnsi="Times New Roman" w:eastAsia="方正仿宋_GBK"/>
          <w:sz w:val="32"/>
          <w:lang w:val="en-US" w:eastAsia="zh-CN"/>
        </w:rPr>
        <w:t>16.37</w:t>
      </w:r>
      <w:r>
        <w:rPr>
          <w:rFonts w:hint="eastAsia" w:ascii="Times New Roman" w:hAnsi="Times New Roman" w:eastAsia="方正仿宋_GBK"/>
          <w:sz w:val="32"/>
        </w:rPr>
        <w:t>万元，与上年持平。其中：因公出国（境）费用</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万元，公务接待费</w:t>
      </w:r>
      <w:r>
        <w:rPr>
          <w:rFonts w:hint="eastAsia" w:ascii="Times New Roman" w:hAnsi="Times New Roman" w:eastAsia="方正仿宋_GBK"/>
          <w:sz w:val="32"/>
          <w:lang w:val="en-US" w:eastAsia="zh-CN"/>
        </w:rPr>
        <w:t>5.82</w:t>
      </w:r>
      <w:r>
        <w:rPr>
          <w:rFonts w:hint="eastAsia" w:ascii="Times New Roman" w:hAnsi="Times New Roman" w:eastAsia="方正仿宋_GBK"/>
          <w:sz w:val="32"/>
        </w:rPr>
        <w:t>万元，与上年持平</w:t>
      </w:r>
      <w:r>
        <w:rPr>
          <w:rFonts w:hint="eastAsia" w:ascii="Times New Roman" w:hAnsi="Times New Roman" w:eastAsia="方正仿宋_GBK"/>
          <w:sz w:val="32"/>
          <w:lang w:eastAsia="zh-CN"/>
        </w:rPr>
        <w:t>；</w:t>
      </w:r>
      <w:r>
        <w:rPr>
          <w:rFonts w:hint="eastAsia" w:ascii="Times New Roman" w:hAnsi="Times New Roman" w:eastAsia="方正仿宋_GBK"/>
          <w:sz w:val="32"/>
        </w:rPr>
        <w:t>公务用车运行维护费</w:t>
      </w:r>
      <w:r>
        <w:rPr>
          <w:rFonts w:hint="eastAsia" w:ascii="Times New Roman" w:hAnsi="Times New Roman" w:eastAsia="方正仿宋_GBK"/>
          <w:sz w:val="32"/>
          <w:lang w:val="en-US" w:eastAsia="zh-CN"/>
        </w:rPr>
        <w:t>10.55</w:t>
      </w:r>
      <w:r>
        <w:rPr>
          <w:rFonts w:hint="eastAsia" w:ascii="Times New Roman" w:hAnsi="Times New Roman" w:eastAsia="方正仿宋_GBK"/>
          <w:sz w:val="32"/>
        </w:rPr>
        <w:t>万元，与上年持平</w:t>
      </w:r>
      <w:r>
        <w:rPr>
          <w:rFonts w:hint="eastAsia" w:ascii="Times New Roman" w:hAnsi="Times New Roman" w:eastAsia="方正仿宋_GBK" w:cs="Times New Roman"/>
          <w:b w:val="0"/>
          <w:bCs w:val="0"/>
          <w:color w:val="auto"/>
          <w:kern w:val="0"/>
          <w:sz w:val="32"/>
          <w:szCs w:val="32"/>
          <w:lang w:eastAsia="zh-CN"/>
        </w:rPr>
        <w:t>。</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五、其他重要事项的情况说明</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年一般公共预算财政拨款运行经费</w:t>
      </w:r>
      <w:r>
        <w:rPr>
          <w:rFonts w:hint="eastAsia" w:ascii="Times New Roman" w:hAnsi="Times New Roman" w:eastAsia="方正仿宋_GBK"/>
          <w:sz w:val="32"/>
          <w:lang w:val="en-US" w:eastAsia="zh-CN"/>
        </w:rPr>
        <w:t>592.13</w:t>
      </w:r>
      <w:r>
        <w:rPr>
          <w:rFonts w:hint="eastAsia" w:ascii="Times New Roman" w:hAnsi="Times New Roman" w:eastAsia="方正仿宋_GBK"/>
          <w:sz w:val="32"/>
        </w:rPr>
        <w:t>万元，比上年减少</w:t>
      </w:r>
      <w:r>
        <w:rPr>
          <w:rFonts w:hint="eastAsia" w:ascii="Times New Roman" w:hAnsi="Times New Roman" w:eastAsia="方正仿宋_GBK"/>
          <w:sz w:val="32"/>
          <w:lang w:val="en-US" w:eastAsia="zh-CN"/>
        </w:rPr>
        <w:t>4.57</w:t>
      </w:r>
      <w:r>
        <w:rPr>
          <w:rFonts w:hint="eastAsia" w:ascii="Times New Roman" w:hAnsi="Times New Roman" w:eastAsia="方正仿宋_GBK"/>
          <w:sz w:val="32"/>
        </w:rPr>
        <w:t>万元，主要原因为</w:t>
      </w:r>
      <w:r>
        <w:rPr>
          <w:rFonts w:hint="default" w:ascii="Times New Roman" w:hAnsi="Times New Roman" w:eastAsia="方正仿宋_GBK" w:cs="Times New Roman"/>
          <w:b w:val="0"/>
          <w:bCs w:val="0"/>
          <w:color w:val="auto"/>
          <w:sz w:val="32"/>
          <w:szCs w:val="32"/>
          <w:lang w:val="en-US" w:eastAsia="zh-CN"/>
        </w:rPr>
        <w:t>提倡节能，</w:t>
      </w:r>
      <w:r>
        <w:rPr>
          <w:rFonts w:hint="default" w:ascii="Times New Roman" w:hAnsi="Times New Roman" w:eastAsia="方正仿宋_GBK" w:cs="Times New Roman"/>
          <w:b w:val="0"/>
          <w:bCs w:val="0"/>
          <w:color w:val="auto"/>
          <w:kern w:val="0"/>
          <w:sz w:val="32"/>
          <w:szCs w:val="32"/>
        </w:rPr>
        <w:t>厉行节约</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sz w:val="32"/>
          <w:szCs w:val="32"/>
          <w:lang w:val="en-US" w:eastAsia="zh-CN"/>
        </w:rPr>
        <w:t>减少支出浪费</w:t>
      </w:r>
      <w:r>
        <w:rPr>
          <w:rFonts w:hint="eastAsia" w:ascii="Times New Roman" w:hAnsi="Times New Roman" w:eastAsia="方正仿宋_GBK"/>
          <w:sz w:val="32"/>
          <w:lang w:eastAsia="zh-CN"/>
        </w:rPr>
        <w:t>等</w:t>
      </w:r>
      <w:r>
        <w:rPr>
          <w:rFonts w:hint="eastAsia" w:ascii="Times New Roman" w:hAnsi="Times New Roman" w:eastAsia="方正仿宋_GBK"/>
          <w:sz w:val="32"/>
        </w:rPr>
        <w:t>；主要用于</w:t>
      </w:r>
      <w:r>
        <w:rPr>
          <w:rFonts w:hint="eastAsia" w:ascii="Times New Roman" w:hAnsi="Times New Roman" w:eastAsia="方正仿宋_GBK"/>
          <w:sz w:val="32"/>
          <w:lang w:eastAsia="zh-CN"/>
        </w:rPr>
        <w:t>原企室人员工资、</w:t>
      </w:r>
      <w:r>
        <w:rPr>
          <w:rFonts w:hint="eastAsia" w:ascii="Times New Roman" w:hAnsi="Times New Roman" w:eastAsia="方正仿宋_GBK"/>
          <w:sz w:val="32"/>
        </w:rPr>
        <w:t>办公费、印刷费、邮电费、水电费、差旅费、会议费、培训费及其他商品和服务支出等。</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。本单位政府采购预算总额</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万元、政府采购工程预算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万元、政府采购服务预算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万元；其中一般公共预算拨款政府采购</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 xml:space="preserve">万元、政府采购工程预算 </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万元、政府采购服务预算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年项目支出均实行了绩效目标管理，涉及一般公共预算财政拨款</w:t>
      </w:r>
      <w:r>
        <w:rPr>
          <w:rFonts w:hint="eastAsia" w:ascii="Times New Roman" w:hAnsi="Times New Roman" w:eastAsia="方正仿宋_GBK"/>
          <w:sz w:val="32"/>
          <w:lang w:val="en-US" w:eastAsia="zh-CN"/>
        </w:rPr>
        <w:t>614.57</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年12月，所属各预算单位共有车辆</w:t>
      </w:r>
      <w:r>
        <w:rPr>
          <w:rFonts w:hint="eastAsia" w:ascii="Times New Roman" w:hAnsi="Times New Roman" w:eastAsia="方正仿宋_GBK"/>
          <w:sz w:val="32"/>
          <w:lang w:val="en-US" w:eastAsia="zh-CN"/>
        </w:rPr>
        <w:t>8</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4</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4</w:t>
      </w:r>
      <w:r>
        <w:rPr>
          <w:rFonts w:hint="eastAsia" w:ascii="Times New Roman" w:hAnsi="Times New Roman" w:eastAsia="方正仿宋_GBK"/>
          <w:sz w:val="32"/>
        </w:rPr>
        <w:t>辆。</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年一般公共预算安排购置车辆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六、专业性名词解释</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（一）财政拨款收入</w:t>
      </w:r>
      <w:r>
        <w:rPr>
          <w:rFonts w:hint="eastAsia" w:ascii="Times New Roman" w:hAnsi="Times New Roman" w:eastAsia="方正仿宋_GBK"/>
          <w:sz w:val="32"/>
        </w:rPr>
        <w:t>：指本年度从本级财政部门取得的财政拨款，包括一般公共预算财政拨款和政府性基金预算财政拨款。</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（二）其他收入</w:t>
      </w:r>
      <w:r>
        <w:rPr>
          <w:rFonts w:hint="eastAsia" w:ascii="Times New Roman" w:hAnsi="Times New Roman" w:eastAsia="方正仿宋_GBK"/>
          <w:sz w:val="32"/>
        </w:rPr>
        <w:t>：指单位取得的除“财政拨款收入”、“事业收入”、“经营收入”等以外的收入。</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rPr>
        <w:t>：指为保障机构正常运转、完成日常工作任务而发生的人员经费和公用经费。</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rPr>
        <w:t>：指在基本支出之外为完成特定行政任务和事业发展目标所发生的支出。</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附件：1.重庆市万州区武陵镇人民政府2024年部门预算情况说明</w:t>
      </w:r>
    </w:p>
    <w:p>
      <w:pPr>
        <w:spacing w:line="578" w:lineRule="exact"/>
        <w:ind w:firstLine="1600" w:firstLineChars="500"/>
        <w:rPr>
          <w:rFonts w:hint="eastAsia" w:ascii="Times New Roman" w:hAnsi="Times New Roman" w:eastAsia="方正仿宋_GBK"/>
          <w:sz w:val="32"/>
        </w:rPr>
      </w:pPr>
      <w:r>
        <w:rPr>
          <w:rFonts w:hint="eastAsia" w:ascii="Times New Roman" w:hAnsi="Times New Roman" w:eastAsia="方正仿宋_GBK"/>
          <w:sz w:val="32"/>
        </w:rPr>
        <w:t>2.重庆市万州区武陵镇人民政府2024年部门预算附表</w:t>
      </w:r>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spacing w:line="578" w:lineRule="exact"/>
        <w:ind w:firstLine="640" w:firstLineChars="200"/>
        <w:rPr>
          <w:rFonts w:hint="eastAsia" w:ascii="Times New Roman" w:hAnsi="Times New Roman" w:eastAsia="方正仿宋_GBK"/>
          <w:sz w:val="32"/>
        </w:rPr>
      </w:pPr>
    </w:p>
    <w:sectPr>
      <w:footerReference r:id="rId3" w:type="default"/>
      <w:footerReference r:id="rId4" w:type="even"/>
      <w:pgSz w:w="16838" w:h="11906" w:orient="landscape"/>
      <w:pgMar w:top="1440" w:right="1080" w:bottom="1440" w:left="1080" w:header="850"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42A2"/>
    <w:rsid w:val="00106A76"/>
    <w:rsid w:val="00125C07"/>
    <w:rsid w:val="0014404E"/>
    <w:rsid w:val="001525DD"/>
    <w:rsid w:val="00161474"/>
    <w:rsid w:val="00165A74"/>
    <w:rsid w:val="0019526F"/>
    <w:rsid w:val="001957F9"/>
    <w:rsid w:val="001C0A7C"/>
    <w:rsid w:val="001C2D94"/>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87B34"/>
    <w:rsid w:val="0049017F"/>
    <w:rsid w:val="00492FB3"/>
    <w:rsid w:val="004B1650"/>
    <w:rsid w:val="004C42ED"/>
    <w:rsid w:val="004C60BD"/>
    <w:rsid w:val="004D1E02"/>
    <w:rsid w:val="004E592A"/>
    <w:rsid w:val="004E6E1A"/>
    <w:rsid w:val="004F1853"/>
    <w:rsid w:val="004F7D1D"/>
    <w:rsid w:val="00500B1D"/>
    <w:rsid w:val="00506DF4"/>
    <w:rsid w:val="00507823"/>
    <w:rsid w:val="00520DFB"/>
    <w:rsid w:val="005228CA"/>
    <w:rsid w:val="00536713"/>
    <w:rsid w:val="00543257"/>
    <w:rsid w:val="0055139A"/>
    <w:rsid w:val="00572736"/>
    <w:rsid w:val="0058350C"/>
    <w:rsid w:val="005A1227"/>
    <w:rsid w:val="005A4606"/>
    <w:rsid w:val="005A4AD7"/>
    <w:rsid w:val="005B0F11"/>
    <w:rsid w:val="005E18A6"/>
    <w:rsid w:val="005F1960"/>
    <w:rsid w:val="006115F1"/>
    <w:rsid w:val="00620BCE"/>
    <w:rsid w:val="006275C9"/>
    <w:rsid w:val="006342F3"/>
    <w:rsid w:val="0066585E"/>
    <w:rsid w:val="006809FA"/>
    <w:rsid w:val="006C01C3"/>
    <w:rsid w:val="006C76E6"/>
    <w:rsid w:val="006D0C33"/>
    <w:rsid w:val="006D1609"/>
    <w:rsid w:val="006E0BEC"/>
    <w:rsid w:val="006E455F"/>
    <w:rsid w:val="006F7539"/>
    <w:rsid w:val="00714828"/>
    <w:rsid w:val="007155AD"/>
    <w:rsid w:val="007158F8"/>
    <w:rsid w:val="0071734A"/>
    <w:rsid w:val="007252E3"/>
    <w:rsid w:val="007254C7"/>
    <w:rsid w:val="00742C4D"/>
    <w:rsid w:val="007620B8"/>
    <w:rsid w:val="00762CF8"/>
    <w:rsid w:val="00765DF5"/>
    <w:rsid w:val="007713EB"/>
    <w:rsid w:val="00776917"/>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149C"/>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4D90"/>
    <w:rsid w:val="00A35F07"/>
    <w:rsid w:val="00A4236E"/>
    <w:rsid w:val="00A45A23"/>
    <w:rsid w:val="00A52D34"/>
    <w:rsid w:val="00A61D96"/>
    <w:rsid w:val="00A712EA"/>
    <w:rsid w:val="00A8020D"/>
    <w:rsid w:val="00A802E9"/>
    <w:rsid w:val="00A80B6C"/>
    <w:rsid w:val="00AA324B"/>
    <w:rsid w:val="00AB25DF"/>
    <w:rsid w:val="00AC6F85"/>
    <w:rsid w:val="00AE0A20"/>
    <w:rsid w:val="00AE4156"/>
    <w:rsid w:val="00B1352B"/>
    <w:rsid w:val="00B24FA7"/>
    <w:rsid w:val="00B257E3"/>
    <w:rsid w:val="00B43B4D"/>
    <w:rsid w:val="00B54CE7"/>
    <w:rsid w:val="00B558CC"/>
    <w:rsid w:val="00B646B9"/>
    <w:rsid w:val="00B65450"/>
    <w:rsid w:val="00B72347"/>
    <w:rsid w:val="00B86388"/>
    <w:rsid w:val="00BA1AA9"/>
    <w:rsid w:val="00BB3B39"/>
    <w:rsid w:val="00BC2C3D"/>
    <w:rsid w:val="00BD5FA5"/>
    <w:rsid w:val="00BE55DB"/>
    <w:rsid w:val="00BE573E"/>
    <w:rsid w:val="00BF67E7"/>
    <w:rsid w:val="00C22B7C"/>
    <w:rsid w:val="00C2696C"/>
    <w:rsid w:val="00C26CFA"/>
    <w:rsid w:val="00C427D3"/>
    <w:rsid w:val="00C47446"/>
    <w:rsid w:val="00C5758E"/>
    <w:rsid w:val="00C601F9"/>
    <w:rsid w:val="00C7602D"/>
    <w:rsid w:val="00C827DC"/>
    <w:rsid w:val="00C95346"/>
    <w:rsid w:val="00CA4340"/>
    <w:rsid w:val="00CB0296"/>
    <w:rsid w:val="00CC4A96"/>
    <w:rsid w:val="00CD1C4A"/>
    <w:rsid w:val="00CE1014"/>
    <w:rsid w:val="00CF42ED"/>
    <w:rsid w:val="00CF5C2E"/>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D379B"/>
    <w:rsid w:val="00DE3685"/>
    <w:rsid w:val="00DE5805"/>
    <w:rsid w:val="00E00D68"/>
    <w:rsid w:val="00E01CEB"/>
    <w:rsid w:val="00E11FB2"/>
    <w:rsid w:val="00E275D0"/>
    <w:rsid w:val="00E405BB"/>
    <w:rsid w:val="00E40ED1"/>
    <w:rsid w:val="00E4747D"/>
    <w:rsid w:val="00E712B9"/>
    <w:rsid w:val="00E92CDB"/>
    <w:rsid w:val="00E96899"/>
    <w:rsid w:val="00EC09E7"/>
    <w:rsid w:val="00EC409D"/>
    <w:rsid w:val="00EE21B6"/>
    <w:rsid w:val="00EF1B14"/>
    <w:rsid w:val="00EF782E"/>
    <w:rsid w:val="00EF7D6B"/>
    <w:rsid w:val="00F11A07"/>
    <w:rsid w:val="00F258CE"/>
    <w:rsid w:val="00F3400B"/>
    <w:rsid w:val="00F36F36"/>
    <w:rsid w:val="00F605C0"/>
    <w:rsid w:val="00F66710"/>
    <w:rsid w:val="00F84112"/>
    <w:rsid w:val="00F86A3C"/>
    <w:rsid w:val="00F90464"/>
    <w:rsid w:val="00F9492F"/>
    <w:rsid w:val="00FC2169"/>
    <w:rsid w:val="00FC2267"/>
    <w:rsid w:val="00FE12C3"/>
    <w:rsid w:val="00FE28C5"/>
    <w:rsid w:val="01F86CD9"/>
    <w:rsid w:val="02C24BF1"/>
    <w:rsid w:val="05706B86"/>
    <w:rsid w:val="0A23066B"/>
    <w:rsid w:val="0CB16402"/>
    <w:rsid w:val="0E830009"/>
    <w:rsid w:val="0F847DFE"/>
    <w:rsid w:val="124473D0"/>
    <w:rsid w:val="12BE1A66"/>
    <w:rsid w:val="13446F00"/>
    <w:rsid w:val="145A112D"/>
    <w:rsid w:val="14D0319D"/>
    <w:rsid w:val="1573694A"/>
    <w:rsid w:val="18CC21E2"/>
    <w:rsid w:val="19D75DEA"/>
    <w:rsid w:val="1CDD7D6D"/>
    <w:rsid w:val="1D100F23"/>
    <w:rsid w:val="1E0F7CBE"/>
    <w:rsid w:val="20D3459F"/>
    <w:rsid w:val="22C407E5"/>
    <w:rsid w:val="25C57368"/>
    <w:rsid w:val="26417404"/>
    <w:rsid w:val="2C464019"/>
    <w:rsid w:val="2FC00586"/>
    <w:rsid w:val="3075311F"/>
    <w:rsid w:val="3095731D"/>
    <w:rsid w:val="30EE1123"/>
    <w:rsid w:val="310F5FA1"/>
    <w:rsid w:val="31DE6AA2"/>
    <w:rsid w:val="32E53E60"/>
    <w:rsid w:val="352C3FC8"/>
    <w:rsid w:val="367D2EB2"/>
    <w:rsid w:val="3A0E0140"/>
    <w:rsid w:val="3BC5739B"/>
    <w:rsid w:val="3E504056"/>
    <w:rsid w:val="41DF489C"/>
    <w:rsid w:val="42817701"/>
    <w:rsid w:val="42937435"/>
    <w:rsid w:val="44DB1328"/>
    <w:rsid w:val="450A5674"/>
    <w:rsid w:val="45B1654F"/>
    <w:rsid w:val="46366582"/>
    <w:rsid w:val="4690085B"/>
    <w:rsid w:val="46C140A0"/>
    <w:rsid w:val="48156F13"/>
    <w:rsid w:val="48310C7F"/>
    <w:rsid w:val="4B60765E"/>
    <w:rsid w:val="4E3917D8"/>
    <w:rsid w:val="50DD469C"/>
    <w:rsid w:val="51497F84"/>
    <w:rsid w:val="528B1ED6"/>
    <w:rsid w:val="541571BA"/>
    <w:rsid w:val="56DA6E58"/>
    <w:rsid w:val="56EA3A43"/>
    <w:rsid w:val="573A4E20"/>
    <w:rsid w:val="57D82B33"/>
    <w:rsid w:val="5998392A"/>
    <w:rsid w:val="5EC742B8"/>
    <w:rsid w:val="5F76288D"/>
    <w:rsid w:val="64682077"/>
    <w:rsid w:val="65D33E68"/>
    <w:rsid w:val="67764C6B"/>
    <w:rsid w:val="680E53C0"/>
    <w:rsid w:val="697666D8"/>
    <w:rsid w:val="6A1D56B2"/>
    <w:rsid w:val="6B513865"/>
    <w:rsid w:val="6DC01176"/>
    <w:rsid w:val="6E1A6AD8"/>
    <w:rsid w:val="6EFD5AB2"/>
    <w:rsid w:val="6F2512C5"/>
    <w:rsid w:val="70097799"/>
    <w:rsid w:val="70182BA3"/>
    <w:rsid w:val="70CC398E"/>
    <w:rsid w:val="72121874"/>
    <w:rsid w:val="727644F9"/>
    <w:rsid w:val="72E329C7"/>
    <w:rsid w:val="73612AB3"/>
    <w:rsid w:val="758E623F"/>
    <w:rsid w:val="77FE534B"/>
    <w:rsid w:val="787E4057"/>
    <w:rsid w:val="7A170370"/>
    <w:rsid w:val="7A85260E"/>
    <w:rsid w:val="7F075E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link w:val="11"/>
    <w:autoRedefine/>
    <w:qFormat/>
    <w:uiPriority w:val="0"/>
    <w:rPr>
      <w:sz w:val="18"/>
      <w:szCs w:val="18"/>
    </w:r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autoRedefine/>
    <w:unhideWhenUsed/>
    <w:qFormat/>
    <w:uiPriority w:val="0"/>
  </w:style>
  <w:style w:type="character" w:customStyle="1" w:styleId="9">
    <w:name w:val="页眉 Char"/>
    <w:link w:val="4"/>
    <w:autoRedefine/>
    <w:qFormat/>
    <w:uiPriority w:val="0"/>
    <w:rPr>
      <w:kern w:val="2"/>
      <w:sz w:val="18"/>
      <w:szCs w:val="18"/>
    </w:rPr>
  </w:style>
  <w:style w:type="character" w:customStyle="1" w:styleId="10">
    <w:name w:val="页脚 Char"/>
    <w:link w:val="3"/>
    <w:autoRedefine/>
    <w:qFormat/>
    <w:uiPriority w:val="0"/>
    <w:rPr>
      <w:kern w:val="2"/>
      <w:sz w:val="18"/>
      <w:szCs w:val="18"/>
    </w:rPr>
  </w:style>
  <w:style w:type="character" w:customStyle="1" w:styleId="11">
    <w:name w:val="批注框文本 Char"/>
    <w:link w:val="2"/>
    <w:autoRedefine/>
    <w:qFormat/>
    <w:uiPriority w:val="0"/>
    <w:rPr>
      <w:kern w:val="2"/>
      <w:sz w:val="18"/>
      <w:szCs w:val="18"/>
    </w:rPr>
  </w:style>
  <w:style w:type="character" w:customStyle="1" w:styleId="12">
    <w:name w:val="页脚 字符1"/>
    <w:autoRedefine/>
    <w:qFormat/>
    <w:uiPriority w:val="99"/>
    <w:rPr>
      <w:kern w:val="2"/>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7</Pages>
  <Words>286</Words>
  <Characters>1634</Characters>
  <Lines>13</Lines>
  <Paragraphs>3</Paragraphs>
  <TotalTime>10</TotalTime>
  <ScaleCrop>false</ScaleCrop>
  <LinksUpToDate>false</LinksUpToDate>
  <CharactersWithSpaces>1917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2022-01-26T11:29:00Z</dcterms:created>
  <dc:creator>Administrator</dc:creator>
  <cp:lastModifiedBy>Administrator</cp:lastModifiedBy>
  <cp:lastPrinted>2023-03-03T09:19:00Z</cp:lastPrinted>
  <dcterms:modified xsi:type="dcterms:W3CDTF">2024-04-18T06:05:08Z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52AF8E5251FB4C7A89D5015E01C77490_13</vt:lpwstr>
  </property>
</Properties>
</file>