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outlineLvl w:val="0"/>
        <w:rPr>
          <w:rFonts w:hint="eastAsia" w:ascii="Times New Roman" w:hAnsi="Times New Roman" w:eastAsia="方正小标宋_GBK" w:cs="方正小标宋_GBK"/>
          <w:sz w:val="44"/>
          <w:szCs w:val="44"/>
          <w:lang w:val="en-US" w:eastAsia="zh-CN"/>
        </w:rPr>
      </w:pPr>
      <w:bookmarkStart w:id="0" w:name="_GoBack"/>
      <w:bookmarkEnd w:id="0"/>
      <w:r>
        <w:rPr>
          <w:rFonts w:hint="eastAsia" w:ascii="Times New Roman" w:hAnsi="Times New Roman" w:eastAsia="宋体" w:cs="宋体"/>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重庆市万州区铁峰乡人民政府</w:t>
      </w:r>
      <w:r>
        <w:rPr>
          <w:rFonts w:hint="eastAsia" w:ascii="Times New Roman" w:hAnsi="Times New Roman" w:eastAsia="方正小标宋_GBK" w:cs="方正小标宋_GBK"/>
          <w:sz w:val="44"/>
          <w:szCs w:val="44"/>
        </w:rPr>
        <w:t>20</w:t>
      </w:r>
      <w:r>
        <w:rPr>
          <w:rFonts w:hint="eastAsia" w:ascii="Times New Roman" w:hAnsi="Times New Roman" w:eastAsia="方正小标宋_GBK" w:cs="方正小标宋_GBK"/>
          <w:sz w:val="44"/>
          <w:szCs w:val="44"/>
          <w:lang w:val="en-US" w:eastAsia="zh-CN"/>
        </w:rPr>
        <w:t>20年</w:t>
      </w:r>
      <w:r>
        <w:rPr>
          <w:rFonts w:hint="eastAsia" w:ascii="Times New Roman" w:hAnsi="Times New Roman" w:eastAsia="方正小标宋_GBK" w:cs="方正小标宋_GBK"/>
          <w:sz w:val="44"/>
          <w:szCs w:val="44"/>
        </w:rPr>
        <w:t>部门决算</w:t>
      </w:r>
      <w:r>
        <w:rPr>
          <w:rFonts w:hint="eastAsia" w:ascii="Times New Roman" w:hAnsi="Times New Roman" w:eastAsia="方正小标宋_GBK" w:cs="方正小标宋_GBK"/>
          <w:sz w:val="44"/>
          <w:szCs w:val="44"/>
          <w:lang w:val="en-US" w:eastAsia="zh-CN"/>
        </w:rPr>
        <w:t>情况说明</w:t>
      </w: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lang w:eastAsia="zh-CN"/>
        </w:rPr>
      </w:pPr>
    </w:p>
    <w:p>
      <w:pPr>
        <w:pStyle w:val="10"/>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val="0"/>
        <w:spacing w:line="600" w:lineRule="exact"/>
        <w:ind w:firstLine="640" w:firstLineChars="200"/>
        <w:textAlignment w:val="auto"/>
        <w:outlineLvl w:val="0"/>
        <w:rPr>
          <w:rFonts w:hint="eastAsia" w:ascii="Times New Roman" w:hAnsi="Times New Roman" w:eastAsia="黑体" w:cs="黑体"/>
          <w:sz w:val="32"/>
          <w:szCs w:val="32"/>
        </w:rPr>
      </w:pPr>
      <w:r>
        <w:rPr>
          <w:rFonts w:hint="eastAsia" w:ascii="Times New Roman" w:hAnsi="Times New Roman" w:eastAsia="黑体" w:cs="黑体"/>
          <w:sz w:val="32"/>
          <w:szCs w:val="32"/>
        </w:rPr>
        <w:t>单位基本情况</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w:t>
      </w:r>
      <w:r>
        <w:rPr>
          <w:rFonts w:hint="eastAsia" w:ascii="Times New Roman" w:hAnsi="Times New Roman" w:eastAsia="方正楷体_GBK" w:cs="方正楷体_GBK"/>
          <w:sz w:val="32"/>
          <w:lang w:eastAsia="zh-CN"/>
        </w:rPr>
        <w:t>机构设置及</w:t>
      </w:r>
      <w:r>
        <w:rPr>
          <w:rFonts w:hint="eastAsia" w:ascii="Times New Roman" w:hAnsi="Times New Roman" w:eastAsia="方正楷体_GBK" w:cs="方正楷体_GBK"/>
          <w:sz w:val="32"/>
        </w:rPr>
        <w:t>职能职责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1. 党政办公室。主要负责纪检、宣传、统战、法制、武装、民宗侨台以及综合协调、文秘等职责。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2. 党群工作办公室。主要负责党的建设、编制、人事、群团等职责。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3. 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4. 民政和社会事务办公室（挂卫生健康办公室牌子）、劳动就业和社会保障服务所。主要承担劳动和社会保障、就业、再就业及农村富余劳动力转移工作；下岗失业人员的就业指导、培训、介绍以及流动人口的就业服务管理；负责低保对象的审核；负责优抚救济、社会互助等工作与民政、教育、卫生、计生、文化、体育、社会救助、残疾人事业、劳动就业、社会保障、老龄事业发展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5. 平安建设办公室。主要负责信访、人民调解、社会治安综合治理、防范和处理邪教等职责。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6. 应急管理办公室。主要负责应急管理和安全生产综合监管，协助开展煤矿、非煤矿山、危险化学品、烟花爆竹等安全生产日常监管工作。</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7. 规划建设管理环保办公室、村镇建设环保服务中心。主要承担辖区规划建设、环境保护等工作与村镇规划、村镇建设、市政公用、市容环卫、环境保护等职责。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8. 财政办公室。主要负责财政收支、预决算、总会计、支农惠民资金兑付、财政资金监督检查、绩效评价、村（社区）级财务管理等职责。</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9. 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10. 文化服务中心。主要承担文化、宣传、广播电视、体育、科技培训等方面工作。</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11. 退役军人服务站。主要承担退役军人的关系转接、联络接待、困难帮扶、信息采集、情况反映、立功喜报、悬挂光荣牌和“八一”、春节等节日以及重大变故走访慰问等具体事务。</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仿宋_GB2312"/>
          <w:sz w:val="32"/>
          <w:szCs w:val="22"/>
          <w:lang w:val="en-US" w:eastAsia="zh-CN"/>
        </w:rPr>
      </w:pPr>
      <w:r>
        <w:rPr>
          <w:rFonts w:hint="eastAsia" w:ascii="Times New Roman" w:hAnsi="Times New Roman" w:eastAsia="方正仿宋_GBK" w:cs="仿宋_GB2312"/>
          <w:sz w:val="32"/>
          <w:szCs w:val="22"/>
          <w:lang w:val="en-US" w:eastAsia="zh-CN"/>
        </w:rPr>
        <w:t>12. 综合行政执法大队。主要负责集中行使依法授权或委托的农林水利、规划建设、环境保护、卫生计生、文化旅游、民政管理、城市管理等领域的行政执法权。</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（二）单位构成</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仿宋_GBK" w:cs="仿宋_GB2312"/>
          <w:sz w:val="32"/>
          <w:szCs w:val="22"/>
          <w:lang w:val="en-US" w:eastAsia="zh-CN"/>
        </w:rPr>
        <w:t>重庆市万州区铁峰乡人民政府设有乡纪委、党政办、党群办、妇联、平安办、武装、退役军人服务站、经发办、财政办、综合执法办、规环办、民政和社会事务办、农业服务中心、文化服务中心、村镇建设环保服务中心、劳动就业和社会保障服务所、综合行政执法大队等办公室。</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outlineLvl w:val="0"/>
        <w:rPr>
          <w:rFonts w:hint="eastAsia" w:ascii="Times New Roman" w:hAnsi="Times New Roman" w:eastAsia="方正黑体_GBK" w:cs="方正黑体_GBK"/>
          <w:sz w:val="32"/>
          <w:szCs w:val="22"/>
          <w:lang w:val="en-US" w:eastAsia="zh-CN"/>
        </w:rPr>
      </w:pPr>
      <w:r>
        <w:rPr>
          <w:rFonts w:hint="eastAsia" w:ascii="Times New Roman" w:hAnsi="Times New Roman" w:eastAsia="方正黑体_GBK" w:cs="方正黑体_GBK"/>
          <w:sz w:val="32"/>
          <w:szCs w:val="32"/>
        </w:rPr>
        <w:t>部门决算情况说明</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Chars="200"/>
        <w:textAlignment w:val="auto"/>
        <w:outlineLvl w:val="0"/>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sz w:val="32"/>
          <w:szCs w:val="22"/>
          <w:lang w:val="en-US" w:eastAsia="zh-CN"/>
        </w:rPr>
        <w:t>收入支出决算总体情况说明</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firstLine="640" w:firstLineChars="200"/>
        <w:textAlignment w:val="auto"/>
        <w:outlineLvl w:val="0"/>
        <w:rPr>
          <w:rFonts w:hint="default" w:ascii="Times New Roman" w:hAnsi="Times New Roman" w:eastAsia="方正仿宋_GBK" w:cs="Times New Roman"/>
          <w:color w:val="auto"/>
          <w:kern w:val="2"/>
          <w:sz w:val="32"/>
          <w:szCs w:val="22"/>
          <w:lang w:val="en-US" w:eastAsia="zh-CN" w:bidi="ar-SA"/>
        </w:rPr>
      </w:pPr>
      <w:r>
        <w:rPr>
          <w:rFonts w:hint="eastAsia" w:ascii="Times New Roman" w:hAnsi="Times New Roman"/>
          <w:lang w:val="en-US" w:eastAsia="zh-CN"/>
        </w:rPr>
        <w:t>总体情况。2020年度收入总计为4747.69万元，支出总计4747.69万元。收支较上年决算数减少2768.31万元，下降36.83%，主要原因是2020年度下达的项目较2019年度减少，导致项目收支减少，比重降低。</w:t>
      </w:r>
    </w:p>
    <w:p>
      <w:pPr>
        <w:pStyle w:val="2"/>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eastAsia="方正仿宋_GBK" w:cs="Times New Roman"/>
          <w:color w:val="auto"/>
          <w:kern w:val="2"/>
          <w:sz w:val="32"/>
          <w:szCs w:val="22"/>
          <w:lang w:val="en-US" w:eastAsia="zh-CN" w:bidi="ar-SA"/>
        </w:rPr>
        <w:t>收入情况。2020年收入合计4747.69万元</w:t>
      </w:r>
      <w:r>
        <w:rPr>
          <w:rFonts w:hint="eastAsia" w:ascii="Times New Roman" w:hAnsi="Times New Roman" w:eastAsia="方正仿宋_GBK" w:cs="仿宋_GB2312"/>
          <w:sz w:val="32"/>
          <w:szCs w:val="22"/>
          <w:lang w:val="en-US" w:eastAsia="zh-CN"/>
        </w:rPr>
        <w:t>，</w:t>
      </w:r>
      <w:r>
        <w:rPr>
          <w:rFonts w:hint="eastAsia" w:ascii="Times New Roman" w:hAnsi="Times New Roman" w:cs="仿宋_GB2312"/>
          <w:sz w:val="32"/>
          <w:szCs w:val="22"/>
          <w:lang w:val="en-US" w:eastAsia="zh-CN"/>
        </w:rPr>
        <w:t>较上年决算数减少2768.31万元，下降36.83%，主要原因是</w:t>
      </w:r>
      <w:r>
        <w:rPr>
          <w:rFonts w:hint="eastAsia" w:ascii="Times New Roman" w:hAnsi="Times New Roman"/>
          <w:lang w:val="en-US" w:eastAsia="zh-CN"/>
        </w:rPr>
        <w:t>2020年度下达的项目较2019年度减少，导致项目收入减少。</w:t>
      </w:r>
    </w:p>
    <w:p>
      <w:pPr>
        <w:pStyle w:val="2"/>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cs="仿宋_GB2312"/>
          <w:sz w:val="32"/>
          <w:szCs w:val="22"/>
          <w:lang w:val="en-US" w:eastAsia="zh-CN"/>
        </w:rPr>
        <w:t>支出情况。2020年度支出合计为4747.69万元，较上年决算数减少2768.31万元，下降36.83%，主要原因是</w:t>
      </w:r>
      <w:r>
        <w:rPr>
          <w:rFonts w:hint="eastAsia" w:ascii="Times New Roman" w:hAnsi="Times New Roman"/>
          <w:lang w:val="en-US" w:eastAsia="zh-CN"/>
        </w:rPr>
        <w:t>2020年度下达的项目较2019年度减少，导致项目支出减少。</w:t>
      </w:r>
    </w:p>
    <w:p>
      <w:pPr>
        <w:pStyle w:val="2"/>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right="320" w:rightChars="100" w:firstLine="640" w:firstLineChars="200"/>
        <w:textAlignment w:val="auto"/>
        <w:rPr>
          <w:rFonts w:hint="eastAsia" w:ascii="Times New Roman" w:hAnsi="Times New Roman" w:cs="仿宋_GB2312"/>
          <w:sz w:val="32"/>
          <w:szCs w:val="22"/>
          <w:lang w:val="en-US" w:eastAsia="zh-CN"/>
        </w:rPr>
      </w:pPr>
      <w:r>
        <w:rPr>
          <w:rFonts w:hint="eastAsia" w:ascii="Times New Roman" w:hAnsi="Times New Roman" w:cs="仿宋_GB2312"/>
          <w:sz w:val="32"/>
          <w:szCs w:val="22"/>
          <w:lang w:val="en-US" w:eastAsia="zh-CN"/>
        </w:rPr>
        <w:t>结转结余情况。2020年度本单位无结转结余。</w:t>
      </w:r>
    </w:p>
    <w:p>
      <w:pPr>
        <w:pStyle w:val="2"/>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eastAsia" w:ascii="Times New Roman" w:hAnsi="Times New Roman" w:eastAsia="方正楷体_GBK" w:cs="方正楷体_GBK"/>
          <w:lang w:val="en-US" w:eastAsia="zh-CN"/>
        </w:rPr>
      </w:pPr>
      <w:r>
        <w:rPr>
          <w:rFonts w:hint="eastAsia" w:ascii="Times New Roman" w:hAnsi="Times New Roman" w:eastAsia="方正楷体_GBK" w:cs="方正楷体_GBK"/>
          <w:lang w:val="en-US" w:eastAsia="zh-CN"/>
        </w:rPr>
        <w:t>（二）财政拨款收入支出决算总体情况说明</w:t>
      </w:r>
    </w:p>
    <w:p>
      <w:pPr>
        <w:pStyle w:val="2"/>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default" w:ascii="Times New Roman" w:hAnsi="Times New Roman" w:cs="仿宋_GB2312"/>
          <w:sz w:val="32"/>
          <w:szCs w:val="22"/>
          <w:lang w:val="en-US" w:eastAsia="zh-CN"/>
        </w:rPr>
      </w:pPr>
      <w:r>
        <w:rPr>
          <w:rFonts w:hint="eastAsia" w:ascii="Times New Roman" w:hAnsi="Times New Roman" w:cs="仿宋_GB2312"/>
          <w:sz w:val="32"/>
          <w:szCs w:val="22"/>
          <w:lang w:val="en-US" w:eastAsia="zh-CN"/>
        </w:rPr>
        <w:t>2020年度财政拨款收、支总计4645.71万元。与2019年相比，财政拨款收支总计各减少927.81万元，下降16.65%，主要原因是2020年度下达的项目较2019年度减少，导致财政拨款项目收支减少，比重降低。</w:t>
      </w:r>
    </w:p>
    <w:p>
      <w:pPr>
        <w:pStyle w:val="2"/>
        <w:keepNext w:val="0"/>
        <w:keepLines w:val="0"/>
        <w:pageBreakBefore w:val="0"/>
        <w:numPr>
          <w:ilvl w:val="0"/>
          <w:numId w:val="0"/>
        </w:numPr>
        <w:kinsoku/>
        <w:wordWrap/>
        <w:overflowPunct/>
        <w:topLinePunct w:val="0"/>
        <w:autoSpaceDE/>
        <w:autoSpaceDN/>
        <w:bidi w:val="0"/>
        <w:adjustRightInd/>
        <w:snapToGrid w:val="0"/>
        <w:spacing w:line="600" w:lineRule="exact"/>
        <w:ind w:right="320" w:rightChars="100" w:firstLine="640" w:firstLineChars="200"/>
        <w:textAlignment w:val="auto"/>
        <w:rPr>
          <w:rFonts w:hint="eastAsia" w:ascii="Times New Roman" w:hAnsi="Times New Roman" w:eastAsia="方正楷体_GBK" w:cs="方正楷体_GBK"/>
          <w:lang w:val="en-US" w:eastAsia="zh-CN"/>
        </w:rPr>
      </w:pPr>
      <w:r>
        <w:rPr>
          <w:rFonts w:hint="eastAsia" w:ascii="Times New Roman" w:hAnsi="Times New Roman" w:eastAsia="方正楷体_GBK" w:cs="方正楷体_GBK"/>
          <w:lang w:val="en-US" w:eastAsia="zh-CN"/>
        </w:rPr>
        <w:t>（三）一般公共预算财政拨款支出决算情况说明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1. 收入情况。2020年度一般公共预算财政拨款收入为3488.26万元，较上年决算数减少773.27万元，下降18.15%，原因是2020年度上级部门下达的一般公共预算财政拨款项目较2019年度减少，导致一般公共预算财政拨款项目收入减少。</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 支出情况。202</w:t>
      </w:r>
      <w:r>
        <w:rPr>
          <w:rFonts w:hint="eastAsia" w:ascii="Times New Roman" w:hAnsi="Times New Roman" w:cs="仿宋_GB2312"/>
          <w:sz w:val="32"/>
          <w:szCs w:val="22"/>
          <w:lang w:val="en-US" w:eastAsia="zh-CN"/>
        </w:rPr>
        <w:t>0年度</w:t>
      </w:r>
      <w:r>
        <w:rPr>
          <w:rFonts w:hint="eastAsia" w:ascii="Times New Roman" w:hAnsi="Times New Roman" w:eastAsia="方正仿宋_GBK" w:cs="仿宋_GB2312"/>
          <w:color w:val="auto"/>
          <w:kern w:val="2"/>
          <w:sz w:val="32"/>
          <w:szCs w:val="22"/>
          <w:lang w:val="en-US" w:eastAsia="zh-CN" w:bidi="ar-SA"/>
        </w:rPr>
        <w:t>2020年度一般公共预算财政拨款支出为3488.26万元，较上年决算数减少773.27万元，下降18.15%，原因是2020年度上级部门下达的一般公共预算财政拨款项目较2019年度减少，导致一般公共预算财政拨款项目支出减少。</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3. 结转结余情况。本单位2020年度一般公共预算财政拨款支出无结转结余。</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（四）一般公共预算财政拨款基本支出决算情况说明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2020年度一般公共预算财政拨款基本支出为1500.26万元，较上年决算数增加63.68万元，增长4.4%，主要原因是在编人员正常调资。</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sz w:val="32"/>
          <w:szCs w:val="22"/>
          <w:lang w:val="en-US" w:eastAsia="zh-CN"/>
        </w:rPr>
      </w:pPr>
      <w:r>
        <w:rPr>
          <w:rFonts w:hint="eastAsia" w:ascii="Times New Roman" w:hAnsi="Times New Roman" w:eastAsia="方正楷体_GBK" w:cs="方正楷体_GBK"/>
          <w:sz w:val="32"/>
          <w:szCs w:val="22"/>
          <w:lang w:val="en-US" w:eastAsia="zh-CN"/>
        </w:rPr>
        <w:t>（五）政府性基金预算收支决算情况说明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2020年度政府性基金预算财政拨款收支均为为1157.45万元，较上年决算数减少154.54万元，下降11.78%，原因是2020年度上级部门下达的政府性基金项目减少；导致政府性基金预算财政拨款收支减少。</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（六）其他收入决算情况说明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2020年度其他收入收支均为101.98万元，较上年决算数减少1675.3万元，下降94.26%，原因是2020年度其他收入减少，安排的项目数量下降。</w:t>
      </w:r>
    </w:p>
    <w:p>
      <w:pPr>
        <w:pStyle w:val="3"/>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财政拨款支出与年初预算数对比情况</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财政拨款收支决算数为4645.71万元。其中一般公共预算财政拨款收支决算数为3488.26万元，与年初预算数相比，增加1961.71万元，增长128.51%，主要原因是年初预算时不能预测区级部门项目补助，故未纳入年初预算，导致决算数与预算数相差较大；政府性基金决算数为1157.45万元，与年初预算数相比增加了1156.45万元，增长115645%，主要原因是年初预算时只将本级政府政府性基金收入纳入年初预算，上级部门的政府性基金项目在年初预算时无法预测，未纳入年初预算，故数字相差较大。</w:t>
      </w:r>
    </w:p>
    <w:p>
      <w:pPr>
        <w:pStyle w:val="3"/>
        <w:keepNext w:val="0"/>
        <w:keepLines w:val="0"/>
        <w:pageBreakBefore w:val="0"/>
        <w:numPr>
          <w:ilvl w:val="0"/>
          <w:numId w:val="4"/>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方正楷体_GBK"/>
          <w:color w:val="auto"/>
          <w:kern w:val="2"/>
          <w:sz w:val="32"/>
          <w:szCs w:val="22"/>
          <w:lang w:val="en-US" w:eastAsia="zh-CN" w:bidi="ar-SA"/>
        </w:rPr>
      </w:pPr>
      <w:r>
        <w:rPr>
          <w:rFonts w:hint="default" w:ascii="Times New Roman" w:hAnsi="Times New Roman" w:eastAsia="方正楷体_GBK" w:cs="方正楷体_GBK"/>
          <w:color w:val="auto"/>
          <w:kern w:val="2"/>
          <w:sz w:val="32"/>
          <w:szCs w:val="22"/>
          <w:lang w:val="en-US" w:eastAsia="zh-CN" w:bidi="ar-SA"/>
        </w:rPr>
        <w:t>国有资本经营预算财政拨款支出决算情况说明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本单位2020年度无</w:t>
      </w:r>
      <w:r>
        <w:rPr>
          <w:rFonts w:hint="default" w:ascii="Times New Roman" w:hAnsi="Times New Roman" w:eastAsia="方正仿宋_GBK" w:cs="仿宋_GB2312"/>
          <w:color w:val="auto"/>
          <w:kern w:val="2"/>
          <w:sz w:val="32"/>
          <w:szCs w:val="22"/>
          <w:lang w:val="en-US" w:eastAsia="zh-CN" w:bidi="ar-SA"/>
        </w:rPr>
        <w:t>国有资本经营预算财政拨款支出</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 xml:space="preserve">三、“三公”经费情况说明 </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（一）</w:t>
      </w:r>
      <w:r>
        <w:rPr>
          <w:rFonts w:hint="default" w:ascii="Times New Roman" w:hAnsi="Times New Roman" w:eastAsia="方正楷体_GBK" w:cs="方正楷体_GBK"/>
          <w:color w:val="auto"/>
          <w:kern w:val="2"/>
          <w:sz w:val="32"/>
          <w:szCs w:val="22"/>
          <w:lang w:val="en-US" w:eastAsia="zh-CN" w:bidi="ar-SA"/>
        </w:rPr>
        <w:t>“三公”经费支出情况。</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1. 总体情况。2020年度“三公”经费支出决算数为19.51万元，较年初预算数减少0.01万元，下降0.03%。较上年支出数减少0.02万元，下降0.08%.。原因是按照相关规定，严格控制“三公”经费支出。</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 分项支出情况。</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本单位无因公出国（境）费。</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公务用车购置及运行维护费15.05万元，较年初预算数减少0.01万元，下降0.03%。较上年支出数减少0.01万元，下降0.09%.。原因是按照相关规定，严格控制“三公”经费支出。</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国内公务接待费4.46万元。与年初预算数持平。较上年支出数减少0.002万元，下降0.06%.。原因是按照相关规定，严格控制“三公”经费支出。</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（二）“三公”经费实物量情况。</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2020年度本单位因公出国（境）共计0个团组；公务车保有量为5辆；国内公务接待批次244批次1223人。其中：国内外事接待0批次。</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四、其他需要说明的事项</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（一）机关运行经费情况说明。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default" w:ascii="Times New Roman" w:hAnsi="Times New Roman" w:eastAsia="方正仿宋_GBK" w:cs="仿宋_GB2312"/>
          <w:color w:val="auto"/>
          <w:kern w:val="2"/>
          <w:sz w:val="32"/>
          <w:szCs w:val="22"/>
          <w:lang w:val="en-US" w:eastAsia="zh-CN" w:bidi="ar-SA"/>
        </w:rPr>
        <w:t>2020年度本单位机关运行经费支出</w:t>
      </w:r>
      <w:r>
        <w:rPr>
          <w:rFonts w:hint="eastAsia" w:ascii="Times New Roman" w:hAnsi="Times New Roman" w:eastAsia="方正仿宋_GBK" w:cs="仿宋_GB2312"/>
          <w:color w:val="auto"/>
          <w:kern w:val="2"/>
          <w:sz w:val="32"/>
          <w:szCs w:val="22"/>
          <w:lang w:val="en-US" w:eastAsia="zh-CN" w:bidi="ar-SA"/>
        </w:rPr>
        <w:t>238.54</w:t>
      </w:r>
      <w:r>
        <w:rPr>
          <w:rFonts w:hint="default" w:ascii="Times New Roman" w:hAnsi="Times New Roman" w:eastAsia="方正仿宋_GBK" w:cs="仿宋_GB2312"/>
          <w:color w:val="auto"/>
          <w:kern w:val="2"/>
          <w:sz w:val="32"/>
          <w:szCs w:val="22"/>
          <w:lang w:val="en-US" w:eastAsia="zh-CN" w:bidi="ar-SA"/>
        </w:rPr>
        <w:t>万元，比2019年度减少</w:t>
      </w:r>
      <w:r>
        <w:rPr>
          <w:rFonts w:hint="eastAsia" w:ascii="Times New Roman" w:hAnsi="Times New Roman" w:eastAsia="方正仿宋_GBK" w:cs="仿宋_GB2312"/>
          <w:color w:val="auto"/>
          <w:kern w:val="2"/>
          <w:sz w:val="32"/>
          <w:szCs w:val="22"/>
          <w:lang w:val="en-US" w:eastAsia="zh-CN" w:bidi="ar-SA"/>
        </w:rPr>
        <w:t>76.25</w:t>
      </w:r>
      <w:r>
        <w:rPr>
          <w:rFonts w:hint="default" w:ascii="Times New Roman" w:hAnsi="Times New Roman" w:eastAsia="方正仿宋_GBK" w:cs="仿宋_GB2312"/>
          <w:color w:val="auto"/>
          <w:kern w:val="2"/>
          <w:sz w:val="32"/>
          <w:szCs w:val="22"/>
          <w:lang w:val="en-US" w:eastAsia="zh-CN" w:bidi="ar-SA"/>
        </w:rPr>
        <w:t>万元，下降</w:t>
      </w:r>
      <w:r>
        <w:rPr>
          <w:rFonts w:hint="eastAsia" w:ascii="Times New Roman" w:hAnsi="Times New Roman" w:eastAsia="方正仿宋_GBK" w:cs="仿宋_GB2312"/>
          <w:color w:val="auto"/>
          <w:kern w:val="2"/>
          <w:sz w:val="32"/>
          <w:szCs w:val="22"/>
          <w:lang w:val="en-US" w:eastAsia="zh-CN" w:bidi="ar-SA"/>
        </w:rPr>
        <w:t>24.22</w:t>
      </w:r>
      <w:r>
        <w:rPr>
          <w:rFonts w:hint="default" w:ascii="Times New Roman" w:hAnsi="Times New Roman" w:eastAsia="方正仿宋_GBK" w:cs="仿宋_GB2312"/>
          <w:color w:val="auto"/>
          <w:kern w:val="2"/>
          <w:sz w:val="32"/>
          <w:szCs w:val="22"/>
          <w:lang w:val="en-US" w:eastAsia="zh-CN" w:bidi="ar-SA"/>
        </w:rPr>
        <w:t>%，主要原因是</w:t>
      </w:r>
      <w:r>
        <w:rPr>
          <w:rFonts w:hint="eastAsia" w:ascii="Times New Roman" w:hAnsi="Times New Roman" w:eastAsia="方正仿宋_GBK" w:cs="仿宋_GB2312"/>
          <w:color w:val="auto"/>
          <w:kern w:val="2"/>
          <w:sz w:val="32"/>
          <w:szCs w:val="22"/>
          <w:lang w:val="en-US" w:eastAsia="zh-CN" w:bidi="ar-SA"/>
        </w:rPr>
        <w:t>政策调减。</w:t>
      </w:r>
      <w:r>
        <w:rPr>
          <w:rFonts w:hint="default" w:ascii="Times New Roman" w:hAnsi="Times New Roman" w:eastAsia="方正仿宋_GBK" w:cs="仿宋_GB2312"/>
          <w:color w:val="auto"/>
          <w:kern w:val="2"/>
          <w:sz w:val="32"/>
          <w:szCs w:val="22"/>
          <w:lang w:val="en-US" w:eastAsia="zh-CN" w:bidi="ar-SA"/>
        </w:rPr>
        <w:t>本年度</w:t>
      </w:r>
      <w:r>
        <w:rPr>
          <w:rFonts w:hint="eastAsia" w:ascii="Times New Roman" w:hAnsi="Times New Roman" w:eastAsia="方正仿宋_GBK" w:cs="仿宋_GB2312"/>
          <w:color w:val="auto"/>
          <w:kern w:val="2"/>
          <w:sz w:val="32"/>
          <w:szCs w:val="22"/>
          <w:lang w:val="en-US" w:eastAsia="zh-CN" w:bidi="ar-SA"/>
        </w:rPr>
        <w:t>机关运行费主要用于以下开支：办公费41.74万元，水费支出1.45万元，电费支出7.9万元，邮电费15.37万元，差旅费60.25万元，维修（护）费支出2.33万元，会议费支出1.5万元，培训费支出2.08万元，公务接待费支出2.39万元，劳务费支出9.71万元，委托业务费支出8万元，工会经费支出8.1万元，福利费支出4.17万元，公务用车运行维护费支出10.55万元，其他交通费用34.7万元，其他商品和服务支出28.3万元（事业单位不在机关运行经费统计范围之内）。</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本年度会议费支出1.5万元，较上年决算数减少0.28万元，下降15.75%，主要原因是实际支出发生变化。</w:t>
      </w:r>
      <w:r>
        <w:rPr>
          <w:rFonts w:hint="default" w:ascii="Times New Roman" w:hAnsi="Times New Roman" w:eastAsia="方正仿宋_GBK" w:cs="仿宋_GB2312"/>
          <w:color w:val="auto"/>
          <w:kern w:val="2"/>
          <w:sz w:val="32"/>
          <w:szCs w:val="22"/>
          <w:lang w:val="en-US" w:eastAsia="zh-CN" w:bidi="ar-SA"/>
        </w:rPr>
        <w:t>本年度培训费支出</w:t>
      </w:r>
      <w:r>
        <w:rPr>
          <w:rFonts w:hint="eastAsia" w:ascii="Times New Roman" w:hAnsi="Times New Roman" w:eastAsia="方正仿宋_GBK" w:cs="仿宋_GB2312"/>
          <w:color w:val="auto"/>
          <w:kern w:val="2"/>
          <w:sz w:val="32"/>
          <w:szCs w:val="22"/>
          <w:lang w:val="en-US" w:eastAsia="zh-CN" w:bidi="ar-SA"/>
        </w:rPr>
        <w:t>2.08万元</w:t>
      </w:r>
      <w:r>
        <w:rPr>
          <w:rFonts w:hint="default" w:ascii="Times New Roman" w:hAnsi="Times New Roman" w:eastAsia="方正仿宋_GBK" w:cs="仿宋_GB2312"/>
          <w:color w:val="auto"/>
          <w:kern w:val="2"/>
          <w:sz w:val="32"/>
          <w:szCs w:val="22"/>
          <w:lang w:val="en-US" w:eastAsia="zh-CN" w:bidi="ar-SA"/>
        </w:rPr>
        <w:t>，较上年决算数</w:t>
      </w:r>
      <w:r>
        <w:rPr>
          <w:rFonts w:hint="eastAsia" w:ascii="Times New Roman" w:hAnsi="Times New Roman" w:eastAsia="方正仿宋_GBK" w:cs="仿宋_GB2312"/>
          <w:color w:val="auto"/>
          <w:kern w:val="2"/>
          <w:sz w:val="32"/>
          <w:szCs w:val="22"/>
          <w:lang w:val="en-US" w:eastAsia="zh-CN" w:bidi="ar-SA"/>
        </w:rPr>
        <w:t>减少0.79</w:t>
      </w:r>
      <w:r>
        <w:rPr>
          <w:rFonts w:hint="default" w:ascii="Times New Roman" w:hAnsi="Times New Roman" w:eastAsia="方正仿宋_GBK" w:cs="仿宋_GB2312"/>
          <w:color w:val="auto"/>
          <w:kern w:val="2"/>
          <w:sz w:val="32"/>
          <w:szCs w:val="22"/>
          <w:lang w:val="en-US" w:eastAsia="zh-CN" w:bidi="ar-SA"/>
        </w:rPr>
        <w:t>万元，</w:t>
      </w:r>
      <w:r>
        <w:rPr>
          <w:rFonts w:hint="eastAsia" w:ascii="Times New Roman" w:hAnsi="Times New Roman" w:eastAsia="方正仿宋_GBK" w:cs="仿宋_GB2312"/>
          <w:color w:val="auto"/>
          <w:kern w:val="2"/>
          <w:sz w:val="32"/>
          <w:szCs w:val="22"/>
          <w:lang w:val="en-US" w:eastAsia="zh-CN" w:bidi="ar-SA"/>
        </w:rPr>
        <w:t>下降27.53</w:t>
      </w:r>
      <w:r>
        <w:rPr>
          <w:rFonts w:hint="default" w:ascii="Times New Roman" w:hAnsi="Times New Roman" w:eastAsia="方正仿宋_GBK" w:cs="仿宋_GB2312"/>
          <w:color w:val="auto"/>
          <w:kern w:val="2"/>
          <w:sz w:val="32"/>
          <w:szCs w:val="22"/>
          <w:lang w:val="en-US" w:eastAsia="zh-CN" w:bidi="ar-SA"/>
        </w:rPr>
        <w:t>%，主要原因是</w:t>
      </w:r>
      <w:r>
        <w:rPr>
          <w:rFonts w:hint="eastAsia" w:ascii="Times New Roman" w:hAnsi="Times New Roman" w:eastAsia="方正仿宋_GBK" w:cs="仿宋_GB2312"/>
          <w:color w:val="auto"/>
          <w:kern w:val="2"/>
          <w:sz w:val="32"/>
          <w:szCs w:val="22"/>
          <w:lang w:val="en-US" w:eastAsia="zh-CN" w:bidi="ar-SA"/>
        </w:rPr>
        <w:t>实际支出发生变化。</w:t>
      </w:r>
    </w:p>
    <w:p>
      <w:pPr>
        <w:pStyle w:val="3"/>
        <w:keepNext w:val="0"/>
        <w:keepLines w:val="0"/>
        <w:pageBreakBefore w:val="0"/>
        <w:numPr>
          <w:ilvl w:val="0"/>
          <w:numId w:val="2"/>
        </w:numPr>
        <w:kinsoku/>
        <w:wordWrap/>
        <w:overflowPunct/>
        <w:topLinePunct w:val="0"/>
        <w:autoSpaceDE/>
        <w:autoSpaceDN/>
        <w:bidi w:val="0"/>
        <w:adjustRightInd/>
        <w:snapToGrid w:val="0"/>
        <w:spacing w:line="600" w:lineRule="exact"/>
        <w:ind w:left="640" w:leftChars="200" w:firstLine="0" w:firstLineChars="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国有资产占用情况说明。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default" w:ascii="Times New Roman" w:hAnsi="Times New Roman" w:eastAsia="方正仿宋_GBK" w:cs="仿宋_GB2312"/>
          <w:color w:val="auto"/>
          <w:kern w:val="2"/>
          <w:sz w:val="32"/>
          <w:szCs w:val="22"/>
          <w:lang w:val="en-US" w:eastAsia="zh-CN" w:bidi="ar-SA"/>
        </w:rPr>
        <w:t>截至2020年12月31日，本部门共有车辆</w:t>
      </w:r>
      <w:r>
        <w:rPr>
          <w:rFonts w:hint="eastAsia" w:ascii="Times New Roman" w:hAnsi="Times New Roman" w:eastAsia="方正仿宋_GBK" w:cs="仿宋_GB2312"/>
          <w:color w:val="auto"/>
          <w:kern w:val="2"/>
          <w:sz w:val="32"/>
          <w:szCs w:val="22"/>
          <w:lang w:val="en-US" w:eastAsia="zh-CN" w:bidi="ar-SA"/>
        </w:rPr>
        <w:t>5</w:t>
      </w:r>
      <w:r>
        <w:rPr>
          <w:rFonts w:hint="default" w:ascii="Times New Roman" w:hAnsi="Times New Roman" w:eastAsia="方正仿宋_GBK" w:cs="仿宋_GB2312"/>
          <w:color w:val="auto"/>
          <w:kern w:val="2"/>
          <w:sz w:val="32"/>
          <w:szCs w:val="22"/>
          <w:lang w:val="en-US" w:eastAsia="zh-CN" w:bidi="ar-SA"/>
        </w:rPr>
        <w:t>辆。其中：副部（省）级及以上领导用车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辆，主要领导干部用车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辆，机要通信用车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辆，应急保障用车</w:t>
      </w:r>
      <w:r>
        <w:rPr>
          <w:rFonts w:hint="eastAsia" w:ascii="Times New Roman" w:hAnsi="Times New Roman" w:eastAsia="方正仿宋_GBK" w:cs="仿宋_GB2312"/>
          <w:color w:val="auto"/>
          <w:kern w:val="2"/>
          <w:sz w:val="32"/>
          <w:szCs w:val="22"/>
          <w:lang w:val="en-US" w:eastAsia="zh-CN" w:bidi="ar-SA"/>
        </w:rPr>
        <w:t>5</w:t>
      </w:r>
      <w:r>
        <w:rPr>
          <w:rFonts w:hint="default" w:ascii="Times New Roman" w:hAnsi="Times New Roman" w:eastAsia="方正仿宋_GBK" w:cs="仿宋_GB2312"/>
          <w:color w:val="auto"/>
          <w:kern w:val="2"/>
          <w:sz w:val="32"/>
          <w:szCs w:val="22"/>
          <w:lang w:val="en-US" w:eastAsia="zh-CN" w:bidi="ar-SA"/>
        </w:rPr>
        <w:t>辆，执法执勤用车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辆，特种专业技术用车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辆，离退休干部用车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辆，其他用车</w:t>
      </w:r>
      <w:r>
        <w:rPr>
          <w:rFonts w:hint="eastAsia" w:ascii="Times New Roman" w:hAnsi="Times New Roman" w:eastAsia="方正仿宋_GBK" w:cs="仿宋_GB2312"/>
          <w:color w:val="auto"/>
          <w:kern w:val="2"/>
          <w:sz w:val="32"/>
          <w:szCs w:val="22"/>
          <w:lang w:val="en-US" w:eastAsia="zh-CN" w:bidi="ar-SA"/>
        </w:rPr>
        <w:t>0</w:t>
      </w:r>
      <w:r>
        <w:rPr>
          <w:rFonts w:hint="default" w:ascii="Times New Roman" w:hAnsi="Times New Roman" w:eastAsia="方正仿宋_GBK" w:cs="仿宋_GB2312"/>
          <w:color w:val="auto"/>
          <w:kern w:val="2"/>
          <w:sz w:val="32"/>
          <w:szCs w:val="22"/>
          <w:lang w:val="en-US" w:eastAsia="zh-CN" w:bidi="ar-SA"/>
        </w:rPr>
        <w:t>辆。</w:t>
      </w:r>
      <w:r>
        <w:rPr>
          <w:rFonts w:hint="eastAsia" w:ascii="Times New Roman" w:hAnsi="Times New Roman" w:eastAsia="方正仿宋_GBK" w:cs="仿宋_GB2312"/>
          <w:color w:val="auto"/>
          <w:kern w:val="2"/>
          <w:sz w:val="32"/>
          <w:szCs w:val="22"/>
          <w:lang w:val="en-US" w:eastAsia="zh-CN" w:bidi="ar-SA"/>
        </w:rPr>
        <w:t>无</w:t>
      </w:r>
      <w:r>
        <w:rPr>
          <w:rFonts w:hint="default" w:ascii="Times New Roman" w:hAnsi="Times New Roman" w:eastAsia="方正仿宋_GBK" w:cs="仿宋_GB2312"/>
          <w:color w:val="auto"/>
          <w:kern w:val="2"/>
          <w:sz w:val="32"/>
          <w:szCs w:val="22"/>
          <w:lang w:val="en-US" w:eastAsia="zh-CN" w:bidi="ar-SA"/>
        </w:rPr>
        <w:t>单价50万元（含）以上通用设备，</w:t>
      </w:r>
      <w:r>
        <w:rPr>
          <w:rFonts w:hint="eastAsia" w:ascii="Times New Roman" w:hAnsi="Times New Roman" w:eastAsia="方正仿宋_GBK" w:cs="仿宋_GB2312"/>
          <w:color w:val="auto"/>
          <w:kern w:val="2"/>
          <w:sz w:val="32"/>
          <w:szCs w:val="22"/>
          <w:lang w:val="en-US" w:eastAsia="zh-CN" w:bidi="ar-SA"/>
        </w:rPr>
        <w:t>无</w:t>
      </w:r>
      <w:r>
        <w:rPr>
          <w:rFonts w:hint="default" w:ascii="Times New Roman" w:hAnsi="Times New Roman" w:eastAsia="方正仿宋_GBK" w:cs="仿宋_GB2312"/>
          <w:color w:val="auto"/>
          <w:kern w:val="2"/>
          <w:sz w:val="32"/>
          <w:szCs w:val="22"/>
          <w:lang w:val="en-US" w:eastAsia="zh-CN" w:bidi="ar-SA"/>
        </w:rPr>
        <w:t>单价100万元（含）以上专用设备。</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（三）政府采购支出情况说明。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auto"/>
          <w:kern w:val="2"/>
          <w:sz w:val="32"/>
          <w:szCs w:val="22"/>
          <w:lang w:val="en-US" w:eastAsia="zh-CN" w:bidi="ar-SA"/>
        </w:rPr>
      </w:pPr>
      <w:r>
        <w:rPr>
          <w:rFonts w:hint="eastAsia" w:ascii="Times New Roman" w:hAnsi="Times New Roman" w:eastAsia="方正仿宋_GBK" w:cs="仿宋_GB2312"/>
          <w:color w:val="auto"/>
          <w:kern w:val="2"/>
          <w:sz w:val="32"/>
          <w:szCs w:val="22"/>
          <w:lang w:val="en-US" w:eastAsia="zh-CN" w:bidi="ar-SA"/>
        </w:rPr>
        <w:t>本单位2020年度无政府采购支出。</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方正黑体_GBK"/>
          <w:color w:val="auto"/>
          <w:kern w:val="2"/>
          <w:sz w:val="32"/>
          <w:szCs w:val="22"/>
          <w:lang w:val="en-US" w:eastAsia="zh-CN" w:bidi="ar-SA"/>
        </w:rPr>
      </w:pPr>
      <w:r>
        <w:rPr>
          <w:rFonts w:hint="eastAsia" w:ascii="Times New Roman" w:hAnsi="Times New Roman" w:eastAsia="方正黑体_GBK" w:cs="方正黑体_GBK"/>
          <w:color w:val="auto"/>
          <w:kern w:val="2"/>
          <w:sz w:val="32"/>
          <w:szCs w:val="22"/>
          <w:lang w:val="en-US" w:eastAsia="zh-CN" w:bidi="ar-SA"/>
        </w:rPr>
        <w:t>五、预算绩效管理情况说明</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（一）预算绩效管理工作开展情况</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仿宋_GB2312"/>
          <w:color w:val="auto"/>
          <w:kern w:val="2"/>
          <w:sz w:val="32"/>
          <w:szCs w:val="22"/>
          <w:lang w:val="en-US" w:eastAsia="zh-CN" w:bidi="ar-SA"/>
        </w:rPr>
      </w:pPr>
      <w:r>
        <w:rPr>
          <w:rFonts w:hint="default" w:ascii="Times New Roman" w:hAnsi="Times New Roman" w:eastAsia="方正仿宋_GBK" w:cs="仿宋_GB2312"/>
          <w:color w:val="auto"/>
          <w:kern w:val="2"/>
          <w:sz w:val="32"/>
          <w:szCs w:val="22"/>
          <w:lang w:val="en-US" w:eastAsia="zh-CN" w:bidi="ar-SA"/>
        </w:rPr>
        <w:t>根据预算绩效管理要求，</w:t>
      </w:r>
      <w:r>
        <w:rPr>
          <w:rFonts w:hint="eastAsia" w:ascii="Times New Roman" w:hAnsi="Times New Roman" w:eastAsia="方正仿宋_GBK" w:cs="仿宋_GB2312"/>
          <w:color w:val="auto"/>
          <w:kern w:val="2"/>
          <w:sz w:val="32"/>
          <w:szCs w:val="22"/>
          <w:lang w:val="en-US" w:eastAsia="zh-CN" w:bidi="ar-SA"/>
        </w:rPr>
        <w:t>我单位</w:t>
      </w:r>
      <w:r>
        <w:rPr>
          <w:rFonts w:hint="default" w:ascii="Times New Roman" w:hAnsi="Times New Roman" w:eastAsia="方正仿宋_GBK" w:cs="仿宋_GB2312"/>
          <w:color w:val="auto"/>
          <w:kern w:val="2"/>
          <w:sz w:val="32"/>
          <w:szCs w:val="22"/>
          <w:lang w:val="en-US" w:eastAsia="zh-CN" w:bidi="ar-SA"/>
        </w:rPr>
        <w:t>对</w:t>
      </w:r>
      <w:r>
        <w:rPr>
          <w:rFonts w:hint="eastAsia" w:ascii="Times New Roman" w:hAnsi="Times New Roman" w:eastAsia="方正仿宋_GBK" w:cs="仿宋_GB2312"/>
          <w:color w:val="auto"/>
          <w:kern w:val="2"/>
          <w:sz w:val="32"/>
          <w:szCs w:val="22"/>
          <w:lang w:val="en-US" w:eastAsia="zh-CN" w:bidi="ar-SA"/>
        </w:rPr>
        <w:t>1</w:t>
      </w:r>
      <w:r>
        <w:rPr>
          <w:rFonts w:hint="default" w:ascii="Times New Roman" w:hAnsi="Times New Roman" w:eastAsia="方正仿宋_GBK" w:cs="仿宋_GB2312"/>
          <w:color w:val="auto"/>
          <w:kern w:val="2"/>
          <w:sz w:val="32"/>
          <w:szCs w:val="22"/>
          <w:lang w:val="en-US" w:eastAsia="zh-CN" w:bidi="ar-SA"/>
        </w:rPr>
        <w:t>个项目开展了绩效自评，以填报绩效自评表形式开展项目自评</w:t>
      </w:r>
      <w:r>
        <w:rPr>
          <w:rFonts w:hint="eastAsia" w:ascii="Times New Roman" w:hAnsi="Times New Roman" w:eastAsia="方正仿宋_GBK" w:cs="仿宋_GB2312"/>
          <w:color w:val="auto"/>
          <w:kern w:val="2"/>
          <w:sz w:val="32"/>
          <w:szCs w:val="22"/>
          <w:lang w:val="en-US" w:eastAsia="zh-CN" w:bidi="ar-SA"/>
        </w:rPr>
        <w:t>1</w:t>
      </w:r>
      <w:r>
        <w:rPr>
          <w:rFonts w:hint="default" w:ascii="Times New Roman" w:hAnsi="Times New Roman" w:eastAsia="方正仿宋_GBK" w:cs="仿宋_GB2312"/>
          <w:color w:val="auto"/>
          <w:kern w:val="2"/>
          <w:sz w:val="32"/>
          <w:szCs w:val="22"/>
          <w:lang w:val="en-US" w:eastAsia="zh-CN" w:bidi="ar-SA"/>
        </w:rPr>
        <w:t>项，涉及资金</w:t>
      </w:r>
      <w:r>
        <w:rPr>
          <w:rFonts w:hint="eastAsia" w:ascii="Times New Roman" w:hAnsi="Times New Roman" w:eastAsia="方正仿宋_GBK" w:cs="仿宋_GB2312"/>
          <w:color w:val="auto"/>
          <w:kern w:val="2"/>
          <w:sz w:val="32"/>
          <w:szCs w:val="22"/>
          <w:lang w:val="en-US" w:eastAsia="zh-CN" w:bidi="ar-SA"/>
        </w:rPr>
        <w:t>216.9</w:t>
      </w:r>
      <w:r>
        <w:rPr>
          <w:rFonts w:hint="default" w:ascii="Times New Roman" w:hAnsi="Times New Roman" w:eastAsia="方正仿宋_GBK" w:cs="仿宋_GB2312"/>
          <w:color w:val="auto"/>
          <w:kern w:val="2"/>
          <w:sz w:val="32"/>
          <w:szCs w:val="22"/>
          <w:lang w:val="en-US" w:eastAsia="zh-CN" w:bidi="ar-SA"/>
        </w:rPr>
        <w:t>万元</w:t>
      </w:r>
      <w:r>
        <w:rPr>
          <w:rFonts w:hint="eastAsia" w:ascii="Times New Roman" w:hAnsi="Times New Roman" w:eastAsia="方正仿宋_GBK" w:cs="仿宋_GB2312"/>
          <w:color w:val="auto"/>
          <w:kern w:val="2"/>
          <w:sz w:val="32"/>
          <w:szCs w:val="22"/>
          <w:lang w:val="en-US" w:eastAsia="zh-CN" w:bidi="ar-SA"/>
        </w:rPr>
        <w:t>。</w:t>
      </w:r>
      <w:r>
        <w:rPr>
          <w:rFonts w:hint="default" w:ascii="Times New Roman" w:hAnsi="Times New Roman" w:eastAsia="方正仿宋_GBK" w:cs="仿宋_GB2312"/>
          <w:color w:val="auto"/>
          <w:kern w:val="2"/>
          <w:sz w:val="32"/>
          <w:szCs w:val="22"/>
          <w:lang w:val="en-US" w:eastAsia="zh-CN" w:bidi="ar-SA"/>
        </w:rPr>
        <w:t>从评价情况来看</w:t>
      </w:r>
      <w:r>
        <w:rPr>
          <w:rFonts w:hint="eastAsia" w:ascii="Times New Roman" w:hAnsi="Times New Roman" w:eastAsia="方正仿宋_GBK" w:cs="仿宋_GB2312"/>
          <w:color w:val="auto"/>
          <w:kern w:val="2"/>
          <w:sz w:val="32"/>
          <w:szCs w:val="22"/>
          <w:lang w:val="en-US" w:eastAsia="zh-CN" w:bidi="ar-SA"/>
        </w:rPr>
        <w:t>，本单位对大棚房专项治理开展了绩效自评，预算数为255.5万元，实际执行数为216.9万元，当年结转38.6万元。大棚房专项治理绩效目标为拆除六合项目总构建物面积5790平方米，拆除万树海项目总构建物面积13600平方米。实际拆除六合项目构建物面积5790平方米，拆除万树海项目总构建物面积13600平方米。完成绩效目标，并通过区农委验收。</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kern w:val="2"/>
          <w:sz w:val="32"/>
          <w:szCs w:val="22"/>
          <w:lang w:val="en-US" w:eastAsia="zh-CN" w:bidi="ar-SA"/>
        </w:rPr>
      </w:pPr>
      <w:r>
        <w:rPr>
          <w:rFonts w:hint="eastAsia" w:ascii="Times New Roman" w:hAnsi="Times New Roman" w:eastAsia="方正楷体_GBK" w:cs="方正楷体_GBK"/>
          <w:color w:val="auto"/>
          <w:kern w:val="2"/>
          <w:sz w:val="32"/>
          <w:szCs w:val="22"/>
          <w:lang w:val="en-US" w:eastAsia="zh-CN" w:bidi="ar-SA"/>
        </w:rPr>
        <w:t>（二）绩效自评结果</w:t>
      </w:r>
    </w:p>
    <w:p>
      <w:pPr>
        <w:pStyle w:val="3"/>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仿宋_GB2312"/>
          <w:color w:val="auto"/>
          <w:kern w:val="2"/>
          <w:sz w:val="32"/>
          <w:szCs w:val="22"/>
          <w:lang w:val="en-US" w:eastAsia="zh-CN" w:bidi="ar-SA"/>
        </w:rPr>
        <w:t>1.绩效自评</w:t>
      </w:r>
    </w:p>
    <w:tbl>
      <w:tblPr>
        <w:tblStyle w:val="7"/>
        <w:tblpPr w:leftFromText="180" w:rightFromText="180" w:vertAnchor="text" w:horzAnchor="page" w:tblpX="1339" w:tblpY="244"/>
        <w:tblOverlap w:val="never"/>
        <w:tblW w:w="9552" w:type="dxa"/>
        <w:tblInd w:w="0" w:type="dxa"/>
        <w:shd w:val="clear" w:color="auto" w:fill="auto"/>
        <w:tblLayout w:type="fixed"/>
        <w:tblCellMar>
          <w:top w:w="0" w:type="dxa"/>
          <w:left w:w="0" w:type="dxa"/>
          <w:bottom w:w="0" w:type="dxa"/>
          <w:right w:w="0" w:type="dxa"/>
        </w:tblCellMar>
      </w:tblPr>
      <w:tblGrid>
        <w:gridCol w:w="3"/>
        <w:gridCol w:w="807"/>
        <w:gridCol w:w="1021"/>
        <w:gridCol w:w="682"/>
        <w:gridCol w:w="931"/>
        <w:gridCol w:w="858"/>
        <w:gridCol w:w="540"/>
        <w:gridCol w:w="949"/>
        <w:gridCol w:w="752"/>
        <w:gridCol w:w="1039"/>
        <w:gridCol w:w="860"/>
        <w:gridCol w:w="1103"/>
        <w:gridCol w:w="7"/>
      </w:tblGrid>
      <w:tr>
        <w:tblPrEx>
          <w:tblCellMar>
            <w:top w:w="0" w:type="dxa"/>
            <w:left w:w="0" w:type="dxa"/>
            <w:bottom w:w="0" w:type="dxa"/>
            <w:right w:w="0" w:type="dxa"/>
          </w:tblCellMar>
        </w:tblPrEx>
        <w:trPr>
          <w:trHeight w:val="647" w:hRule="atLeast"/>
        </w:trPr>
        <w:tc>
          <w:tcPr>
            <w:tcW w:w="9552"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仿宋_GB2312"/>
                <w:color w:val="auto"/>
                <w:kern w:val="2"/>
                <w:sz w:val="32"/>
                <w:szCs w:val="22"/>
                <w:lang w:val="en-US" w:eastAsia="zh-CN" w:bidi="ar-SA"/>
              </w:rPr>
              <w:t>一般性项目绩效自评表样</w:t>
            </w: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项目名称</w:t>
            </w:r>
          </w:p>
        </w:tc>
        <w:tc>
          <w:tcPr>
            <w:tcW w:w="1703"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大棚房专项治理　</w:t>
            </w:r>
          </w:p>
        </w:tc>
        <w:tc>
          <w:tcPr>
            <w:tcW w:w="93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项目编码</w:t>
            </w:r>
          </w:p>
        </w:tc>
        <w:tc>
          <w:tcPr>
            <w:tcW w:w="1398"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1</w:t>
            </w:r>
          </w:p>
        </w:tc>
        <w:tc>
          <w:tcPr>
            <w:tcW w:w="949"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自评总分</w:t>
            </w:r>
          </w:p>
        </w:tc>
        <w:tc>
          <w:tcPr>
            <w:tcW w:w="3754" w:type="dxa"/>
            <w:gridSpan w:val="4"/>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eastAsia="zh-CN"/>
              </w:rPr>
            </w:pPr>
            <w:r>
              <w:rPr>
                <w:rFonts w:hint="eastAsia" w:cs="Times New Roman"/>
                <w:color w:val="auto"/>
                <w:kern w:val="0"/>
                <w:sz w:val="18"/>
                <w:szCs w:val="18"/>
                <w:lang w:val="en-US" w:eastAsia="zh-CN"/>
              </w:rPr>
              <w:t>100</w:t>
            </w: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703"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3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398"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（分）</w:t>
            </w:r>
          </w:p>
        </w:tc>
        <w:tc>
          <w:tcPr>
            <w:tcW w:w="3754" w:type="dxa"/>
            <w:gridSpan w:val="4"/>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主管部门</w:t>
            </w:r>
          </w:p>
        </w:tc>
        <w:tc>
          <w:tcPr>
            <w:tcW w:w="1703"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区农业农村委　</w:t>
            </w:r>
          </w:p>
        </w:tc>
        <w:tc>
          <w:tcPr>
            <w:tcW w:w="93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财政科室</w:t>
            </w:r>
          </w:p>
        </w:tc>
        <w:tc>
          <w:tcPr>
            <w:tcW w:w="1398"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　农业科</w:t>
            </w:r>
          </w:p>
        </w:tc>
        <w:tc>
          <w:tcPr>
            <w:tcW w:w="949"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项目</w:t>
            </w:r>
          </w:p>
        </w:tc>
        <w:tc>
          <w:tcPr>
            <w:tcW w:w="75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　孙启</w:t>
            </w:r>
          </w:p>
        </w:tc>
        <w:tc>
          <w:tcPr>
            <w:tcW w:w="1039"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联系电话</w:t>
            </w:r>
          </w:p>
        </w:tc>
        <w:tc>
          <w:tcPr>
            <w:tcW w:w="1963"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15223582909</w:t>
            </w: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703"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3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398"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联系人</w:t>
            </w:r>
          </w:p>
        </w:tc>
        <w:tc>
          <w:tcPr>
            <w:tcW w:w="75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39"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963"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项目资金（万元）</w:t>
            </w:r>
          </w:p>
        </w:tc>
        <w:tc>
          <w:tcPr>
            <w:tcW w:w="1021"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613"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年初预算数</w:t>
            </w:r>
          </w:p>
        </w:tc>
        <w:tc>
          <w:tcPr>
            <w:tcW w:w="1398"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全年（调整）预算数</w:t>
            </w:r>
          </w:p>
        </w:tc>
        <w:tc>
          <w:tcPr>
            <w:tcW w:w="1701"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全年执行数</w:t>
            </w:r>
          </w:p>
        </w:tc>
        <w:tc>
          <w:tcPr>
            <w:tcW w:w="1039"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执行率</w:t>
            </w:r>
          </w:p>
        </w:tc>
        <w:tc>
          <w:tcPr>
            <w:tcW w:w="8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执行率</w:t>
            </w:r>
          </w:p>
        </w:tc>
        <w:tc>
          <w:tcPr>
            <w:tcW w:w="1103"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执行率得分</w:t>
            </w: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613"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398"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701"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w:t>
            </w:r>
          </w:p>
        </w:tc>
        <w:tc>
          <w:tcPr>
            <w:tcW w:w="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权重</w:t>
            </w:r>
          </w:p>
        </w:tc>
        <w:tc>
          <w:tcPr>
            <w:tcW w:w="11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（分）</w:t>
            </w: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年度总金额</w:t>
            </w:r>
          </w:p>
        </w:tc>
        <w:tc>
          <w:tcPr>
            <w:tcW w:w="1613"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255.5</w:t>
            </w: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216.9</w:t>
            </w:r>
          </w:p>
        </w:tc>
        <w:tc>
          <w:tcPr>
            <w:tcW w:w="170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216.9</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rPr>
            </w:pPr>
            <w:r>
              <w:rPr>
                <w:rFonts w:hint="eastAsia" w:cs="Times New Roman"/>
                <w:color w:val="auto"/>
                <w:kern w:val="0"/>
                <w:sz w:val="18"/>
                <w:szCs w:val="18"/>
                <w:lang w:val="en-US" w:eastAsia="zh-CN"/>
              </w:rPr>
              <w:t>100</w:t>
            </w:r>
          </w:p>
        </w:tc>
        <w:tc>
          <w:tcPr>
            <w:tcW w:w="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rPr>
            </w:pPr>
            <w:r>
              <w:rPr>
                <w:rFonts w:hint="eastAsia" w:cs="Times New Roman"/>
                <w:color w:val="auto"/>
                <w:kern w:val="0"/>
                <w:sz w:val="18"/>
                <w:szCs w:val="18"/>
                <w:lang w:val="en-US" w:eastAsia="zh-CN"/>
              </w:rPr>
              <w:t>50</w:t>
            </w:r>
          </w:p>
        </w:tc>
        <w:tc>
          <w:tcPr>
            <w:tcW w:w="11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rPr>
            </w:pPr>
            <w:r>
              <w:rPr>
                <w:rFonts w:hint="eastAsia" w:cs="Times New Roman"/>
                <w:color w:val="auto"/>
                <w:kern w:val="0"/>
                <w:sz w:val="18"/>
                <w:szCs w:val="18"/>
                <w:lang w:val="en-US" w:eastAsia="zh-CN"/>
              </w:rPr>
              <w:t>50</w:t>
            </w:r>
          </w:p>
        </w:tc>
      </w:tr>
      <w:tr>
        <w:tblPrEx>
          <w:tblCellMar>
            <w:top w:w="0" w:type="dxa"/>
            <w:left w:w="0" w:type="dxa"/>
            <w:bottom w:w="0" w:type="dxa"/>
            <w:right w:w="0" w:type="dxa"/>
          </w:tblCellMar>
        </w:tblPrEx>
        <w:trPr>
          <w:gridBefore w:val="1"/>
          <w:gridAfter w:val="1"/>
          <w:wBefore w:w="3" w:type="dxa"/>
          <w:wAfter w:w="7" w:type="dxa"/>
          <w:trHeight w:val="701"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其中：市级支出</w:t>
            </w:r>
          </w:p>
        </w:tc>
        <w:tc>
          <w:tcPr>
            <w:tcW w:w="1613"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70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1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0" w:type="dxa"/>
            <w:bottom w:w="0" w:type="dxa"/>
            <w:right w:w="0" w:type="dxa"/>
          </w:tblCellMar>
        </w:tblPrEx>
        <w:trPr>
          <w:gridBefore w:val="1"/>
          <w:gridAfter w:val="1"/>
          <w:wBefore w:w="3" w:type="dxa"/>
          <w:wAfter w:w="7" w:type="dxa"/>
          <w:trHeight w:val="369"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补助区县</w:t>
            </w:r>
          </w:p>
        </w:tc>
        <w:tc>
          <w:tcPr>
            <w:tcW w:w="1613"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39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70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1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0" w:type="dxa"/>
            <w:bottom w:w="0" w:type="dxa"/>
            <w:right w:w="0" w:type="dxa"/>
          </w:tblCellMar>
        </w:tblPrEx>
        <w:trPr>
          <w:gridBefore w:val="1"/>
          <w:gridAfter w:val="1"/>
          <w:wBefore w:w="3" w:type="dxa"/>
          <w:wAfter w:w="7" w:type="dxa"/>
          <w:trHeight w:val="701"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当年绩效目标</w:t>
            </w:r>
          </w:p>
        </w:tc>
        <w:tc>
          <w:tcPr>
            <w:tcW w:w="263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年初绩效目标</w:t>
            </w:r>
          </w:p>
        </w:tc>
        <w:tc>
          <w:tcPr>
            <w:tcW w:w="3099"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全年（调整）绩效目标</w:t>
            </w:r>
          </w:p>
        </w:tc>
        <w:tc>
          <w:tcPr>
            <w:tcW w:w="300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全年目标实际完成情况</w:t>
            </w:r>
          </w:p>
        </w:tc>
      </w:tr>
      <w:tr>
        <w:tblPrEx>
          <w:tblCellMar>
            <w:top w:w="0" w:type="dxa"/>
            <w:left w:w="0" w:type="dxa"/>
            <w:bottom w:w="0" w:type="dxa"/>
            <w:right w:w="0" w:type="dxa"/>
          </w:tblCellMar>
        </w:tblPrEx>
        <w:trPr>
          <w:gridBefore w:val="1"/>
          <w:gridAfter w:val="1"/>
          <w:wBefore w:w="3" w:type="dxa"/>
          <w:wAfter w:w="7" w:type="dxa"/>
          <w:trHeight w:val="1620"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拆除六合、万树海两个项目</w:t>
            </w:r>
          </w:p>
        </w:tc>
        <w:tc>
          <w:tcPr>
            <w:tcW w:w="263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拆除六合项目总建构筑物面积</w:t>
            </w:r>
            <w:r>
              <w:rPr>
                <w:rFonts w:hint="default" w:ascii="Times New Roman" w:hAnsi="Times New Roman" w:eastAsia="方正仿宋_GBK" w:cs="Times New Roman"/>
                <w:color w:val="auto"/>
                <w:kern w:val="0"/>
                <w:sz w:val="18"/>
                <w:szCs w:val="18"/>
                <w:lang w:val="en-US" w:eastAsia="zh-CN"/>
              </w:rPr>
              <w:t>5790</w:t>
            </w:r>
            <w:r>
              <w:rPr>
                <w:rFonts w:hint="eastAsia" w:ascii="Times New Roman" w:hAnsi="Times New Roman" w:eastAsia="方正仿宋_GBK" w:cs="Times New Roman"/>
                <w:color w:val="auto"/>
                <w:kern w:val="0"/>
                <w:sz w:val="18"/>
                <w:szCs w:val="18"/>
                <w:lang w:val="en-US" w:eastAsia="zh-CN"/>
              </w:rPr>
              <w:t>平方米，拆除万树海项目总建构筑物面积13600平方米</w:t>
            </w:r>
          </w:p>
        </w:tc>
        <w:tc>
          <w:tcPr>
            <w:tcW w:w="3099"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拆除六合项目总建构筑物面积</w:t>
            </w:r>
            <w:r>
              <w:rPr>
                <w:rFonts w:hint="default" w:ascii="Times New Roman" w:hAnsi="Times New Roman" w:eastAsia="方正仿宋_GBK" w:cs="Times New Roman"/>
                <w:color w:val="auto"/>
                <w:kern w:val="0"/>
                <w:sz w:val="18"/>
                <w:szCs w:val="18"/>
                <w:lang w:val="en-US" w:eastAsia="zh-CN"/>
              </w:rPr>
              <w:t>5790</w:t>
            </w:r>
            <w:r>
              <w:rPr>
                <w:rFonts w:hint="eastAsia" w:ascii="Times New Roman" w:hAnsi="Times New Roman" w:eastAsia="方正仿宋_GBK" w:cs="Times New Roman"/>
                <w:color w:val="auto"/>
                <w:kern w:val="0"/>
                <w:sz w:val="18"/>
                <w:szCs w:val="18"/>
                <w:lang w:val="en-US" w:eastAsia="zh-CN"/>
              </w:rPr>
              <w:t>平方米，拆除万树海项目总建构筑物面积</w:t>
            </w:r>
            <w:r>
              <w:rPr>
                <w:rFonts w:hint="default" w:ascii="Times New Roman" w:hAnsi="Times New Roman" w:eastAsia="方正仿宋_GBK" w:cs="Times New Roman"/>
                <w:color w:val="auto"/>
                <w:kern w:val="0"/>
                <w:sz w:val="18"/>
                <w:szCs w:val="18"/>
                <w:lang w:val="en-US" w:eastAsia="zh-CN"/>
              </w:rPr>
              <w:t>13600</w:t>
            </w:r>
            <w:r>
              <w:rPr>
                <w:rFonts w:hint="eastAsia" w:ascii="Times New Roman" w:hAnsi="Times New Roman" w:eastAsia="方正仿宋_GBK" w:cs="Times New Roman"/>
                <w:color w:val="auto"/>
                <w:kern w:val="0"/>
                <w:sz w:val="18"/>
                <w:szCs w:val="18"/>
                <w:lang w:val="en-US" w:eastAsia="zh-CN"/>
              </w:rPr>
              <w:t>平方米</w:t>
            </w:r>
          </w:p>
        </w:tc>
        <w:tc>
          <w:tcPr>
            <w:tcW w:w="300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已完成，</w:t>
            </w:r>
            <w:r>
              <w:rPr>
                <w:rFonts w:hint="default" w:ascii="Times New Roman" w:hAnsi="Times New Roman" w:eastAsia="方正仿宋_GBK" w:cs="Times New Roman"/>
                <w:color w:val="auto"/>
                <w:kern w:val="0"/>
                <w:sz w:val="18"/>
                <w:szCs w:val="18"/>
                <w:lang w:val="en-US" w:eastAsia="zh-CN"/>
              </w:rPr>
              <w:t>2019</w:t>
            </w:r>
            <w:r>
              <w:rPr>
                <w:rFonts w:hint="eastAsia" w:ascii="Times New Roman" w:hAnsi="Times New Roman" w:eastAsia="方正仿宋_GBK" w:cs="Times New Roman"/>
                <w:color w:val="auto"/>
                <w:kern w:val="0"/>
                <w:sz w:val="18"/>
                <w:szCs w:val="18"/>
                <w:lang w:val="en-US" w:eastAsia="zh-CN"/>
              </w:rPr>
              <w:t>年</w:t>
            </w:r>
            <w:r>
              <w:rPr>
                <w:rFonts w:hint="default" w:ascii="Times New Roman" w:hAnsi="Times New Roman" w:eastAsia="方正仿宋_GBK" w:cs="Times New Roman"/>
                <w:color w:val="auto"/>
                <w:kern w:val="0"/>
                <w:sz w:val="18"/>
                <w:szCs w:val="18"/>
                <w:lang w:val="en-US" w:eastAsia="zh-CN"/>
              </w:rPr>
              <w:t>3</w:t>
            </w:r>
            <w:r>
              <w:rPr>
                <w:rFonts w:hint="eastAsia" w:ascii="Times New Roman" w:hAnsi="Times New Roman" w:eastAsia="方正仿宋_GBK" w:cs="Times New Roman"/>
                <w:color w:val="auto"/>
                <w:kern w:val="0"/>
                <w:sz w:val="18"/>
                <w:szCs w:val="18"/>
                <w:lang w:val="en-US" w:eastAsia="zh-CN"/>
              </w:rPr>
              <w:t>月通过区农委验收</w:t>
            </w:r>
          </w:p>
        </w:tc>
      </w:tr>
      <w:tr>
        <w:tblPrEx>
          <w:tblCellMar>
            <w:top w:w="0" w:type="dxa"/>
            <w:left w:w="0" w:type="dxa"/>
            <w:bottom w:w="0" w:type="dxa"/>
            <w:right w:w="0" w:type="dxa"/>
          </w:tblCellMar>
        </w:tblPrEx>
        <w:trPr>
          <w:gridBefore w:val="1"/>
          <w:gridAfter w:val="1"/>
          <w:wBefore w:w="3" w:type="dxa"/>
          <w:wAfter w:w="7" w:type="dxa"/>
          <w:trHeight w:val="936" w:hRule="atLeast"/>
        </w:trPr>
        <w:tc>
          <w:tcPr>
            <w:tcW w:w="80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绩效指标</w:t>
            </w:r>
          </w:p>
        </w:tc>
        <w:tc>
          <w:tcPr>
            <w:tcW w:w="1021"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指标名称</w:t>
            </w:r>
          </w:p>
        </w:tc>
        <w:tc>
          <w:tcPr>
            <w:tcW w:w="68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计量</w:t>
            </w:r>
          </w:p>
        </w:tc>
        <w:tc>
          <w:tcPr>
            <w:tcW w:w="931"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w:t>
            </w:r>
          </w:p>
        </w:tc>
        <w:tc>
          <w:tcPr>
            <w:tcW w:w="85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年初</w:t>
            </w:r>
          </w:p>
        </w:tc>
        <w:tc>
          <w:tcPr>
            <w:tcW w:w="54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调整</w:t>
            </w:r>
          </w:p>
        </w:tc>
        <w:tc>
          <w:tcPr>
            <w:tcW w:w="949"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全年</w:t>
            </w:r>
          </w:p>
        </w:tc>
        <w:tc>
          <w:tcPr>
            <w:tcW w:w="752"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得分系数</w:t>
            </w:r>
          </w:p>
        </w:tc>
        <w:tc>
          <w:tcPr>
            <w:tcW w:w="1039"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指标权重</w:t>
            </w:r>
          </w:p>
        </w:tc>
        <w:tc>
          <w:tcPr>
            <w:tcW w:w="8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指标得分</w:t>
            </w:r>
          </w:p>
        </w:tc>
        <w:tc>
          <w:tcPr>
            <w:tcW w:w="1103"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是否核心</w:t>
            </w:r>
          </w:p>
        </w:tc>
      </w:tr>
      <w:tr>
        <w:tblPrEx>
          <w:tblCellMar>
            <w:top w:w="0" w:type="dxa"/>
            <w:left w:w="0" w:type="dxa"/>
            <w:bottom w:w="0" w:type="dxa"/>
            <w:right w:w="0" w:type="dxa"/>
          </w:tblCellMar>
        </w:tblPrEx>
        <w:trPr>
          <w:gridBefore w:val="1"/>
          <w:gridAfter w:val="1"/>
          <w:wBefore w:w="3" w:type="dxa"/>
          <w:wAfter w:w="7" w:type="dxa"/>
          <w:trHeight w:val="701" w:hRule="atLeast"/>
        </w:trPr>
        <w:tc>
          <w:tcPr>
            <w:tcW w:w="80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6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单位</w:t>
            </w:r>
          </w:p>
        </w:tc>
        <w:tc>
          <w:tcPr>
            <w:tcW w:w="9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性质</w:t>
            </w:r>
          </w:p>
        </w:tc>
        <w:tc>
          <w:tcPr>
            <w:tcW w:w="8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指标值</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指标值</w:t>
            </w:r>
          </w:p>
        </w:tc>
        <w:tc>
          <w:tcPr>
            <w:tcW w:w="9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完成值</w:t>
            </w:r>
          </w:p>
        </w:tc>
        <w:tc>
          <w:tcPr>
            <w:tcW w:w="7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（分）</w:t>
            </w:r>
          </w:p>
        </w:tc>
        <w:tc>
          <w:tcPr>
            <w:tcW w:w="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（分）</w:t>
            </w:r>
          </w:p>
        </w:tc>
        <w:tc>
          <w:tcPr>
            <w:tcW w:w="110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指标</w:t>
            </w:r>
          </w:p>
        </w:tc>
      </w:tr>
      <w:tr>
        <w:tblPrEx>
          <w:tblCellMar>
            <w:top w:w="0" w:type="dxa"/>
            <w:left w:w="0" w:type="dxa"/>
            <w:bottom w:w="0" w:type="dxa"/>
            <w:right w:w="0" w:type="dxa"/>
          </w:tblCellMar>
        </w:tblPrEx>
        <w:trPr>
          <w:gridBefore w:val="1"/>
          <w:gridAfter w:val="1"/>
          <w:wBefore w:w="3" w:type="dxa"/>
          <w:wAfter w:w="7" w:type="dxa"/>
          <w:trHeight w:val="644"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拆除面积</w:t>
            </w:r>
          </w:p>
        </w:tc>
        <w:tc>
          <w:tcPr>
            <w:tcW w:w="1021"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拆除面积</w:t>
            </w:r>
          </w:p>
        </w:tc>
        <w:tc>
          <w:tcPr>
            <w:tcW w:w="682"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平方米</w:t>
            </w:r>
          </w:p>
        </w:tc>
        <w:tc>
          <w:tcPr>
            <w:tcW w:w="931"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858"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19390</w:t>
            </w:r>
          </w:p>
        </w:tc>
        <w:tc>
          <w:tcPr>
            <w:tcW w:w="540"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0</w:t>
            </w:r>
          </w:p>
        </w:tc>
        <w:tc>
          <w:tcPr>
            <w:tcW w:w="94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19390</w:t>
            </w:r>
          </w:p>
        </w:tc>
        <w:tc>
          <w:tcPr>
            <w:tcW w:w="752"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100</w:t>
            </w:r>
          </w:p>
        </w:tc>
        <w:tc>
          <w:tcPr>
            <w:tcW w:w="103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rPr>
            </w:pPr>
            <w:r>
              <w:rPr>
                <w:rFonts w:hint="eastAsia" w:cs="Times New Roman"/>
                <w:color w:val="auto"/>
                <w:kern w:val="0"/>
                <w:sz w:val="18"/>
                <w:szCs w:val="18"/>
                <w:lang w:val="en-US" w:eastAsia="zh-CN"/>
              </w:rPr>
              <w:t>50</w:t>
            </w:r>
          </w:p>
        </w:tc>
        <w:tc>
          <w:tcPr>
            <w:tcW w:w="860"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lang w:val="en-US"/>
              </w:rPr>
            </w:pPr>
            <w:r>
              <w:rPr>
                <w:rFonts w:hint="eastAsia" w:cs="Times New Roman"/>
                <w:color w:val="auto"/>
                <w:kern w:val="0"/>
                <w:sz w:val="18"/>
                <w:szCs w:val="18"/>
                <w:lang w:val="en-US" w:eastAsia="zh-CN"/>
              </w:rPr>
              <w:t>50</w:t>
            </w:r>
          </w:p>
        </w:tc>
        <w:tc>
          <w:tcPr>
            <w:tcW w:w="110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color w:val="auto"/>
                <w:kern w:val="0"/>
                <w:sz w:val="18"/>
                <w:szCs w:val="18"/>
              </w:rPr>
            </w:pPr>
            <w:r>
              <w:rPr>
                <w:rFonts w:hint="eastAsia" w:ascii="Times New Roman" w:hAnsi="Times New Roman" w:eastAsia="方正仿宋_GBK" w:cs="Times New Roman"/>
                <w:color w:val="auto"/>
                <w:kern w:val="0"/>
                <w:sz w:val="18"/>
                <w:szCs w:val="18"/>
                <w:lang w:val="en-US" w:eastAsia="zh-CN"/>
              </w:rPr>
              <w:t>是</w:t>
            </w:r>
          </w:p>
        </w:tc>
      </w:tr>
      <w:tr>
        <w:tblPrEx>
          <w:tblCellMar>
            <w:top w:w="0" w:type="dxa"/>
            <w:left w:w="0" w:type="dxa"/>
            <w:bottom w:w="0" w:type="dxa"/>
            <w:right w:w="0" w:type="dxa"/>
          </w:tblCellMar>
        </w:tblPrEx>
        <w:trPr>
          <w:gridBefore w:val="1"/>
          <w:gridAfter w:val="1"/>
          <w:wBefore w:w="3" w:type="dxa"/>
          <w:wAfter w:w="7" w:type="dxa"/>
          <w:trHeight w:val="544" w:hRule="atLeast"/>
        </w:trPr>
        <w:tc>
          <w:tcPr>
            <w:tcW w:w="80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21"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682"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31"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858"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540"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94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752"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039"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860" w:type="dxa"/>
            <w:tcBorders>
              <w:top w:val="nil"/>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c>
          <w:tcPr>
            <w:tcW w:w="110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r>
        <w:tblPrEx>
          <w:tblCellMar>
            <w:top w:w="0" w:type="dxa"/>
            <w:left w:w="0" w:type="dxa"/>
            <w:bottom w:w="0" w:type="dxa"/>
            <w:right w:w="0" w:type="dxa"/>
          </w:tblCellMar>
        </w:tblPrEx>
        <w:trPr>
          <w:gridBefore w:val="1"/>
          <w:gridAfter w:val="1"/>
          <w:wBefore w:w="3" w:type="dxa"/>
          <w:wAfter w:w="7" w:type="dxa"/>
          <w:trHeight w:val="785" w:hRule="atLeast"/>
        </w:trPr>
        <w:tc>
          <w:tcPr>
            <w:tcW w:w="807"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说明</w:t>
            </w:r>
          </w:p>
        </w:tc>
        <w:tc>
          <w:tcPr>
            <w:tcW w:w="8735" w:type="dxa"/>
            <w:gridSpan w:val="10"/>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kern w:val="0"/>
                <w:sz w:val="18"/>
                <w:szCs w:val="18"/>
              </w:rPr>
            </w:pPr>
          </w:p>
        </w:tc>
      </w:tr>
    </w:tbl>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val="0"/>
        <w:spacing w:line="600" w:lineRule="exact"/>
        <w:ind w:left="0" w:leftChars="0" w:firstLine="0" w:firstLineChars="0"/>
        <w:textAlignment w:val="auto"/>
        <w:rPr>
          <w:rFonts w:hint="default" w:ascii="Times New Roman" w:hAnsi="Times New Roman" w:eastAsia="方正仿宋_GBK" w:cs="Times New Roman"/>
          <w:color w:val="auto"/>
          <w:kern w:val="0"/>
          <w:sz w:val="32"/>
          <w:szCs w:val="32"/>
          <w:lang w:eastAsia="zh-CN"/>
        </w:rPr>
      </w:pP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val="0"/>
        <w:spacing w:line="600" w:lineRule="exact"/>
        <w:ind w:left="0" w:leftChars="0"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（一）财政拨款收入：</w:t>
      </w:r>
      <w:r>
        <w:rPr>
          <w:rFonts w:hint="default" w:ascii="Times New Roman" w:hAnsi="Times New Roman" w:eastAsia="方正仿宋_GBK" w:cs="Times New Roman"/>
          <w:color w:val="auto"/>
          <w:kern w:val="0"/>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（二）事业收入：</w:t>
      </w:r>
      <w:r>
        <w:rPr>
          <w:rFonts w:hint="default" w:ascii="Times New Roman" w:hAnsi="Times New Roman" w:eastAsia="方正仿宋_GBK" w:cs="Times New Roman"/>
          <w:color w:val="auto"/>
          <w:kern w:val="0"/>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（三）经营收入：</w:t>
      </w:r>
      <w:r>
        <w:rPr>
          <w:rFonts w:hint="default" w:ascii="Times New Roman" w:hAnsi="Times New Roman" w:eastAsia="方正仿宋_GBK" w:cs="Times New Roman"/>
          <w:color w:val="auto"/>
          <w:kern w:val="0"/>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（四）其他收入：</w:t>
      </w:r>
      <w:r>
        <w:rPr>
          <w:rFonts w:hint="default" w:ascii="Times New Roman" w:hAnsi="Times New Roman" w:eastAsia="方正仿宋_GBK" w:cs="Times New Roman"/>
          <w:color w:val="auto"/>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（五）使用非财政拨款结余：</w:t>
      </w:r>
      <w:r>
        <w:rPr>
          <w:rFonts w:hint="default" w:ascii="Times New Roman" w:hAnsi="Times New Roman" w:eastAsia="方正仿宋_GBK" w:cs="Times New Roman"/>
          <w:color w:val="auto"/>
          <w:kern w:val="0"/>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（六）年初结转和结余：</w:t>
      </w:r>
      <w:r>
        <w:rPr>
          <w:rFonts w:hint="default" w:ascii="Times New Roman" w:hAnsi="Times New Roman" w:eastAsia="方正仿宋_GBK" w:cs="Times New Roman"/>
          <w:color w:val="auto"/>
          <w:kern w:val="0"/>
          <w:sz w:val="32"/>
          <w:szCs w:val="32"/>
          <w:lang w:val="en-US" w:eastAsia="zh-CN" w:bidi="ar-SA"/>
        </w:rPr>
        <w:t>指单位上年结转本年使用的基本支出结转、项目支出结转和结余、经营结余。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（七）结余分配：</w:t>
      </w:r>
      <w:r>
        <w:rPr>
          <w:rFonts w:hint="default" w:ascii="Times New Roman" w:hAnsi="Times New Roman" w:eastAsia="方正仿宋_GBK" w:cs="Times New Roman"/>
          <w:color w:val="auto"/>
          <w:kern w:val="0"/>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（八）年末结转和结余：</w:t>
      </w:r>
      <w:r>
        <w:rPr>
          <w:rFonts w:hint="default" w:ascii="Times New Roman" w:hAnsi="Times New Roman" w:eastAsia="方正仿宋_GBK" w:cs="Times New Roman"/>
          <w:color w:val="auto"/>
          <w:kern w:val="0"/>
          <w:sz w:val="32"/>
          <w:szCs w:val="32"/>
          <w:lang w:val="en-US" w:eastAsia="zh-CN" w:bidi="ar-SA"/>
        </w:rPr>
        <w:t>指单位结转下年的基本支出结转、项目支出结转和结余、经营结余。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（九）基本支出：</w:t>
      </w:r>
      <w:r>
        <w:rPr>
          <w:rFonts w:hint="default" w:ascii="Times New Roman" w:hAnsi="Times New Roman" w:eastAsia="方正仿宋_GBK" w:cs="Times New Roman"/>
          <w:color w:val="auto"/>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（十）项目支出：</w:t>
      </w:r>
      <w:r>
        <w:rPr>
          <w:rFonts w:hint="default" w:ascii="Times New Roman" w:hAnsi="Times New Roman" w:eastAsia="方正仿宋_GBK" w:cs="Times New Roman"/>
          <w:color w:val="auto"/>
          <w:kern w:val="0"/>
          <w:sz w:val="32"/>
          <w:szCs w:val="32"/>
          <w:lang w:val="en-US" w:eastAsia="zh-CN" w:bidi="ar-SA"/>
        </w:rPr>
        <w:t>指在基本支出之外为完成特定行政任务和事业发展目标所发生的支出。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（十一）经营支出</w:t>
      </w:r>
      <w:r>
        <w:rPr>
          <w:rFonts w:hint="default" w:ascii="Times New Roman" w:hAnsi="Times New Roman" w:eastAsia="方正仿宋_GBK" w:cs="Times New Roman"/>
          <w:color w:val="auto"/>
          <w:kern w:val="0"/>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（十二）“三公”经费：</w:t>
      </w:r>
      <w:r>
        <w:rPr>
          <w:rFonts w:hint="default" w:ascii="Times New Roman" w:hAnsi="Times New Roman" w:eastAsia="方正仿宋_GBK" w:cs="Times New Roman"/>
          <w:color w:val="auto"/>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（十三）机关运行经费：</w:t>
      </w:r>
      <w:r>
        <w:rPr>
          <w:rFonts w:hint="default" w:ascii="Times New Roman" w:hAnsi="Times New Roman" w:eastAsia="方正仿宋_GBK" w:cs="Times New Roman"/>
          <w:color w:val="auto"/>
          <w:kern w:val="0"/>
          <w:sz w:val="32"/>
          <w:szCs w:val="32"/>
          <w:lang w:val="en-US" w:eastAsia="zh-CN" w:bidi="ar-SA"/>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（十四）工资福利支出（支出经济分类科目类级）：</w:t>
      </w:r>
      <w:r>
        <w:rPr>
          <w:rFonts w:hint="default" w:ascii="Times New Roman" w:hAnsi="Times New Roman" w:eastAsia="方正仿宋_GBK" w:cs="Times New Roman"/>
          <w:color w:val="auto"/>
          <w:kern w:val="0"/>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方正楷体_GBK"/>
          <w:color w:val="auto"/>
          <w:kern w:val="0"/>
          <w:sz w:val="32"/>
          <w:szCs w:val="32"/>
          <w:lang w:val="en-US" w:eastAsia="zh-CN" w:bidi="ar-SA"/>
        </w:rPr>
        <w:t>（十五）商品和服务支出（支出经济分类科目类级）</w:t>
      </w:r>
      <w:r>
        <w:rPr>
          <w:rFonts w:hint="eastAsia" w:ascii="Times New Roman" w:hAnsi="Times New Roman" w:eastAsia="方正仿宋_GBK" w:cs="方正仿宋_GBK"/>
          <w:color w:val="auto"/>
          <w:kern w:val="0"/>
          <w:sz w:val="32"/>
          <w:szCs w:val="32"/>
          <w:lang w:val="en-US" w:eastAsia="zh-CN" w:bidi="ar-SA"/>
        </w:rPr>
        <w:t>：反映单位购买商品和服务的支出（不包括用于购置固定资产的支出、</w:t>
      </w:r>
      <w:r>
        <w:rPr>
          <w:rFonts w:hint="default" w:ascii="Times New Roman" w:hAnsi="Times New Roman" w:eastAsia="方正仿宋_GBK" w:cs="Times New Roman"/>
          <w:color w:val="auto"/>
          <w:kern w:val="0"/>
          <w:sz w:val="32"/>
          <w:szCs w:val="32"/>
          <w:lang w:val="en-US" w:eastAsia="zh-CN" w:bidi="ar-SA"/>
        </w:rPr>
        <w:t>战略性和应急储备支出）。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lang w:val="en-US" w:eastAsia="zh-CN" w:bidi="ar-SA"/>
        </w:rPr>
        <w:t>反映用于对个人和家庭的补助支出。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504"/>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楷体_GBK" w:cs="方正楷体_GBK"/>
          <w:color w:val="auto"/>
          <w:kern w:val="0"/>
          <w:sz w:val="32"/>
          <w:szCs w:val="32"/>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tabs>
          <w:tab w:val="center" w:pos="4153"/>
          <w:tab w:val="left" w:pos="7275"/>
        </w:tabs>
        <w:kinsoku/>
        <w:wordWrap/>
        <w:overflowPunct/>
        <w:topLinePunct w:val="0"/>
        <w:autoSpaceDE/>
        <w:autoSpaceDN/>
        <w:bidi w:val="0"/>
        <w:adjustRightInd/>
        <w:snapToGrid w:val="0"/>
        <w:spacing w:line="600" w:lineRule="exact"/>
        <w:ind w:firstLine="640"/>
        <w:textAlignment w:val="auto"/>
        <w:outlineLvl w:val="0"/>
        <w:rPr>
          <w:rFonts w:hint="eastAsia" w:ascii="Times New Roman" w:hAnsi="Times New Roman" w:eastAsia="方正黑体_GBK" w:cs="方正黑体_GBK"/>
          <w:color w:val="auto"/>
          <w:kern w:val="0"/>
          <w:sz w:val="32"/>
          <w:szCs w:val="32"/>
          <w:lang w:val="en-US" w:eastAsia="zh-CN" w:bidi="ar-SA"/>
        </w:rPr>
      </w:pPr>
      <w:r>
        <w:rPr>
          <w:rFonts w:hint="eastAsia" w:ascii="Times New Roman" w:hAnsi="Times New Roman" w:eastAsia="方正黑体_GBK" w:cs="方正黑体_GBK"/>
          <w:color w:val="auto"/>
          <w:kern w:val="0"/>
          <w:sz w:val="32"/>
          <w:szCs w:val="32"/>
          <w:lang w:val="en-US" w:eastAsia="zh-CN" w:bidi="ar-SA"/>
        </w:rPr>
        <w:t>七、决算公开联系方式</w:t>
      </w:r>
    </w:p>
    <w:p>
      <w:pPr>
        <w:pStyle w:val="10"/>
        <w:keepNext w:val="0"/>
        <w:keepLines w:val="0"/>
        <w:pageBreakBefore w:val="0"/>
        <w:widowControl/>
        <w:tabs>
          <w:tab w:val="center" w:pos="4153"/>
          <w:tab w:val="left" w:pos="7275"/>
        </w:tabs>
        <w:kinsoku/>
        <w:wordWrap/>
        <w:overflowPunct/>
        <w:topLinePunct w:val="0"/>
        <w:autoSpaceDE/>
        <w:autoSpaceDN/>
        <w:bidi w:val="0"/>
        <w:adjustRightInd/>
        <w:snapToGrid w:val="0"/>
        <w:spacing w:line="600" w:lineRule="exact"/>
        <w:ind w:firstLine="640"/>
        <w:textAlignment w:val="auto"/>
        <w:rPr>
          <w:rFonts w:hint="default" w:ascii="Times New Roman" w:hAnsi="Times New Roman"/>
          <w:lang w:val="en-US"/>
        </w:rPr>
        <w:sectPr>
          <w:footerReference r:id="rId5" w:type="default"/>
          <w:footerReference r:id="rId6" w:type="even"/>
          <w:pgSz w:w="11906" w:h="16838"/>
          <w:pgMar w:top="1440" w:right="1587" w:bottom="1440" w:left="1587" w:header="851" w:footer="1474" w:gutter="0"/>
          <w:pgNumType w:fmt="numberInDash"/>
          <w:cols w:space="720" w:num="1"/>
          <w:docGrid w:type="lines" w:linePitch="312" w:charSpace="0"/>
        </w:sectPr>
      </w:pPr>
      <w:r>
        <w:rPr>
          <w:rFonts w:hint="eastAsia" w:ascii="Times New Roman" w:hAnsi="Times New Roman" w:eastAsia="方正仿宋_GBK" w:cs="Times New Roman"/>
          <w:color w:val="auto"/>
          <w:kern w:val="0"/>
          <w:sz w:val="32"/>
          <w:szCs w:val="32"/>
          <w:lang w:val="en-US" w:eastAsia="zh-CN" w:bidi="ar-SA"/>
        </w:rPr>
        <w:t>本单位决算公开信息反馈和联系方式：023-5847</w:t>
      </w:r>
      <w:r>
        <w:rPr>
          <w:rFonts w:hint="eastAsia" w:ascii="Times New Roman" w:hAnsi="Times New Roman" w:cs="Times New Roman"/>
          <w:color w:val="auto"/>
          <w:kern w:val="0"/>
          <w:sz w:val="32"/>
          <w:szCs w:val="32"/>
          <w:lang w:val="en-US" w:eastAsia="zh-CN" w:bidi="ar-SA"/>
        </w:rPr>
        <w:t>6860</w:t>
      </w: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kern w:val="0"/>
          <w:sz w:val="32"/>
          <w:szCs w:val="32"/>
          <w:lang w:val="en-US" w:eastAsia="zh-CN"/>
        </w:rPr>
      </w:pPr>
    </w:p>
    <w:sectPr>
      <w:footerReference r:id="rId7" w:type="default"/>
      <w:pgSz w:w="11906" w:h="16838"/>
      <w:pgMar w:top="2098" w:right="1531" w:bottom="1985" w:left="1531" w:header="851" w:footer="1474"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A84FE"/>
    <w:multiLevelType w:val="singleLevel"/>
    <w:tmpl w:val="ABBA84FE"/>
    <w:lvl w:ilvl="0" w:tentative="0">
      <w:start w:val="1"/>
      <w:numFmt w:val="decimal"/>
      <w:suff w:val="space"/>
      <w:lvlText w:val="%1."/>
      <w:lvlJc w:val="left"/>
    </w:lvl>
  </w:abstractNum>
  <w:abstractNum w:abstractNumId="1">
    <w:nsid w:val="BA0381D0"/>
    <w:multiLevelType w:val="singleLevel"/>
    <w:tmpl w:val="BA0381D0"/>
    <w:lvl w:ilvl="0" w:tentative="0">
      <w:start w:val="1"/>
      <w:numFmt w:val="chineseCounting"/>
      <w:suff w:val="nothing"/>
      <w:lvlText w:val="（%1）"/>
      <w:lvlJc w:val="left"/>
      <w:rPr>
        <w:rFonts w:hint="eastAsia"/>
      </w:rPr>
    </w:lvl>
  </w:abstractNum>
  <w:abstractNum w:abstractNumId="2">
    <w:nsid w:val="18FAB645"/>
    <w:multiLevelType w:val="singleLevel"/>
    <w:tmpl w:val="18FAB645"/>
    <w:lvl w:ilvl="0" w:tentative="0">
      <w:start w:val="7"/>
      <w:numFmt w:val="chineseCounting"/>
      <w:suff w:val="nothing"/>
      <w:lvlText w:val="（%1）"/>
      <w:lvlJc w:val="left"/>
      <w:rPr>
        <w:rFonts w:hint="eastAsia"/>
      </w:rPr>
    </w:lvl>
  </w:abstractNum>
  <w:abstractNum w:abstractNumId="3">
    <w:nsid w:val="30017EB2"/>
    <w:multiLevelType w:val="singleLevel"/>
    <w:tmpl w:val="30017EB2"/>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1F46175"/>
    <w:rsid w:val="02356CFC"/>
    <w:rsid w:val="026D3363"/>
    <w:rsid w:val="03483378"/>
    <w:rsid w:val="049539B7"/>
    <w:rsid w:val="04F6693D"/>
    <w:rsid w:val="05826A24"/>
    <w:rsid w:val="06EB5AFF"/>
    <w:rsid w:val="07D84D68"/>
    <w:rsid w:val="08A555D9"/>
    <w:rsid w:val="095D70C8"/>
    <w:rsid w:val="099059BB"/>
    <w:rsid w:val="09A447EA"/>
    <w:rsid w:val="0A387B45"/>
    <w:rsid w:val="0A90650D"/>
    <w:rsid w:val="0B881444"/>
    <w:rsid w:val="0C3E06B9"/>
    <w:rsid w:val="0CE10BDD"/>
    <w:rsid w:val="0D7A2D6A"/>
    <w:rsid w:val="0D874F2A"/>
    <w:rsid w:val="0E2B1F35"/>
    <w:rsid w:val="0E462F36"/>
    <w:rsid w:val="0E7E6AD3"/>
    <w:rsid w:val="0E7F1753"/>
    <w:rsid w:val="0ECB27CC"/>
    <w:rsid w:val="108801DA"/>
    <w:rsid w:val="113D2521"/>
    <w:rsid w:val="117C0B73"/>
    <w:rsid w:val="122C582A"/>
    <w:rsid w:val="126E157F"/>
    <w:rsid w:val="13A63113"/>
    <w:rsid w:val="13FF07E4"/>
    <w:rsid w:val="153D3761"/>
    <w:rsid w:val="15FC0B40"/>
    <w:rsid w:val="163F66AE"/>
    <w:rsid w:val="16756CD4"/>
    <w:rsid w:val="168926D3"/>
    <w:rsid w:val="17014E5E"/>
    <w:rsid w:val="182606D3"/>
    <w:rsid w:val="187D0881"/>
    <w:rsid w:val="190B0C80"/>
    <w:rsid w:val="1CBF17AC"/>
    <w:rsid w:val="1F2E4612"/>
    <w:rsid w:val="1F511E69"/>
    <w:rsid w:val="205F5682"/>
    <w:rsid w:val="21977233"/>
    <w:rsid w:val="21FC33BB"/>
    <w:rsid w:val="238149E5"/>
    <w:rsid w:val="242A4036"/>
    <w:rsid w:val="24925351"/>
    <w:rsid w:val="24B40F4D"/>
    <w:rsid w:val="254536AD"/>
    <w:rsid w:val="263063A6"/>
    <w:rsid w:val="26551CA9"/>
    <w:rsid w:val="271F2055"/>
    <w:rsid w:val="278A035A"/>
    <w:rsid w:val="27C71639"/>
    <w:rsid w:val="28041890"/>
    <w:rsid w:val="281833E1"/>
    <w:rsid w:val="28DF1690"/>
    <w:rsid w:val="296271BB"/>
    <w:rsid w:val="2A0A6FAA"/>
    <w:rsid w:val="2BBF06FD"/>
    <w:rsid w:val="2BC937CF"/>
    <w:rsid w:val="2C270A39"/>
    <w:rsid w:val="2C7129FC"/>
    <w:rsid w:val="2CB94EB2"/>
    <w:rsid w:val="2D2E2D7E"/>
    <w:rsid w:val="30BF5494"/>
    <w:rsid w:val="31C57554"/>
    <w:rsid w:val="33391C8E"/>
    <w:rsid w:val="345A76DF"/>
    <w:rsid w:val="352F4AAB"/>
    <w:rsid w:val="356D2148"/>
    <w:rsid w:val="364E327C"/>
    <w:rsid w:val="36776800"/>
    <w:rsid w:val="378F009A"/>
    <w:rsid w:val="38920D23"/>
    <w:rsid w:val="3985333E"/>
    <w:rsid w:val="39D6258F"/>
    <w:rsid w:val="3A691188"/>
    <w:rsid w:val="3A7E4AE2"/>
    <w:rsid w:val="3AAE5809"/>
    <w:rsid w:val="3ADC7039"/>
    <w:rsid w:val="3B1A6EB9"/>
    <w:rsid w:val="3B670912"/>
    <w:rsid w:val="3BC95D06"/>
    <w:rsid w:val="3BE56E26"/>
    <w:rsid w:val="3C66310B"/>
    <w:rsid w:val="3C783E72"/>
    <w:rsid w:val="3D1D7069"/>
    <w:rsid w:val="3D87699E"/>
    <w:rsid w:val="3E675817"/>
    <w:rsid w:val="3EA326DE"/>
    <w:rsid w:val="3EF6139C"/>
    <w:rsid w:val="411314FB"/>
    <w:rsid w:val="41C856DD"/>
    <w:rsid w:val="430054D8"/>
    <w:rsid w:val="435C3E32"/>
    <w:rsid w:val="43842EE6"/>
    <w:rsid w:val="43892913"/>
    <w:rsid w:val="44BA1F1D"/>
    <w:rsid w:val="455326A3"/>
    <w:rsid w:val="46596C11"/>
    <w:rsid w:val="46D6525F"/>
    <w:rsid w:val="476B3399"/>
    <w:rsid w:val="47C06BB9"/>
    <w:rsid w:val="47CE5B03"/>
    <w:rsid w:val="48406B08"/>
    <w:rsid w:val="48861842"/>
    <w:rsid w:val="491D1086"/>
    <w:rsid w:val="496E3698"/>
    <w:rsid w:val="496F10DE"/>
    <w:rsid w:val="4AC8460B"/>
    <w:rsid w:val="4B494590"/>
    <w:rsid w:val="4B6B1E3D"/>
    <w:rsid w:val="4CD07BC6"/>
    <w:rsid w:val="4D4F49FC"/>
    <w:rsid w:val="4E195C47"/>
    <w:rsid w:val="506F3616"/>
    <w:rsid w:val="52421C31"/>
    <w:rsid w:val="52433799"/>
    <w:rsid w:val="52861CA6"/>
    <w:rsid w:val="52A427B6"/>
    <w:rsid w:val="52A46993"/>
    <w:rsid w:val="52B9510C"/>
    <w:rsid w:val="52F25B90"/>
    <w:rsid w:val="53670BC4"/>
    <w:rsid w:val="53D447AB"/>
    <w:rsid w:val="540D7BCE"/>
    <w:rsid w:val="56172954"/>
    <w:rsid w:val="56D9076F"/>
    <w:rsid w:val="57131783"/>
    <w:rsid w:val="58450EAE"/>
    <w:rsid w:val="58563A03"/>
    <w:rsid w:val="58981CB2"/>
    <w:rsid w:val="595128EA"/>
    <w:rsid w:val="59D94699"/>
    <w:rsid w:val="5A5E128E"/>
    <w:rsid w:val="5B992DA7"/>
    <w:rsid w:val="5C2C50A0"/>
    <w:rsid w:val="5CBD02B1"/>
    <w:rsid w:val="5CFC5461"/>
    <w:rsid w:val="5D497FBE"/>
    <w:rsid w:val="5D8E0E1D"/>
    <w:rsid w:val="5D9C59A0"/>
    <w:rsid w:val="60333493"/>
    <w:rsid w:val="604D2A30"/>
    <w:rsid w:val="60DC245A"/>
    <w:rsid w:val="610F2FF6"/>
    <w:rsid w:val="61935AF5"/>
    <w:rsid w:val="628D5173"/>
    <w:rsid w:val="62F74F9E"/>
    <w:rsid w:val="634203B0"/>
    <w:rsid w:val="634C6ABE"/>
    <w:rsid w:val="636F5754"/>
    <w:rsid w:val="63744B02"/>
    <w:rsid w:val="63825866"/>
    <w:rsid w:val="64492EB3"/>
    <w:rsid w:val="64794AE6"/>
    <w:rsid w:val="64C2339D"/>
    <w:rsid w:val="657633A5"/>
    <w:rsid w:val="66DA3C2B"/>
    <w:rsid w:val="67163CB8"/>
    <w:rsid w:val="688A6957"/>
    <w:rsid w:val="68A206D6"/>
    <w:rsid w:val="68EE6070"/>
    <w:rsid w:val="691A1FA9"/>
    <w:rsid w:val="69247AB6"/>
    <w:rsid w:val="69770AC9"/>
    <w:rsid w:val="69DA3F19"/>
    <w:rsid w:val="6AED29DF"/>
    <w:rsid w:val="6B3A39D4"/>
    <w:rsid w:val="6B461885"/>
    <w:rsid w:val="6B865E2E"/>
    <w:rsid w:val="6BAD4CEC"/>
    <w:rsid w:val="6C52611E"/>
    <w:rsid w:val="6DDA6878"/>
    <w:rsid w:val="6E6B0B15"/>
    <w:rsid w:val="6EC259AA"/>
    <w:rsid w:val="70085DA4"/>
    <w:rsid w:val="70760E92"/>
    <w:rsid w:val="71004A80"/>
    <w:rsid w:val="72065C93"/>
    <w:rsid w:val="722931F6"/>
    <w:rsid w:val="755E52AA"/>
    <w:rsid w:val="75772B29"/>
    <w:rsid w:val="75901344"/>
    <w:rsid w:val="75BC7B77"/>
    <w:rsid w:val="771D5F27"/>
    <w:rsid w:val="776611C7"/>
    <w:rsid w:val="776A0DAA"/>
    <w:rsid w:val="778C0EA9"/>
    <w:rsid w:val="78D07DE0"/>
    <w:rsid w:val="791A0FC5"/>
    <w:rsid w:val="79CE244C"/>
    <w:rsid w:val="79DF2FD0"/>
    <w:rsid w:val="7B341E31"/>
    <w:rsid w:val="7B4E5914"/>
    <w:rsid w:val="7B83471E"/>
    <w:rsid w:val="7C967920"/>
    <w:rsid w:val="7D8064B5"/>
    <w:rsid w:val="7E894654"/>
    <w:rsid w:val="7E8B038D"/>
    <w:rsid w:val="7FC85298"/>
    <w:rsid w:val="CAFB09E8"/>
    <w:rsid w:val="FFB6E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22"/>
    <w:rPr>
      <w:b/>
      <w:bCs/>
    </w:rPr>
  </w:style>
  <w:style w:type="paragraph" w:styleId="10">
    <w:name w:val="List Paragraph"/>
    <w:basedOn w:val="1"/>
    <w:qFormat/>
    <w:uiPriority w:val="34"/>
    <w:pPr>
      <w:ind w:firstLine="420" w:firstLineChars="200"/>
    </w:pPr>
  </w:style>
  <w:style w:type="character" w:customStyle="1" w:styleId="11">
    <w:name w:val="font4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FF0000"/>
      <w:sz w:val="20"/>
      <w:szCs w:val="20"/>
      <w:u w:val="none"/>
    </w:rPr>
  </w:style>
  <w:style w:type="character" w:customStyle="1" w:styleId="13">
    <w:name w:val="font21"/>
    <w:basedOn w:val="8"/>
    <w:qFormat/>
    <w:uiPriority w:val="0"/>
    <w:rPr>
      <w:rFonts w:hint="default" w:ascii="Times New Roman" w:hAnsi="Times New Roman" w:cs="Times New Roman"/>
      <w:color w:val="000000"/>
      <w:sz w:val="18"/>
      <w:szCs w:val="18"/>
      <w:u w:val="none"/>
    </w:rPr>
  </w:style>
  <w:style w:type="character" w:customStyle="1" w:styleId="14">
    <w:name w:val="font11"/>
    <w:basedOn w:val="8"/>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2021-08-26T23:53:00Z</dcterms:created>
  <dc:creator>acer</dc:creator>
  <cp:lastModifiedBy>user</cp:lastModifiedBy>
  <cp:lastPrinted>2021-10-12T16:09:37Z</cp:lastPrinted>
  <dcterms:modified xsi:type="dcterms:W3CDTF">2021-10-12T16:10:00Z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