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center"/>
        <w:textAlignment w:val="auto"/>
        <w:outlineLvl w:val="0"/>
        <w:rPr>
          <w:rFonts w:hint="eastAsia" w:ascii="Times New Roman" w:hAnsi="Times New Roman" w:eastAsia="方正小标宋_GBK" w:cs="方正小标宋_GBK"/>
          <w:sz w:val="44"/>
          <w:szCs w:val="44"/>
          <w:lang w:val="en-US" w:eastAsia="zh-CN"/>
        </w:rPr>
      </w:pPr>
      <w:bookmarkStart w:id="0" w:name="_GoBack"/>
      <w:bookmarkEnd w:id="0"/>
      <w:r>
        <w:rPr>
          <w:rFonts w:hint="eastAsia" w:ascii="Times New Roman" w:hAnsi="Times New Roman" w:eastAsia="宋体" w:cs="宋体"/>
          <w:sz w:val="44"/>
          <w:szCs w:val="44"/>
          <w:lang w:val="en-US" w:eastAsia="zh-CN"/>
        </w:rPr>
        <w:t xml:space="preserve"> </w:t>
      </w:r>
      <w:r>
        <w:rPr>
          <w:rFonts w:hint="eastAsia" w:ascii="Times New Roman" w:hAnsi="Times New Roman" w:eastAsia="方正小标宋_GBK" w:cs="方正小标宋_GBK"/>
          <w:sz w:val="44"/>
          <w:szCs w:val="44"/>
          <w:lang w:val="en-US" w:eastAsia="zh-CN"/>
        </w:rPr>
        <w:t xml:space="preserve"> 重庆市万州区铁峰乡人民政府</w:t>
      </w:r>
      <w:r>
        <w:rPr>
          <w:rFonts w:hint="eastAsia" w:ascii="Times New Roman" w:hAnsi="Times New Roman" w:eastAsia="方正小标宋_GBK" w:cs="方正小标宋_GBK"/>
          <w:sz w:val="44"/>
          <w:szCs w:val="44"/>
        </w:rPr>
        <w:t>20</w:t>
      </w:r>
      <w:r>
        <w:rPr>
          <w:rFonts w:hint="eastAsia" w:ascii="Times New Roman" w:hAnsi="Times New Roman" w:eastAsia="方正小标宋_GBK" w:cs="方正小标宋_GBK"/>
          <w:sz w:val="44"/>
          <w:szCs w:val="44"/>
          <w:lang w:val="en-US" w:eastAsia="zh-CN"/>
        </w:rPr>
        <w:t>20年</w:t>
      </w:r>
      <w:r>
        <w:rPr>
          <w:rFonts w:hint="eastAsia" w:ascii="Times New Roman" w:hAnsi="Times New Roman" w:eastAsia="方正小标宋_GBK" w:cs="方正小标宋_GBK"/>
          <w:sz w:val="44"/>
          <w:szCs w:val="44"/>
        </w:rPr>
        <w:t>部门决算</w:t>
      </w:r>
      <w:r>
        <w:rPr>
          <w:rFonts w:hint="eastAsia" w:ascii="Times New Roman" w:hAnsi="Times New Roman" w:eastAsia="方正小标宋_GBK" w:cs="方正小标宋_GBK"/>
          <w:sz w:val="44"/>
          <w:szCs w:val="44"/>
          <w:lang w:val="en-US" w:eastAsia="zh-CN"/>
        </w:rPr>
        <w:t>情况说明</w:t>
      </w:r>
    </w:p>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lang w:eastAsia="zh-CN"/>
        </w:rPr>
      </w:pPr>
    </w:p>
    <w:p>
      <w:pPr>
        <w:pStyle w:val="10"/>
        <w:keepNext w:val="0"/>
        <w:keepLines w:val="0"/>
        <w:pageBreakBefore w:val="0"/>
        <w:widowControl w:val="0"/>
        <w:numPr>
          <w:ilvl w:val="0"/>
          <w:numId w:val="1"/>
        </w:numPr>
        <w:tabs>
          <w:tab w:val="center" w:pos="4153"/>
          <w:tab w:val="left" w:pos="7275"/>
        </w:tabs>
        <w:kinsoku/>
        <w:wordWrap/>
        <w:overflowPunct/>
        <w:topLinePunct w:val="0"/>
        <w:autoSpaceDE/>
        <w:autoSpaceDN/>
        <w:bidi w:val="0"/>
        <w:adjustRightInd/>
        <w:snapToGrid w:val="0"/>
        <w:spacing w:line="600" w:lineRule="exact"/>
        <w:ind w:firstLine="640" w:firstLineChars="200"/>
        <w:textAlignment w:val="auto"/>
        <w:outlineLvl w:val="0"/>
        <w:rPr>
          <w:rFonts w:hint="eastAsia" w:ascii="Times New Roman" w:hAnsi="Times New Roman" w:eastAsia="黑体" w:cs="黑体"/>
          <w:sz w:val="32"/>
          <w:szCs w:val="32"/>
        </w:rPr>
      </w:pPr>
      <w:r>
        <w:rPr>
          <w:rFonts w:hint="eastAsia" w:ascii="Times New Roman" w:hAnsi="Times New Roman" w:eastAsia="黑体" w:cs="黑体"/>
          <w:sz w:val="32"/>
          <w:szCs w:val="32"/>
        </w:rPr>
        <w:t>单位基本情况</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楷体_GBK" w:cs="方正楷体_GBK"/>
          <w:sz w:val="32"/>
        </w:rPr>
      </w:pPr>
      <w:r>
        <w:rPr>
          <w:rFonts w:hint="eastAsia" w:ascii="Times New Roman" w:hAnsi="Times New Roman" w:eastAsia="方正楷体_GBK" w:cs="方正楷体_GBK"/>
          <w:sz w:val="32"/>
        </w:rPr>
        <w:t>（一）</w:t>
      </w:r>
      <w:r>
        <w:rPr>
          <w:rFonts w:hint="eastAsia" w:ascii="Times New Roman" w:hAnsi="Times New Roman" w:eastAsia="方正楷体_GBK" w:cs="方正楷体_GBK"/>
          <w:sz w:val="32"/>
          <w:lang w:eastAsia="zh-CN"/>
        </w:rPr>
        <w:t>机构设置及</w:t>
      </w:r>
      <w:r>
        <w:rPr>
          <w:rFonts w:hint="eastAsia" w:ascii="Times New Roman" w:hAnsi="Times New Roman" w:eastAsia="方正楷体_GBK" w:cs="方正楷体_GBK"/>
          <w:sz w:val="32"/>
        </w:rPr>
        <w:t>职能职责</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仿宋_GBK" w:cs="仿宋_GB2312"/>
          <w:sz w:val="32"/>
          <w:szCs w:val="22"/>
          <w:lang w:val="en-US" w:eastAsia="zh-CN"/>
        </w:rPr>
      </w:pPr>
      <w:r>
        <w:rPr>
          <w:rFonts w:hint="eastAsia" w:ascii="Times New Roman" w:hAnsi="Times New Roman" w:eastAsia="方正仿宋_GBK" w:cs="仿宋_GB2312"/>
          <w:sz w:val="32"/>
          <w:szCs w:val="22"/>
          <w:lang w:val="en-US" w:eastAsia="zh-CN"/>
        </w:rPr>
        <w:t>1. 党政办公室。主要负责纪检、宣传、统战、法制、武装、民宗侨台以及综合协调、文秘等职责。</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仿宋_GBK" w:cs="仿宋_GB2312"/>
          <w:sz w:val="32"/>
          <w:szCs w:val="22"/>
          <w:lang w:val="en-US" w:eastAsia="zh-CN"/>
        </w:rPr>
      </w:pPr>
      <w:r>
        <w:rPr>
          <w:rFonts w:hint="eastAsia" w:ascii="Times New Roman" w:hAnsi="Times New Roman" w:eastAsia="方正仿宋_GBK" w:cs="仿宋_GB2312"/>
          <w:sz w:val="32"/>
          <w:szCs w:val="22"/>
          <w:lang w:val="en-US" w:eastAsia="zh-CN"/>
        </w:rPr>
        <w:t>2. 党群工作办公室。主要负责党的建设、编制、人事、群团等职责。</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仿宋_GBK" w:cs="仿宋_GB2312"/>
          <w:sz w:val="32"/>
          <w:szCs w:val="22"/>
          <w:lang w:val="en-US" w:eastAsia="zh-CN"/>
        </w:rPr>
      </w:pPr>
      <w:r>
        <w:rPr>
          <w:rFonts w:hint="eastAsia" w:ascii="Times New Roman" w:hAnsi="Times New Roman" w:eastAsia="方正仿宋_GBK" w:cs="仿宋_GB2312"/>
          <w:sz w:val="32"/>
          <w:szCs w:val="22"/>
          <w:lang w:val="en-US" w:eastAsia="zh-CN"/>
        </w:rPr>
        <w:t>3. 经济发展办公室（挂统计办公室、农村经营管理办公室牌子）。主要负责经济发展规划、农村经营管理、经济社会统计及贯彻执行扶贫开发方针政策、扶贫开发工作的统筹协调、产业扶贫指导、扶贫政策法规及相关技能培训的指导管理等职责。</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仿宋_GBK" w:cs="仿宋_GB2312"/>
          <w:sz w:val="32"/>
          <w:szCs w:val="22"/>
          <w:lang w:val="en-US" w:eastAsia="zh-CN"/>
        </w:rPr>
      </w:pPr>
      <w:r>
        <w:rPr>
          <w:rFonts w:hint="eastAsia" w:ascii="Times New Roman" w:hAnsi="Times New Roman" w:eastAsia="方正仿宋_GBK" w:cs="仿宋_GB2312"/>
          <w:sz w:val="32"/>
          <w:szCs w:val="22"/>
          <w:lang w:val="en-US" w:eastAsia="zh-CN"/>
        </w:rPr>
        <w:t>4. 民政和社会事务办公室（挂卫生健康办公室牌子）、劳动就业和社会保障服务所。主要承担劳动和社会保障、就业、再就业及农村富余劳动力转移工作；下岗失业人员的就业指导、培训、介绍以及流动人口的就业服务管理；负责低保对象的审核；负责优抚救济、社会互助等工作与民政、教育、卫生、计生、文化、体育、社会救助、残疾人事业、劳动就业、社会保障、老龄事业发展等职责。</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仿宋_GBK" w:cs="仿宋_GB2312"/>
          <w:sz w:val="32"/>
          <w:szCs w:val="22"/>
          <w:lang w:val="en-US" w:eastAsia="zh-CN"/>
        </w:rPr>
      </w:pPr>
      <w:r>
        <w:rPr>
          <w:rFonts w:hint="eastAsia" w:ascii="Times New Roman" w:hAnsi="Times New Roman" w:eastAsia="方正仿宋_GBK" w:cs="仿宋_GB2312"/>
          <w:sz w:val="32"/>
          <w:szCs w:val="22"/>
          <w:lang w:val="en-US" w:eastAsia="zh-CN"/>
        </w:rPr>
        <w:t>5. 平安建设办公室。主要负责信访、人民调解、社会治安综合治理、防范和处理邪教等职责。</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仿宋_GBK" w:cs="仿宋_GB2312"/>
          <w:sz w:val="32"/>
          <w:szCs w:val="22"/>
          <w:lang w:val="en-US" w:eastAsia="zh-CN"/>
        </w:rPr>
      </w:pPr>
      <w:r>
        <w:rPr>
          <w:rFonts w:hint="eastAsia" w:ascii="Times New Roman" w:hAnsi="Times New Roman" w:eastAsia="方正仿宋_GBK" w:cs="仿宋_GB2312"/>
          <w:sz w:val="32"/>
          <w:szCs w:val="22"/>
          <w:lang w:val="en-US" w:eastAsia="zh-CN"/>
        </w:rPr>
        <w:t>6. 应急管理办公室。主要负责应急管理和安全生产综合监管，协助开展煤矿、非煤矿山、危险化学品、烟花爆竹等安全生产日常监管工作。</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仿宋_GBK" w:cs="仿宋_GB2312"/>
          <w:sz w:val="32"/>
          <w:szCs w:val="22"/>
          <w:lang w:val="en-US" w:eastAsia="zh-CN"/>
        </w:rPr>
      </w:pPr>
      <w:r>
        <w:rPr>
          <w:rFonts w:hint="eastAsia" w:ascii="Times New Roman" w:hAnsi="Times New Roman" w:eastAsia="方正仿宋_GBK" w:cs="仿宋_GB2312"/>
          <w:sz w:val="32"/>
          <w:szCs w:val="22"/>
          <w:lang w:val="en-US" w:eastAsia="zh-CN"/>
        </w:rPr>
        <w:t>7. 规划建设管理环保办公室、村镇建设环保服务中心。主要承担辖区规划建设、环境保护等工作与村镇规划、村镇建设、市政公用、市容环卫、环境保护等职责。</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仿宋_GBK" w:cs="仿宋_GB2312"/>
          <w:sz w:val="32"/>
          <w:szCs w:val="22"/>
          <w:lang w:val="en-US" w:eastAsia="zh-CN"/>
        </w:rPr>
      </w:pPr>
      <w:r>
        <w:rPr>
          <w:rFonts w:hint="eastAsia" w:ascii="Times New Roman" w:hAnsi="Times New Roman" w:eastAsia="方正仿宋_GBK" w:cs="仿宋_GB2312"/>
          <w:sz w:val="32"/>
          <w:szCs w:val="22"/>
          <w:lang w:val="en-US" w:eastAsia="zh-CN"/>
        </w:rPr>
        <w:t>8. 财政办公室。主要负责财政收支、预决算、总会计、支农惠民资金兑付、财政资金监督检查、绩效评价、村（社区）级财务管理等职责。</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仿宋_GBK" w:cs="仿宋_GB2312"/>
          <w:sz w:val="32"/>
          <w:szCs w:val="22"/>
          <w:lang w:val="en-US" w:eastAsia="zh-CN"/>
        </w:rPr>
      </w:pPr>
      <w:r>
        <w:rPr>
          <w:rFonts w:hint="eastAsia" w:ascii="Times New Roman" w:hAnsi="Times New Roman" w:eastAsia="方正仿宋_GBK" w:cs="仿宋_GB2312"/>
          <w:sz w:val="32"/>
          <w:szCs w:val="22"/>
          <w:lang w:val="en-US" w:eastAsia="zh-CN"/>
        </w:rPr>
        <w:t>9. 农业服务中心。主要承担农技、农机、林业、水利水保、水产、畜牧兽医等方面的重大技术推广、信息服务、资源环境保护、灾害防治等工作以及农民质量安全知识的培训、质量安全控制技术的推广、生产环节质量安全的日常巡查、各项监管措施的督促落实等工作，从源头上保障农产品质量安全。</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仿宋_GBK" w:cs="仿宋_GB2312"/>
          <w:sz w:val="32"/>
          <w:szCs w:val="22"/>
          <w:lang w:val="en-US" w:eastAsia="zh-CN"/>
        </w:rPr>
      </w:pPr>
      <w:r>
        <w:rPr>
          <w:rFonts w:hint="eastAsia" w:ascii="Times New Roman" w:hAnsi="Times New Roman" w:eastAsia="方正仿宋_GBK" w:cs="仿宋_GB2312"/>
          <w:sz w:val="32"/>
          <w:szCs w:val="22"/>
          <w:lang w:val="en-US" w:eastAsia="zh-CN"/>
        </w:rPr>
        <w:t>10. 文化服务中心。主要承担文化、宣传、广播电视、体育、科技培训等方面工作。</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仿宋_GBK" w:cs="仿宋_GB2312"/>
          <w:sz w:val="32"/>
          <w:szCs w:val="22"/>
          <w:lang w:val="en-US" w:eastAsia="zh-CN"/>
        </w:rPr>
      </w:pPr>
      <w:r>
        <w:rPr>
          <w:rFonts w:hint="eastAsia" w:ascii="Times New Roman" w:hAnsi="Times New Roman" w:eastAsia="方正仿宋_GBK" w:cs="仿宋_GB2312"/>
          <w:sz w:val="32"/>
          <w:szCs w:val="22"/>
          <w:lang w:val="en-US" w:eastAsia="zh-CN"/>
        </w:rPr>
        <w:t>11. 退役军人服务站。主要承担退役军人的关系转接、联络接待、困难帮扶、信息采集、情况反映、立功喜报、悬挂光荣牌和“八一”、春节等节日以及重大变故走访慰问等具体事务。</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仿宋_GBK" w:cs="仿宋_GB2312"/>
          <w:sz w:val="32"/>
          <w:szCs w:val="22"/>
          <w:lang w:val="en-US" w:eastAsia="zh-CN"/>
        </w:rPr>
      </w:pPr>
      <w:r>
        <w:rPr>
          <w:rFonts w:hint="eastAsia" w:ascii="Times New Roman" w:hAnsi="Times New Roman" w:eastAsia="方正仿宋_GBK" w:cs="仿宋_GB2312"/>
          <w:sz w:val="32"/>
          <w:szCs w:val="22"/>
          <w:lang w:val="en-US" w:eastAsia="zh-CN"/>
        </w:rPr>
        <w:t>12. 综合行政执法大队。主要负责集中行使依法授权或委托的农林水利、规划建设、环境保护、卫生计生、文化旅游、民政管理、城市管理等领域的行政执法权。</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楷体_GBK" w:cs="方正楷体_GBK"/>
          <w:sz w:val="32"/>
        </w:rPr>
      </w:pPr>
      <w:r>
        <w:rPr>
          <w:rFonts w:hint="eastAsia" w:ascii="Times New Roman" w:hAnsi="Times New Roman" w:eastAsia="方正楷体_GBK" w:cs="方正楷体_GBK"/>
          <w:sz w:val="32"/>
        </w:rPr>
        <w:t>（二）单位构成</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黑体_GBK" w:cs="Times New Roman"/>
          <w:sz w:val="32"/>
          <w:szCs w:val="32"/>
        </w:rPr>
      </w:pPr>
      <w:r>
        <w:rPr>
          <w:rFonts w:hint="eastAsia" w:ascii="Times New Roman" w:hAnsi="Times New Roman" w:eastAsia="方正仿宋_GBK" w:cs="仿宋_GB2312"/>
          <w:sz w:val="32"/>
          <w:szCs w:val="22"/>
          <w:lang w:val="en-US" w:eastAsia="zh-CN"/>
        </w:rPr>
        <w:t>重庆市万州区铁峰乡人民政府设有乡纪委、党政办、党群办、妇联、平安办、武装、退役军人服务站、经发办、财政办、综合执法办、规环办、民政和社会事务办、农业服务中心、文化服务中心、村镇建设环保服务中心、劳动就业和社会保障服务所、综合行政执法大队等办公室。</w:t>
      </w: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left="0" w:leftChars="0" w:firstLine="640" w:firstLineChars="200"/>
        <w:textAlignment w:val="auto"/>
        <w:outlineLvl w:val="0"/>
        <w:rPr>
          <w:rFonts w:hint="eastAsia" w:ascii="Times New Roman" w:hAnsi="Times New Roman" w:eastAsia="方正黑体_GBK" w:cs="方正黑体_GBK"/>
          <w:sz w:val="32"/>
          <w:szCs w:val="22"/>
          <w:lang w:val="en-US" w:eastAsia="zh-CN"/>
        </w:rPr>
      </w:pPr>
      <w:r>
        <w:rPr>
          <w:rFonts w:hint="eastAsia" w:ascii="Times New Roman" w:hAnsi="Times New Roman" w:eastAsia="方正黑体_GBK" w:cs="方正黑体_GBK"/>
          <w:sz w:val="32"/>
          <w:szCs w:val="32"/>
        </w:rPr>
        <w:t>部门决算情况说明</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leftChars="200"/>
        <w:textAlignment w:val="auto"/>
        <w:outlineLvl w:val="0"/>
        <w:rPr>
          <w:rFonts w:hint="eastAsia" w:ascii="Times New Roman" w:hAnsi="Times New Roman" w:eastAsia="方正楷体_GBK" w:cs="方正楷体_GBK"/>
          <w:color w:val="auto"/>
          <w:kern w:val="2"/>
          <w:sz w:val="32"/>
          <w:szCs w:val="22"/>
          <w:lang w:val="en-US" w:eastAsia="zh-CN" w:bidi="ar-SA"/>
        </w:rPr>
      </w:pPr>
      <w:r>
        <w:rPr>
          <w:rFonts w:hint="eastAsia" w:ascii="Times New Roman" w:hAnsi="Times New Roman" w:eastAsia="方正楷体_GBK" w:cs="方正楷体_GBK"/>
          <w:sz w:val="32"/>
          <w:szCs w:val="22"/>
          <w:lang w:val="en-US" w:eastAsia="zh-CN"/>
        </w:rPr>
        <w:t>收入支出决算总体情况说明</w:t>
      </w:r>
    </w:p>
    <w:p>
      <w:pPr>
        <w:keepNext w:val="0"/>
        <w:keepLines w:val="0"/>
        <w:pageBreakBefore w:val="0"/>
        <w:widowControl w:val="0"/>
        <w:numPr>
          <w:ilvl w:val="0"/>
          <w:numId w:val="3"/>
        </w:numPr>
        <w:kinsoku/>
        <w:wordWrap/>
        <w:overflowPunct/>
        <w:topLinePunct w:val="0"/>
        <w:autoSpaceDE/>
        <w:autoSpaceDN/>
        <w:bidi w:val="0"/>
        <w:adjustRightInd/>
        <w:snapToGrid w:val="0"/>
        <w:spacing w:line="600" w:lineRule="exact"/>
        <w:ind w:firstLine="640" w:firstLineChars="200"/>
        <w:textAlignment w:val="auto"/>
        <w:outlineLvl w:val="0"/>
        <w:rPr>
          <w:rFonts w:hint="default" w:ascii="Times New Roman" w:hAnsi="Times New Roman" w:eastAsia="方正仿宋_GBK" w:cs="Times New Roman"/>
          <w:color w:val="auto"/>
          <w:kern w:val="2"/>
          <w:sz w:val="32"/>
          <w:szCs w:val="22"/>
          <w:lang w:val="en-US" w:eastAsia="zh-CN" w:bidi="ar-SA"/>
        </w:rPr>
      </w:pPr>
      <w:r>
        <w:rPr>
          <w:rFonts w:hint="eastAsia" w:ascii="Times New Roman" w:hAnsi="Times New Roman"/>
          <w:lang w:val="en-US" w:eastAsia="zh-CN"/>
        </w:rPr>
        <w:t>总体情况。2020年度收入总计为4747.69万元，支出总计4747.69万元。收支较上年决算数减少2768.31万元，下降36.83%，主要原因是2020年度下达的项目较2019年度减少，导致项目收支减少，比重降低。</w:t>
      </w:r>
    </w:p>
    <w:p>
      <w:pPr>
        <w:pStyle w:val="2"/>
        <w:keepNext w:val="0"/>
        <w:keepLines w:val="0"/>
        <w:pageBreakBefore w:val="0"/>
        <w:numPr>
          <w:ilvl w:val="0"/>
          <w:numId w:val="3"/>
        </w:numPr>
        <w:kinsoku/>
        <w:wordWrap/>
        <w:overflowPunct/>
        <w:topLinePunct w:val="0"/>
        <w:autoSpaceDE/>
        <w:autoSpaceDN/>
        <w:bidi w:val="0"/>
        <w:adjustRightInd/>
        <w:snapToGrid w:val="0"/>
        <w:spacing w:line="600" w:lineRule="exact"/>
        <w:ind w:left="0" w:leftChars="0" w:right="320" w:rightChars="100" w:firstLine="640" w:firstLineChars="200"/>
        <w:textAlignment w:val="auto"/>
        <w:rPr>
          <w:rFonts w:hint="eastAsia" w:ascii="Times New Roman" w:hAnsi="Times New Roman" w:cs="仿宋_GB2312"/>
          <w:sz w:val="32"/>
          <w:szCs w:val="22"/>
          <w:lang w:val="en-US" w:eastAsia="zh-CN"/>
        </w:rPr>
      </w:pPr>
      <w:r>
        <w:rPr>
          <w:rFonts w:hint="eastAsia" w:ascii="Times New Roman" w:hAnsi="Times New Roman" w:eastAsia="方正仿宋_GBK" w:cs="Times New Roman"/>
          <w:color w:val="auto"/>
          <w:kern w:val="2"/>
          <w:sz w:val="32"/>
          <w:szCs w:val="22"/>
          <w:lang w:val="en-US" w:eastAsia="zh-CN" w:bidi="ar-SA"/>
        </w:rPr>
        <w:t>收入情况。2020年收入合计4747.69万元</w:t>
      </w:r>
      <w:r>
        <w:rPr>
          <w:rFonts w:hint="eastAsia" w:ascii="Times New Roman" w:hAnsi="Times New Roman" w:eastAsia="方正仿宋_GBK" w:cs="仿宋_GB2312"/>
          <w:sz w:val="32"/>
          <w:szCs w:val="22"/>
          <w:lang w:val="en-US" w:eastAsia="zh-CN"/>
        </w:rPr>
        <w:t>，</w:t>
      </w:r>
      <w:r>
        <w:rPr>
          <w:rFonts w:hint="eastAsia" w:ascii="Times New Roman" w:hAnsi="Times New Roman" w:cs="仿宋_GB2312"/>
          <w:sz w:val="32"/>
          <w:szCs w:val="22"/>
          <w:lang w:val="en-US" w:eastAsia="zh-CN"/>
        </w:rPr>
        <w:t>较上年决算数减少2768.31万元，下降36.83%，主要原因是</w:t>
      </w:r>
      <w:r>
        <w:rPr>
          <w:rFonts w:hint="eastAsia" w:ascii="Times New Roman" w:hAnsi="Times New Roman"/>
          <w:lang w:val="en-US" w:eastAsia="zh-CN"/>
        </w:rPr>
        <w:t>2020年度下达的项目较2019年度减少，导致项目收入减少。</w:t>
      </w:r>
    </w:p>
    <w:p>
      <w:pPr>
        <w:pStyle w:val="2"/>
        <w:keepNext w:val="0"/>
        <w:keepLines w:val="0"/>
        <w:pageBreakBefore w:val="0"/>
        <w:numPr>
          <w:ilvl w:val="0"/>
          <w:numId w:val="3"/>
        </w:numPr>
        <w:kinsoku/>
        <w:wordWrap/>
        <w:overflowPunct/>
        <w:topLinePunct w:val="0"/>
        <w:autoSpaceDE/>
        <w:autoSpaceDN/>
        <w:bidi w:val="0"/>
        <w:adjustRightInd/>
        <w:snapToGrid w:val="0"/>
        <w:spacing w:line="600" w:lineRule="exact"/>
        <w:ind w:left="0" w:leftChars="0" w:right="320" w:rightChars="100" w:firstLine="640" w:firstLineChars="200"/>
        <w:textAlignment w:val="auto"/>
        <w:rPr>
          <w:rFonts w:hint="eastAsia" w:ascii="Times New Roman" w:hAnsi="Times New Roman" w:cs="仿宋_GB2312"/>
          <w:sz w:val="32"/>
          <w:szCs w:val="22"/>
          <w:lang w:val="en-US" w:eastAsia="zh-CN"/>
        </w:rPr>
      </w:pPr>
      <w:r>
        <w:rPr>
          <w:rFonts w:hint="eastAsia" w:ascii="Times New Roman" w:hAnsi="Times New Roman" w:cs="仿宋_GB2312"/>
          <w:sz w:val="32"/>
          <w:szCs w:val="22"/>
          <w:lang w:val="en-US" w:eastAsia="zh-CN"/>
        </w:rPr>
        <w:t>支出情况。2020年度支出合计为4747.69万元，较上年决算数减少2768.31万元，下降36.83%，主要原因是</w:t>
      </w:r>
      <w:r>
        <w:rPr>
          <w:rFonts w:hint="eastAsia" w:ascii="Times New Roman" w:hAnsi="Times New Roman"/>
          <w:lang w:val="en-US" w:eastAsia="zh-CN"/>
        </w:rPr>
        <w:t>2020年度下达的项目较2019年度减少，导致项目支出减少。</w:t>
      </w:r>
    </w:p>
    <w:p>
      <w:pPr>
        <w:pStyle w:val="2"/>
        <w:keepNext w:val="0"/>
        <w:keepLines w:val="0"/>
        <w:pageBreakBefore w:val="0"/>
        <w:numPr>
          <w:ilvl w:val="0"/>
          <w:numId w:val="3"/>
        </w:numPr>
        <w:kinsoku/>
        <w:wordWrap/>
        <w:overflowPunct/>
        <w:topLinePunct w:val="0"/>
        <w:autoSpaceDE/>
        <w:autoSpaceDN/>
        <w:bidi w:val="0"/>
        <w:adjustRightInd/>
        <w:snapToGrid w:val="0"/>
        <w:spacing w:line="600" w:lineRule="exact"/>
        <w:ind w:left="0" w:leftChars="0" w:right="320" w:rightChars="100" w:firstLine="640" w:firstLineChars="200"/>
        <w:textAlignment w:val="auto"/>
        <w:rPr>
          <w:rFonts w:hint="eastAsia" w:ascii="Times New Roman" w:hAnsi="Times New Roman" w:cs="仿宋_GB2312"/>
          <w:sz w:val="32"/>
          <w:szCs w:val="22"/>
          <w:lang w:val="en-US" w:eastAsia="zh-CN"/>
        </w:rPr>
      </w:pPr>
      <w:r>
        <w:rPr>
          <w:rFonts w:hint="eastAsia" w:ascii="Times New Roman" w:hAnsi="Times New Roman" w:cs="仿宋_GB2312"/>
          <w:sz w:val="32"/>
          <w:szCs w:val="22"/>
          <w:lang w:val="en-US" w:eastAsia="zh-CN"/>
        </w:rPr>
        <w:t>结转结余情况。2020年度本单位无结转结余。</w:t>
      </w:r>
    </w:p>
    <w:p>
      <w:pPr>
        <w:pStyle w:val="2"/>
        <w:keepNext w:val="0"/>
        <w:keepLines w:val="0"/>
        <w:pageBreakBefore w:val="0"/>
        <w:numPr>
          <w:ilvl w:val="0"/>
          <w:numId w:val="0"/>
        </w:numPr>
        <w:kinsoku/>
        <w:wordWrap/>
        <w:overflowPunct/>
        <w:topLinePunct w:val="0"/>
        <w:autoSpaceDE/>
        <w:autoSpaceDN/>
        <w:bidi w:val="0"/>
        <w:adjustRightInd/>
        <w:snapToGrid w:val="0"/>
        <w:spacing w:line="600" w:lineRule="exact"/>
        <w:ind w:right="320" w:rightChars="100" w:firstLine="640" w:firstLineChars="200"/>
        <w:textAlignment w:val="auto"/>
        <w:rPr>
          <w:rFonts w:hint="eastAsia" w:ascii="Times New Roman" w:hAnsi="Times New Roman" w:eastAsia="方正楷体_GBK" w:cs="方正楷体_GBK"/>
          <w:lang w:val="en-US" w:eastAsia="zh-CN"/>
        </w:rPr>
      </w:pPr>
      <w:r>
        <w:rPr>
          <w:rFonts w:hint="eastAsia" w:ascii="Times New Roman" w:hAnsi="Times New Roman" w:eastAsia="方正楷体_GBK" w:cs="方正楷体_GBK"/>
          <w:lang w:val="en-US" w:eastAsia="zh-CN"/>
        </w:rPr>
        <w:t>（二）财政拨款收入支出决算总体情况说明</w:t>
      </w:r>
    </w:p>
    <w:p>
      <w:pPr>
        <w:pStyle w:val="2"/>
        <w:keepNext w:val="0"/>
        <w:keepLines w:val="0"/>
        <w:pageBreakBefore w:val="0"/>
        <w:numPr>
          <w:ilvl w:val="0"/>
          <w:numId w:val="0"/>
        </w:numPr>
        <w:kinsoku/>
        <w:wordWrap/>
        <w:overflowPunct/>
        <w:topLinePunct w:val="0"/>
        <w:autoSpaceDE/>
        <w:autoSpaceDN/>
        <w:bidi w:val="0"/>
        <w:adjustRightInd/>
        <w:snapToGrid w:val="0"/>
        <w:spacing w:line="600" w:lineRule="exact"/>
        <w:ind w:right="320" w:rightChars="100" w:firstLine="640" w:firstLineChars="200"/>
        <w:textAlignment w:val="auto"/>
        <w:rPr>
          <w:rFonts w:hint="default" w:ascii="Times New Roman" w:hAnsi="Times New Roman" w:cs="仿宋_GB2312"/>
          <w:sz w:val="32"/>
          <w:szCs w:val="22"/>
          <w:lang w:val="en-US" w:eastAsia="zh-CN"/>
        </w:rPr>
      </w:pPr>
      <w:r>
        <w:rPr>
          <w:rFonts w:hint="eastAsia" w:ascii="Times New Roman" w:hAnsi="Times New Roman" w:cs="仿宋_GB2312"/>
          <w:sz w:val="32"/>
          <w:szCs w:val="22"/>
          <w:lang w:val="en-US" w:eastAsia="zh-CN"/>
        </w:rPr>
        <w:t>2020年度财政拨款收、支总计4645.71万元。与2019年相比，财政拨款收支总计各减少927.81万元，下降16.65%，主要原因是2020年度下达的项目较2019年度减少，导致财政拨款项目收支减少，比重降低。</w:t>
      </w:r>
    </w:p>
    <w:p>
      <w:pPr>
        <w:pStyle w:val="2"/>
        <w:keepNext w:val="0"/>
        <w:keepLines w:val="0"/>
        <w:pageBreakBefore w:val="0"/>
        <w:numPr>
          <w:ilvl w:val="0"/>
          <w:numId w:val="0"/>
        </w:numPr>
        <w:kinsoku/>
        <w:wordWrap/>
        <w:overflowPunct/>
        <w:topLinePunct w:val="0"/>
        <w:autoSpaceDE/>
        <w:autoSpaceDN/>
        <w:bidi w:val="0"/>
        <w:adjustRightInd/>
        <w:snapToGrid w:val="0"/>
        <w:spacing w:line="600" w:lineRule="exact"/>
        <w:ind w:right="320" w:rightChars="100" w:firstLine="640" w:firstLineChars="200"/>
        <w:textAlignment w:val="auto"/>
        <w:rPr>
          <w:rFonts w:hint="eastAsia" w:ascii="Times New Roman" w:hAnsi="Times New Roman" w:eastAsia="方正楷体_GBK" w:cs="方正楷体_GBK"/>
          <w:lang w:val="en-US" w:eastAsia="zh-CN"/>
        </w:rPr>
      </w:pPr>
      <w:r>
        <w:rPr>
          <w:rFonts w:hint="eastAsia" w:ascii="Times New Roman" w:hAnsi="Times New Roman" w:eastAsia="方正楷体_GBK" w:cs="方正楷体_GBK"/>
          <w:lang w:val="en-US" w:eastAsia="zh-CN"/>
        </w:rPr>
        <w:t>（三）一般公共预算财政拨款支出决算情况说明</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1. 收入情况。2020年度一般公共预算财政拨款收入为3488.26万元，较上年决算数减少773.27万元，下降18.15%，原因是2020年度上级部门下达的一般公共预算财政拨款项目较2019年度减少，导致一般公共预算财政拨款项目收入减少。</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2. 支出情况。202</w:t>
      </w:r>
      <w:r>
        <w:rPr>
          <w:rFonts w:hint="eastAsia" w:ascii="Times New Roman" w:hAnsi="Times New Roman" w:cs="仿宋_GB2312"/>
          <w:sz w:val="32"/>
          <w:szCs w:val="22"/>
          <w:lang w:val="en-US" w:eastAsia="zh-CN"/>
        </w:rPr>
        <w:t>0年度</w:t>
      </w:r>
      <w:r>
        <w:rPr>
          <w:rFonts w:hint="eastAsia" w:ascii="Times New Roman" w:hAnsi="Times New Roman" w:eastAsia="方正仿宋_GBK" w:cs="仿宋_GB2312"/>
          <w:color w:val="auto"/>
          <w:kern w:val="2"/>
          <w:sz w:val="32"/>
          <w:szCs w:val="22"/>
          <w:lang w:val="en-US" w:eastAsia="zh-CN" w:bidi="ar-SA"/>
        </w:rPr>
        <w:t>2020年度一般公共预算财政拨款支出为3488.26万元，较上年决算数减少773.27万元，下降18.15%，原因是2020年度上级部门下达的一般公共预算财政拨款项目较2019年度减少，导致一般公共预算财政拨款项目支出减少。</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3. 结转结余情况。本单位2020年度一般公共预算财政拨款支出无结转结余。</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楷体_GBK" w:cs="方正楷体_GBK"/>
          <w:color w:val="auto"/>
          <w:kern w:val="2"/>
          <w:sz w:val="32"/>
          <w:szCs w:val="22"/>
          <w:lang w:val="en-US" w:eastAsia="zh-CN" w:bidi="ar-SA"/>
        </w:rPr>
      </w:pPr>
      <w:r>
        <w:rPr>
          <w:rFonts w:hint="eastAsia" w:ascii="Times New Roman" w:hAnsi="Times New Roman" w:eastAsia="方正楷体_GBK" w:cs="方正楷体_GBK"/>
          <w:color w:val="auto"/>
          <w:kern w:val="2"/>
          <w:sz w:val="32"/>
          <w:szCs w:val="22"/>
          <w:lang w:val="en-US" w:eastAsia="zh-CN" w:bidi="ar-SA"/>
        </w:rPr>
        <w:t>（四）一般公共预算财政拨款基本支出决算情况说明</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2020年度一般公共预算财政拨款基本支出为1500.26万元，较上年决算数增加63.68万元，增长4.4%，主要原因是在编人员正常调资。</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楷体_GBK" w:cs="方正楷体_GBK"/>
          <w:sz w:val="32"/>
          <w:szCs w:val="22"/>
          <w:lang w:val="en-US" w:eastAsia="zh-CN"/>
        </w:rPr>
      </w:pPr>
      <w:r>
        <w:rPr>
          <w:rFonts w:hint="eastAsia" w:ascii="Times New Roman" w:hAnsi="Times New Roman" w:eastAsia="方正楷体_GBK" w:cs="方正楷体_GBK"/>
          <w:sz w:val="32"/>
          <w:szCs w:val="22"/>
          <w:lang w:val="en-US" w:eastAsia="zh-CN"/>
        </w:rPr>
        <w:t>（五）政府性基金预算收支决算情况说明</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2020年度政府性基金预算财政拨款收支均为为1157.45万元，较上年决算数减少154.54万元，下降11.78%，原因是2020年度上级部门下达的政府性基金项目减少；导致政府性基金预算财政拨款收支减少。</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楷体_GBK" w:cs="方正楷体_GBK"/>
          <w:color w:val="auto"/>
          <w:kern w:val="2"/>
          <w:sz w:val="32"/>
          <w:szCs w:val="22"/>
          <w:lang w:val="en-US" w:eastAsia="zh-CN" w:bidi="ar-SA"/>
        </w:rPr>
      </w:pPr>
      <w:r>
        <w:rPr>
          <w:rFonts w:hint="eastAsia" w:ascii="Times New Roman" w:hAnsi="Times New Roman" w:eastAsia="方正楷体_GBK" w:cs="方正楷体_GBK"/>
          <w:color w:val="auto"/>
          <w:kern w:val="2"/>
          <w:sz w:val="32"/>
          <w:szCs w:val="22"/>
          <w:lang w:val="en-US" w:eastAsia="zh-CN" w:bidi="ar-SA"/>
        </w:rPr>
        <w:t>（六）其他收入决算情况说明</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2020年度其他收入收支均为101.98万元，较上年决算数减少1675.3万元，下降94.26%，原因是2020年度其他收入减少，安排的项目数量下降。</w:t>
      </w:r>
    </w:p>
    <w:p>
      <w:pPr>
        <w:pStyle w:val="3"/>
        <w:keepNext w:val="0"/>
        <w:keepLines w:val="0"/>
        <w:pageBreakBefore w:val="0"/>
        <w:numPr>
          <w:ilvl w:val="0"/>
          <w:numId w:val="4"/>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楷体_GBK" w:cs="方正楷体_GBK"/>
          <w:color w:val="auto"/>
          <w:kern w:val="2"/>
          <w:sz w:val="32"/>
          <w:szCs w:val="22"/>
          <w:lang w:val="en-US" w:eastAsia="zh-CN" w:bidi="ar-SA"/>
        </w:rPr>
      </w:pPr>
      <w:r>
        <w:rPr>
          <w:rFonts w:hint="eastAsia" w:ascii="Times New Roman" w:hAnsi="Times New Roman" w:eastAsia="方正楷体_GBK" w:cs="方正楷体_GBK"/>
          <w:color w:val="auto"/>
          <w:kern w:val="2"/>
          <w:sz w:val="32"/>
          <w:szCs w:val="22"/>
          <w:lang w:val="en-US" w:eastAsia="zh-CN" w:bidi="ar-SA"/>
        </w:rPr>
        <w:t>财政拨款支出与年初预算数对比情况</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2020年度财政拨款收支决算数为4645.71万元。其中一般公共预算财政拨款收支决算数为3488.26万元，与年初预算数相比，增加1961.71万元，增长128.51%，主要原因是年初预算时不能预测区级部门项目补助，故未纳入年初预算，导致决算数与预算数相差较大；政府性基金决算数为1157.45万元，与年初预算数相比增加了1156.45万元，增长115645%，主要原因是年初预算时只将本级政府政府性基金收入纳入年初预算，上级部门的政府性基金项目在年初预算时无法预测，未纳入年初预算，故数字相差较大。</w:t>
      </w:r>
    </w:p>
    <w:p>
      <w:pPr>
        <w:pStyle w:val="3"/>
        <w:keepNext w:val="0"/>
        <w:keepLines w:val="0"/>
        <w:pageBreakBefore w:val="0"/>
        <w:numPr>
          <w:ilvl w:val="0"/>
          <w:numId w:val="4"/>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方正楷体_GBK"/>
          <w:color w:val="auto"/>
          <w:kern w:val="2"/>
          <w:sz w:val="32"/>
          <w:szCs w:val="22"/>
          <w:lang w:val="en-US" w:eastAsia="zh-CN" w:bidi="ar-SA"/>
        </w:rPr>
      </w:pPr>
      <w:r>
        <w:rPr>
          <w:rFonts w:hint="default" w:ascii="Times New Roman" w:hAnsi="Times New Roman" w:eastAsia="方正楷体_GBK" w:cs="方正楷体_GBK"/>
          <w:color w:val="auto"/>
          <w:kern w:val="2"/>
          <w:sz w:val="32"/>
          <w:szCs w:val="22"/>
          <w:lang w:val="en-US" w:eastAsia="zh-CN" w:bidi="ar-SA"/>
        </w:rPr>
        <w:t>国有资本经营预算财政拨款支出决算情况说明</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本单位2020年度无</w:t>
      </w:r>
      <w:r>
        <w:rPr>
          <w:rFonts w:hint="default" w:ascii="Times New Roman" w:hAnsi="Times New Roman" w:eastAsia="方正仿宋_GBK" w:cs="仿宋_GB2312"/>
          <w:color w:val="auto"/>
          <w:kern w:val="2"/>
          <w:sz w:val="32"/>
          <w:szCs w:val="22"/>
          <w:lang w:val="en-US" w:eastAsia="zh-CN" w:bidi="ar-SA"/>
        </w:rPr>
        <w:t>国有资本经营预算财政拨款支出</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黑体_GBK" w:cs="方正黑体_GBK"/>
          <w:color w:val="auto"/>
          <w:kern w:val="2"/>
          <w:sz w:val="32"/>
          <w:szCs w:val="22"/>
          <w:lang w:val="en-US" w:eastAsia="zh-CN" w:bidi="ar-SA"/>
        </w:rPr>
      </w:pPr>
      <w:r>
        <w:rPr>
          <w:rFonts w:hint="eastAsia" w:ascii="Times New Roman" w:hAnsi="Times New Roman" w:eastAsia="方正黑体_GBK" w:cs="方正黑体_GBK"/>
          <w:color w:val="auto"/>
          <w:kern w:val="2"/>
          <w:sz w:val="32"/>
          <w:szCs w:val="22"/>
          <w:lang w:val="en-US" w:eastAsia="zh-CN" w:bidi="ar-SA"/>
        </w:rPr>
        <w:t xml:space="preserve">三、“三公”经费情况说明 </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楷体_GBK" w:cs="方正楷体_GBK"/>
          <w:color w:val="auto"/>
          <w:kern w:val="2"/>
          <w:sz w:val="32"/>
          <w:szCs w:val="22"/>
          <w:lang w:val="en-US" w:eastAsia="zh-CN" w:bidi="ar-SA"/>
        </w:rPr>
      </w:pPr>
      <w:r>
        <w:rPr>
          <w:rFonts w:hint="eastAsia" w:ascii="Times New Roman" w:hAnsi="Times New Roman" w:eastAsia="方正楷体_GBK" w:cs="方正楷体_GBK"/>
          <w:color w:val="auto"/>
          <w:kern w:val="2"/>
          <w:sz w:val="32"/>
          <w:szCs w:val="22"/>
          <w:lang w:val="en-US" w:eastAsia="zh-CN" w:bidi="ar-SA"/>
        </w:rPr>
        <w:t>（一）</w:t>
      </w:r>
      <w:r>
        <w:rPr>
          <w:rFonts w:hint="default" w:ascii="Times New Roman" w:hAnsi="Times New Roman" w:eastAsia="方正楷体_GBK" w:cs="方正楷体_GBK"/>
          <w:color w:val="auto"/>
          <w:kern w:val="2"/>
          <w:sz w:val="32"/>
          <w:szCs w:val="22"/>
          <w:lang w:val="en-US" w:eastAsia="zh-CN" w:bidi="ar-SA"/>
        </w:rPr>
        <w:t>“三公”经费支出情况。</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1. 总体情况。2020年度“三公”经费支出决算数为19.51万元，较年初预算数减少0.01万元，下降0.03%。较上年支出数减少0.02万元，下降0.08%.。原因是按照相关规定，严格控制“三公”经费支出。</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2. 分项支出情况。</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本单位无因公出国（境）费。</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公务用车购置及运行维护费15.05万元，较年初预算数减少0.01万元，下降0.03%。较上年支出数减少0.01万元，下降0.09%.。原因是按照相关规定，严格控制“三公”经费支出。</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国内公务接待费4.46万元。与年初预算数持平。较上年支出数减少0.002万元，下降0.06%.。原因是按照相关规定，严格控制“三公”经费支出。</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楷体_GBK" w:cs="方正楷体_GBK"/>
          <w:color w:val="auto"/>
          <w:kern w:val="2"/>
          <w:sz w:val="32"/>
          <w:szCs w:val="22"/>
          <w:lang w:val="en-US" w:eastAsia="zh-CN" w:bidi="ar-SA"/>
        </w:rPr>
      </w:pPr>
      <w:r>
        <w:rPr>
          <w:rFonts w:hint="eastAsia" w:ascii="Times New Roman" w:hAnsi="Times New Roman" w:eastAsia="方正楷体_GBK" w:cs="方正楷体_GBK"/>
          <w:color w:val="auto"/>
          <w:kern w:val="2"/>
          <w:sz w:val="32"/>
          <w:szCs w:val="22"/>
          <w:lang w:val="en-US" w:eastAsia="zh-CN" w:bidi="ar-SA"/>
        </w:rPr>
        <w:t>（二）“三公”经费实物量情况。</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2020年度本单位因公出国（境）共计0个团组；公务车保有量为5辆；国内公务接待批次244批次1223人。其中：国内外事接待0批次。</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黑体_GBK" w:cs="方正黑体_GBK"/>
          <w:color w:val="auto"/>
          <w:kern w:val="2"/>
          <w:sz w:val="32"/>
          <w:szCs w:val="22"/>
          <w:lang w:val="en-US" w:eastAsia="zh-CN" w:bidi="ar-SA"/>
        </w:rPr>
      </w:pPr>
      <w:r>
        <w:rPr>
          <w:rFonts w:hint="eastAsia" w:ascii="Times New Roman" w:hAnsi="Times New Roman" w:eastAsia="方正黑体_GBK" w:cs="方正黑体_GBK"/>
          <w:color w:val="auto"/>
          <w:kern w:val="2"/>
          <w:sz w:val="32"/>
          <w:szCs w:val="22"/>
          <w:lang w:val="en-US" w:eastAsia="zh-CN" w:bidi="ar-SA"/>
        </w:rPr>
        <w:t>四、其他需要说明的事项</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楷体_GBK" w:cs="方正楷体_GBK"/>
          <w:color w:val="auto"/>
          <w:kern w:val="2"/>
          <w:sz w:val="32"/>
          <w:szCs w:val="22"/>
          <w:lang w:val="en-US" w:eastAsia="zh-CN" w:bidi="ar-SA"/>
        </w:rPr>
      </w:pPr>
      <w:r>
        <w:rPr>
          <w:rFonts w:hint="eastAsia" w:ascii="Times New Roman" w:hAnsi="Times New Roman" w:eastAsia="方正楷体_GBK" w:cs="方正楷体_GBK"/>
          <w:color w:val="auto"/>
          <w:kern w:val="2"/>
          <w:sz w:val="32"/>
          <w:szCs w:val="22"/>
          <w:lang w:val="en-US" w:eastAsia="zh-CN" w:bidi="ar-SA"/>
        </w:rPr>
        <w:t>（一）机关运行经费情况说明。</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仿宋_GB2312"/>
          <w:color w:val="auto"/>
          <w:kern w:val="2"/>
          <w:sz w:val="32"/>
          <w:szCs w:val="22"/>
          <w:lang w:val="en-US" w:eastAsia="zh-CN" w:bidi="ar-SA"/>
        </w:rPr>
      </w:pPr>
      <w:r>
        <w:rPr>
          <w:rFonts w:hint="default" w:ascii="Times New Roman" w:hAnsi="Times New Roman" w:eastAsia="方正仿宋_GBK" w:cs="仿宋_GB2312"/>
          <w:color w:val="auto"/>
          <w:kern w:val="2"/>
          <w:sz w:val="32"/>
          <w:szCs w:val="22"/>
          <w:lang w:val="en-US" w:eastAsia="zh-CN" w:bidi="ar-SA"/>
        </w:rPr>
        <w:t>2020年度本单位机关运行经费支出</w:t>
      </w:r>
      <w:r>
        <w:rPr>
          <w:rFonts w:hint="eastAsia" w:ascii="Times New Roman" w:hAnsi="Times New Roman" w:eastAsia="方正仿宋_GBK" w:cs="仿宋_GB2312"/>
          <w:color w:val="auto"/>
          <w:kern w:val="2"/>
          <w:sz w:val="32"/>
          <w:szCs w:val="22"/>
          <w:lang w:val="en-US" w:eastAsia="zh-CN" w:bidi="ar-SA"/>
        </w:rPr>
        <w:t>238.54</w:t>
      </w:r>
      <w:r>
        <w:rPr>
          <w:rFonts w:hint="default" w:ascii="Times New Roman" w:hAnsi="Times New Roman" w:eastAsia="方正仿宋_GBK" w:cs="仿宋_GB2312"/>
          <w:color w:val="auto"/>
          <w:kern w:val="2"/>
          <w:sz w:val="32"/>
          <w:szCs w:val="22"/>
          <w:lang w:val="en-US" w:eastAsia="zh-CN" w:bidi="ar-SA"/>
        </w:rPr>
        <w:t>万元，比2019年度减少</w:t>
      </w:r>
      <w:r>
        <w:rPr>
          <w:rFonts w:hint="eastAsia" w:ascii="Times New Roman" w:hAnsi="Times New Roman" w:eastAsia="方正仿宋_GBK" w:cs="仿宋_GB2312"/>
          <w:color w:val="auto"/>
          <w:kern w:val="2"/>
          <w:sz w:val="32"/>
          <w:szCs w:val="22"/>
          <w:lang w:val="en-US" w:eastAsia="zh-CN" w:bidi="ar-SA"/>
        </w:rPr>
        <w:t>76.25</w:t>
      </w:r>
      <w:r>
        <w:rPr>
          <w:rFonts w:hint="default" w:ascii="Times New Roman" w:hAnsi="Times New Roman" w:eastAsia="方正仿宋_GBK" w:cs="仿宋_GB2312"/>
          <w:color w:val="auto"/>
          <w:kern w:val="2"/>
          <w:sz w:val="32"/>
          <w:szCs w:val="22"/>
          <w:lang w:val="en-US" w:eastAsia="zh-CN" w:bidi="ar-SA"/>
        </w:rPr>
        <w:t>万元，下降</w:t>
      </w:r>
      <w:r>
        <w:rPr>
          <w:rFonts w:hint="eastAsia" w:ascii="Times New Roman" w:hAnsi="Times New Roman" w:eastAsia="方正仿宋_GBK" w:cs="仿宋_GB2312"/>
          <w:color w:val="auto"/>
          <w:kern w:val="2"/>
          <w:sz w:val="32"/>
          <w:szCs w:val="22"/>
          <w:lang w:val="en-US" w:eastAsia="zh-CN" w:bidi="ar-SA"/>
        </w:rPr>
        <w:t>24.22</w:t>
      </w:r>
      <w:r>
        <w:rPr>
          <w:rFonts w:hint="default" w:ascii="Times New Roman" w:hAnsi="Times New Roman" w:eastAsia="方正仿宋_GBK" w:cs="仿宋_GB2312"/>
          <w:color w:val="auto"/>
          <w:kern w:val="2"/>
          <w:sz w:val="32"/>
          <w:szCs w:val="22"/>
          <w:lang w:val="en-US" w:eastAsia="zh-CN" w:bidi="ar-SA"/>
        </w:rPr>
        <w:t>%，主要原因是</w:t>
      </w:r>
      <w:r>
        <w:rPr>
          <w:rFonts w:hint="eastAsia" w:ascii="Times New Roman" w:hAnsi="Times New Roman" w:eastAsia="方正仿宋_GBK" w:cs="仿宋_GB2312"/>
          <w:color w:val="auto"/>
          <w:kern w:val="2"/>
          <w:sz w:val="32"/>
          <w:szCs w:val="22"/>
          <w:lang w:val="en-US" w:eastAsia="zh-CN" w:bidi="ar-SA"/>
        </w:rPr>
        <w:t>政策调减。</w:t>
      </w:r>
      <w:r>
        <w:rPr>
          <w:rFonts w:hint="default" w:ascii="Times New Roman" w:hAnsi="Times New Roman" w:eastAsia="方正仿宋_GBK" w:cs="仿宋_GB2312"/>
          <w:color w:val="auto"/>
          <w:kern w:val="2"/>
          <w:sz w:val="32"/>
          <w:szCs w:val="22"/>
          <w:lang w:val="en-US" w:eastAsia="zh-CN" w:bidi="ar-SA"/>
        </w:rPr>
        <w:t>本年度</w:t>
      </w:r>
      <w:r>
        <w:rPr>
          <w:rFonts w:hint="eastAsia" w:ascii="Times New Roman" w:hAnsi="Times New Roman" w:eastAsia="方正仿宋_GBK" w:cs="仿宋_GB2312"/>
          <w:color w:val="auto"/>
          <w:kern w:val="2"/>
          <w:sz w:val="32"/>
          <w:szCs w:val="22"/>
          <w:lang w:val="en-US" w:eastAsia="zh-CN" w:bidi="ar-SA"/>
        </w:rPr>
        <w:t>机关运行费主要用于以下开支：办公费41.74万元，水费支出1.45万元，电费支出7.9万元，邮电费15.37万元，差旅费60.25万元，维修（护）费支出2.33万元，会议费支出1.5万元，培训费支出2.08万元，公务接待费支出2.39万元，劳务费支出9.71万元，委托业务费支出8万元，工会经费支出8.1万元，福利费支出4.17万元，公务用车运行维护费支出10.55万元，其他交通费用34.7万元，其他商品和服务支出28.3万元（事业单位不在机关运行经费统计范围之内）。</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本年度会议费支出1.5万元，较上年决算数减少0.28万元，下降15.75%，主要原因是实际支出发生变化。</w:t>
      </w:r>
      <w:r>
        <w:rPr>
          <w:rFonts w:hint="default" w:ascii="Times New Roman" w:hAnsi="Times New Roman" w:eastAsia="方正仿宋_GBK" w:cs="仿宋_GB2312"/>
          <w:color w:val="auto"/>
          <w:kern w:val="2"/>
          <w:sz w:val="32"/>
          <w:szCs w:val="22"/>
          <w:lang w:val="en-US" w:eastAsia="zh-CN" w:bidi="ar-SA"/>
        </w:rPr>
        <w:t>本年度培训费支出</w:t>
      </w:r>
      <w:r>
        <w:rPr>
          <w:rFonts w:hint="eastAsia" w:ascii="Times New Roman" w:hAnsi="Times New Roman" w:eastAsia="方正仿宋_GBK" w:cs="仿宋_GB2312"/>
          <w:color w:val="auto"/>
          <w:kern w:val="2"/>
          <w:sz w:val="32"/>
          <w:szCs w:val="22"/>
          <w:lang w:val="en-US" w:eastAsia="zh-CN" w:bidi="ar-SA"/>
        </w:rPr>
        <w:t>2.08万元</w:t>
      </w:r>
      <w:r>
        <w:rPr>
          <w:rFonts w:hint="default" w:ascii="Times New Roman" w:hAnsi="Times New Roman" w:eastAsia="方正仿宋_GBK" w:cs="仿宋_GB2312"/>
          <w:color w:val="auto"/>
          <w:kern w:val="2"/>
          <w:sz w:val="32"/>
          <w:szCs w:val="22"/>
          <w:lang w:val="en-US" w:eastAsia="zh-CN" w:bidi="ar-SA"/>
        </w:rPr>
        <w:t>，较上年决算数</w:t>
      </w:r>
      <w:r>
        <w:rPr>
          <w:rFonts w:hint="eastAsia" w:ascii="Times New Roman" w:hAnsi="Times New Roman" w:eastAsia="方正仿宋_GBK" w:cs="仿宋_GB2312"/>
          <w:color w:val="auto"/>
          <w:kern w:val="2"/>
          <w:sz w:val="32"/>
          <w:szCs w:val="22"/>
          <w:lang w:val="en-US" w:eastAsia="zh-CN" w:bidi="ar-SA"/>
        </w:rPr>
        <w:t>减少0.79</w:t>
      </w:r>
      <w:r>
        <w:rPr>
          <w:rFonts w:hint="default" w:ascii="Times New Roman" w:hAnsi="Times New Roman" w:eastAsia="方正仿宋_GBK" w:cs="仿宋_GB2312"/>
          <w:color w:val="auto"/>
          <w:kern w:val="2"/>
          <w:sz w:val="32"/>
          <w:szCs w:val="22"/>
          <w:lang w:val="en-US" w:eastAsia="zh-CN" w:bidi="ar-SA"/>
        </w:rPr>
        <w:t>万元，</w:t>
      </w:r>
      <w:r>
        <w:rPr>
          <w:rFonts w:hint="eastAsia" w:ascii="Times New Roman" w:hAnsi="Times New Roman" w:eastAsia="方正仿宋_GBK" w:cs="仿宋_GB2312"/>
          <w:color w:val="auto"/>
          <w:kern w:val="2"/>
          <w:sz w:val="32"/>
          <w:szCs w:val="22"/>
          <w:lang w:val="en-US" w:eastAsia="zh-CN" w:bidi="ar-SA"/>
        </w:rPr>
        <w:t>下降27.53</w:t>
      </w:r>
      <w:r>
        <w:rPr>
          <w:rFonts w:hint="default" w:ascii="Times New Roman" w:hAnsi="Times New Roman" w:eastAsia="方正仿宋_GBK" w:cs="仿宋_GB2312"/>
          <w:color w:val="auto"/>
          <w:kern w:val="2"/>
          <w:sz w:val="32"/>
          <w:szCs w:val="22"/>
          <w:lang w:val="en-US" w:eastAsia="zh-CN" w:bidi="ar-SA"/>
        </w:rPr>
        <w:t>%，主要原因是</w:t>
      </w:r>
      <w:r>
        <w:rPr>
          <w:rFonts w:hint="eastAsia" w:ascii="Times New Roman" w:hAnsi="Times New Roman" w:eastAsia="方正仿宋_GBK" w:cs="仿宋_GB2312"/>
          <w:color w:val="auto"/>
          <w:kern w:val="2"/>
          <w:sz w:val="32"/>
          <w:szCs w:val="22"/>
          <w:lang w:val="en-US" w:eastAsia="zh-CN" w:bidi="ar-SA"/>
        </w:rPr>
        <w:t>实际支出发生变化。</w:t>
      </w:r>
    </w:p>
    <w:p>
      <w:pPr>
        <w:pStyle w:val="3"/>
        <w:keepNext w:val="0"/>
        <w:keepLines w:val="0"/>
        <w:pageBreakBefore w:val="0"/>
        <w:numPr>
          <w:ilvl w:val="0"/>
          <w:numId w:val="2"/>
        </w:numPr>
        <w:kinsoku/>
        <w:wordWrap/>
        <w:overflowPunct/>
        <w:topLinePunct w:val="0"/>
        <w:autoSpaceDE/>
        <w:autoSpaceDN/>
        <w:bidi w:val="0"/>
        <w:adjustRightInd/>
        <w:snapToGrid w:val="0"/>
        <w:spacing w:line="600" w:lineRule="exact"/>
        <w:ind w:left="640" w:leftChars="200" w:firstLine="0" w:firstLineChars="0"/>
        <w:textAlignment w:val="auto"/>
        <w:rPr>
          <w:rFonts w:hint="eastAsia" w:ascii="Times New Roman" w:hAnsi="Times New Roman" w:eastAsia="方正楷体_GBK" w:cs="方正楷体_GBK"/>
          <w:color w:val="auto"/>
          <w:kern w:val="2"/>
          <w:sz w:val="32"/>
          <w:szCs w:val="22"/>
          <w:lang w:val="en-US" w:eastAsia="zh-CN" w:bidi="ar-SA"/>
        </w:rPr>
      </w:pPr>
      <w:r>
        <w:rPr>
          <w:rFonts w:hint="eastAsia" w:ascii="Times New Roman" w:hAnsi="Times New Roman" w:eastAsia="方正楷体_GBK" w:cs="方正楷体_GBK"/>
          <w:color w:val="auto"/>
          <w:kern w:val="2"/>
          <w:sz w:val="32"/>
          <w:szCs w:val="22"/>
          <w:lang w:val="en-US" w:eastAsia="zh-CN" w:bidi="ar-SA"/>
        </w:rPr>
        <w:t>国有资产占用情况说明。</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仿宋_GB2312"/>
          <w:color w:val="auto"/>
          <w:kern w:val="2"/>
          <w:sz w:val="32"/>
          <w:szCs w:val="22"/>
          <w:lang w:val="en-US" w:eastAsia="zh-CN" w:bidi="ar-SA"/>
        </w:rPr>
      </w:pPr>
      <w:r>
        <w:rPr>
          <w:rFonts w:hint="default" w:ascii="Times New Roman" w:hAnsi="Times New Roman" w:eastAsia="方正仿宋_GBK" w:cs="仿宋_GB2312"/>
          <w:color w:val="auto"/>
          <w:kern w:val="2"/>
          <w:sz w:val="32"/>
          <w:szCs w:val="22"/>
          <w:lang w:val="en-US" w:eastAsia="zh-CN" w:bidi="ar-SA"/>
        </w:rPr>
        <w:t>截至2020年12月31日，本部门共有车辆</w:t>
      </w:r>
      <w:r>
        <w:rPr>
          <w:rFonts w:hint="eastAsia" w:ascii="Times New Roman" w:hAnsi="Times New Roman" w:eastAsia="方正仿宋_GBK" w:cs="仿宋_GB2312"/>
          <w:color w:val="auto"/>
          <w:kern w:val="2"/>
          <w:sz w:val="32"/>
          <w:szCs w:val="22"/>
          <w:lang w:val="en-US" w:eastAsia="zh-CN" w:bidi="ar-SA"/>
        </w:rPr>
        <w:t>5</w:t>
      </w:r>
      <w:r>
        <w:rPr>
          <w:rFonts w:hint="default" w:ascii="Times New Roman" w:hAnsi="Times New Roman" w:eastAsia="方正仿宋_GBK" w:cs="仿宋_GB2312"/>
          <w:color w:val="auto"/>
          <w:kern w:val="2"/>
          <w:sz w:val="32"/>
          <w:szCs w:val="22"/>
          <w:lang w:val="en-US" w:eastAsia="zh-CN" w:bidi="ar-SA"/>
        </w:rPr>
        <w:t>辆。其中：副部（省）级及以上领导用车</w:t>
      </w:r>
      <w:r>
        <w:rPr>
          <w:rFonts w:hint="eastAsia" w:ascii="Times New Roman" w:hAnsi="Times New Roman" w:eastAsia="方正仿宋_GBK" w:cs="仿宋_GB2312"/>
          <w:color w:val="auto"/>
          <w:kern w:val="2"/>
          <w:sz w:val="32"/>
          <w:szCs w:val="22"/>
          <w:lang w:val="en-US" w:eastAsia="zh-CN" w:bidi="ar-SA"/>
        </w:rPr>
        <w:t>0</w:t>
      </w:r>
      <w:r>
        <w:rPr>
          <w:rFonts w:hint="default" w:ascii="Times New Roman" w:hAnsi="Times New Roman" w:eastAsia="方正仿宋_GBK" w:cs="仿宋_GB2312"/>
          <w:color w:val="auto"/>
          <w:kern w:val="2"/>
          <w:sz w:val="32"/>
          <w:szCs w:val="22"/>
          <w:lang w:val="en-US" w:eastAsia="zh-CN" w:bidi="ar-SA"/>
        </w:rPr>
        <w:t>辆，主要领导干部用车</w:t>
      </w:r>
      <w:r>
        <w:rPr>
          <w:rFonts w:hint="eastAsia" w:ascii="Times New Roman" w:hAnsi="Times New Roman" w:eastAsia="方正仿宋_GBK" w:cs="仿宋_GB2312"/>
          <w:color w:val="auto"/>
          <w:kern w:val="2"/>
          <w:sz w:val="32"/>
          <w:szCs w:val="22"/>
          <w:lang w:val="en-US" w:eastAsia="zh-CN" w:bidi="ar-SA"/>
        </w:rPr>
        <w:t>0</w:t>
      </w:r>
      <w:r>
        <w:rPr>
          <w:rFonts w:hint="default" w:ascii="Times New Roman" w:hAnsi="Times New Roman" w:eastAsia="方正仿宋_GBK" w:cs="仿宋_GB2312"/>
          <w:color w:val="auto"/>
          <w:kern w:val="2"/>
          <w:sz w:val="32"/>
          <w:szCs w:val="22"/>
          <w:lang w:val="en-US" w:eastAsia="zh-CN" w:bidi="ar-SA"/>
        </w:rPr>
        <w:t>辆，机要通信用车</w:t>
      </w:r>
      <w:r>
        <w:rPr>
          <w:rFonts w:hint="eastAsia" w:ascii="Times New Roman" w:hAnsi="Times New Roman" w:eastAsia="方正仿宋_GBK" w:cs="仿宋_GB2312"/>
          <w:color w:val="auto"/>
          <w:kern w:val="2"/>
          <w:sz w:val="32"/>
          <w:szCs w:val="22"/>
          <w:lang w:val="en-US" w:eastAsia="zh-CN" w:bidi="ar-SA"/>
        </w:rPr>
        <w:t>0</w:t>
      </w:r>
      <w:r>
        <w:rPr>
          <w:rFonts w:hint="default" w:ascii="Times New Roman" w:hAnsi="Times New Roman" w:eastAsia="方正仿宋_GBK" w:cs="仿宋_GB2312"/>
          <w:color w:val="auto"/>
          <w:kern w:val="2"/>
          <w:sz w:val="32"/>
          <w:szCs w:val="22"/>
          <w:lang w:val="en-US" w:eastAsia="zh-CN" w:bidi="ar-SA"/>
        </w:rPr>
        <w:t>辆，应急保障用车</w:t>
      </w:r>
      <w:r>
        <w:rPr>
          <w:rFonts w:hint="eastAsia" w:ascii="Times New Roman" w:hAnsi="Times New Roman" w:eastAsia="方正仿宋_GBK" w:cs="仿宋_GB2312"/>
          <w:color w:val="auto"/>
          <w:kern w:val="2"/>
          <w:sz w:val="32"/>
          <w:szCs w:val="22"/>
          <w:lang w:val="en-US" w:eastAsia="zh-CN" w:bidi="ar-SA"/>
        </w:rPr>
        <w:t>5</w:t>
      </w:r>
      <w:r>
        <w:rPr>
          <w:rFonts w:hint="default" w:ascii="Times New Roman" w:hAnsi="Times New Roman" w:eastAsia="方正仿宋_GBK" w:cs="仿宋_GB2312"/>
          <w:color w:val="auto"/>
          <w:kern w:val="2"/>
          <w:sz w:val="32"/>
          <w:szCs w:val="22"/>
          <w:lang w:val="en-US" w:eastAsia="zh-CN" w:bidi="ar-SA"/>
        </w:rPr>
        <w:t>辆，执法执勤用车</w:t>
      </w:r>
      <w:r>
        <w:rPr>
          <w:rFonts w:hint="eastAsia" w:ascii="Times New Roman" w:hAnsi="Times New Roman" w:eastAsia="方正仿宋_GBK" w:cs="仿宋_GB2312"/>
          <w:color w:val="auto"/>
          <w:kern w:val="2"/>
          <w:sz w:val="32"/>
          <w:szCs w:val="22"/>
          <w:lang w:val="en-US" w:eastAsia="zh-CN" w:bidi="ar-SA"/>
        </w:rPr>
        <w:t>0</w:t>
      </w:r>
      <w:r>
        <w:rPr>
          <w:rFonts w:hint="default" w:ascii="Times New Roman" w:hAnsi="Times New Roman" w:eastAsia="方正仿宋_GBK" w:cs="仿宋_GB2312"/>
          <w:color w:val="auto"/>
          <w:kern w:val="2"/>
          <w:sz w:val="32"/>
          <w:szCs w:val="22"/>
          <w:lang w:val="en-US" w:eastAsia="zh-CN" w:bidi="ar-SA"/>
        </w:rPr>
        <w:t>辆，特种专业技术用车</w:t>
      </w:r>
      <w:r>
        <w:rPr>
          <w:rFonts w:hint="eastAsia" w:ascii="Times New Roman" w:hAnsi="Times New Roman" w:eastAsia="方正仿宋_GBK" w:cs="仿宋_GB2312"/>
          <w:color w:val="auto"/>
          <w:kern w:val="2"/>
          <w:sz w:val="32"/>
          <w:szCs w:val="22"/>
          <w:lang w:val="en-US" w:eastAsia="zh-CN" w:bidi="ar-SA"/>
        </w:rPr>
        <w:t>0</w:t>
      </w:r>
      <w:r>
        <w:rPr>
          <w:rFonts w:hint="default" w:ascii="Times New Roman" w:hAnsi="Times New Roman" w:eastAsia="方正仿宋_GBK" w:cs="仿宋_GB2312"/>
          <w:color w:val="auto"/>
          <w:kern w:val="2"/>
          <w:sz w:val="32"/>
          <w:szCs w:val="22"/>
          <w:lang w:val="en-US" w:eastAsia="zh-CN" w:bidi="ar-SA"/>
        </w:rPr>
        <w:t>辆，离退休干部用车</w:t>
      </w:r>
      <w:r>
        <w:rPr>
          <w:rFonts w:hint="eastAsia" w:ascii="Times New Roman" w:hAnsi="Times New Roman" w:eastAsia="方正仿宋_GBK" w:cs="仿宋_GB2312"/>
          <w:color w:val="auto"/>
          <w:kern w:val="2"/>
          <w:sz w:val="32"/>
          <w:szCs w:val="22"/>
          <w:lang w:val="en-US" w:eastAsia="zh-CN" w:bidi="ar-SA"/>
        </w:rPr>
        <w:t>0</w:t>
      </w:r>
      <w:r>
        <w:rPr>
          <w:rFonts w:hint="default" w:ascii="Times New Roman" w:hAnsi="Times New Roman" w:eastAsia="方正仿宋_GBK" w:cs="仿宋_GB2312"/>
          <w:color w:val="auto"/>
          <w:kern w:val="2"/>
          <w:sz w:val="32"/>
          <w:szCs w:val="22"/>
          <w:lang w:val="en-US" w:eastAsia="zh-CN" w:bidi="ar-SA"/>
        </w:rPr>
        <w:t>辆，其他用车</w:t>
      </w:r>
      <w:r>
        <w:rPr>
          <w:rFonts w:hint="eastAsia" w:ascii="Times New Roman" w:hAnsi="Times New Roman" w:eastAsia="方正仿宋_GBK" w:cs="仿宋_GB2312"/>
          <w:color w:val="auto"/>
          <w:kern w:val="2"/>
          <w:sz w:val="32"/>
          <w:szCs w:val="22"/>
          <w:lang w:val="en-US" w:eastAsia="zh-CN" w:bidi="ar-SA"/>
        </w:rPr>
        <w:t>0</w:t>
      </w:r>
      <w:r>
        <w:rPr>
          <w:rFonts w:hint="default" w:ascii="Times New Roman" w:hAnsi="Times New Roman" w:eastAsia="方正仿宋_GBK" w:cs="仿宋_GB2312"/>
          <w:color w:val="auto"/>
          <w:kern w:val="2"/>
          <w:sz w:val="32"/>
          <w:szCs w:val="22"/>
          <w:lang w:val="en-US" w:eastAsia="zh-CN" w:bidi="ar-SA"/>
        </w:rPr>
        <w:t>辆。</w:t>
      </w:r>
      <w:r>
        <w:rPr>
          <w:rFonts w:hint="eastAsia" w:ascii="Times New Roman" w:hAnsi="Times New Roman" w:eastAsia="方正仿宋_GBK" w:cs="仿宋_GB2312"/>
          <w:color w:val="auto"/>
          <w:kern w:val="2"/>
          <w:sz w:val="32"/>
          <w:szCs w:val="22"/>
          <w:lang w:val="en-US" w:eastAsia="zh-CN" w:bidi="ar-SA"/>
        </w:rPr>
        <w:t>无</w:t>
      </w:r>
      <w:r>
        <w:rPr>
          <w:rFonts w:hint="default" w:ascii="Times New Roman" w:hAnsi="Times New Roman" w:eastAsia="方正仿宋_GBK" w:cs="仿宋_GB2312"/>
          <w:color w:val="auto"/>
          <w:kern w:val="2"/>
          <w:sz w:val="32"/>
          <w:szCs w:val="22"/>
          <w:lang w:val="en-US" w:eastAsia="zh-CN" w:bidi="ar-SA"/>
        </w:rPr>
        <w:t>单价50万元（含）以上通用设备，</w:t>
      </w:r>
      <w:r>
        <w:rPr>
          <w:rFonts w:hint="eastAsia" w:ascii="Times New Roman" w:hAnsi="Times New Roman" w:eastAsia="方正仿宋_GBK" w:cs="仿宋_GB2312"/>
          <w:color w:val="auto"/>
          <w:kern w:val="2"/>
          <w:sz w:val="32"/>
          <w:szCs w:val="22"/>
          <w:lang w:val="en-US" w:eastAsia="zh-CN" w:bidi="ar-SA"/>
        </w:rPr>
        <w:t>无</w:t>
      </w:r>
      <w:r>
        <w:rPr>
          <w:rFonts w:hint="default" w:ascii="Times New Roman" w:hAnsi="Times New Roman" w:eastAsia="方正仿宋_GBK" w:cs="仿宋_GB2312"/>
          <w:color w:val="auto"/>
          <w:kern w:val="2"/>
          <w:sz w:val="32"/>
          <w:szCs w:val="22"/>
          <w:lang w:val="en-US" w:eastAsia="zh-CN" w:bidi="ar-SA"/>
        </w:rPr>
        <w:t>单价100万元（含）以上专用设备。</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楷体_GBK" w:cs="方正楷体_GBK"/>
          <w:color w:val="auto"/>
          <w:kern w:val="2"/>
          <w:sz w:val="32"/>
          <w:szCs w:val="22"/>
          <w:lang w:val="en-US" w:eastAsia="zh-CN" w:bidi="ar-SA"/>
        </w:rPr>
      </w:pPr>
      <w:r>
        <w:rPr>
          <w:rFonts w:hint="eastAsia" w:ascii="Times New Roman" w:hAnsi="Times New Roman" w:eastAsia="方正楷体_GBK" w:cs="方正楷体_GBK"/>
          <w:color w:val="auto"/>
          <w:kern w:val="2"/>
          <w:sz w:val="32"/>
          <w:szCs w:val="22"/>
          <w:lang w:val="en-US" w:eastAsia="zh-CN" w:bidi="ar-SA"/>
        </w:rPr>
        <w:t>（三）政府采购支出情况说明。</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仿宋_GB2312"/>
          <w:color w:val="auto"/>
          <w:kern w:val="2"/>
          <w:sz w:val="32"/>
          <w:szCs w:val="22"/>
          <w:lang w:val="en-US" w:eastAsia="zh-CN" w:bidi="ar-SA"/>
        </w:rPr>
      </w:pPr>
      <w:r>
        <w:rPr>
          <w:rFonts w:hint="eastAsia" w:ascii="Times New Roman" w:hAnsi="Times New Roman" w:eastAsia="方正仿宋_GBK" w:cs="仿宋_GB2312"/>
          <w:color w:val="auto"/>
          <w:kern w:val="2"/>
          <w:sz w:val="32"/>
          <w:szCs w:val="22"/>
          <w:lang w:val="en-US" w:eastAsia="zh-CN" w:bidi="ar-SA"/>
        </w:rPr>
        <w:t>本单位2020年度无政府采购支出。</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黑体_GBK" w:cs="方正黑体_GBK"/>
          <w:color w:val="auto"/>
          <w:kern w:val="2"/>
          <w:sz w:val="32"/>
          <w:szCs w:val="22"/>
          <w:lang w:val="en-US" w:eastAsia="zh-CN" w:bidi="ar-SA"/>
        </w:rPr>
      </w:pPr>
      <w:r>
        <w:rPr>
          <w:rFonts w:hint="eastAsia" w:ascii="Times New Roman" w:hAnsi="Times New Roman" w:eastAsia="方正黑体_GBK" w:cs="方正黑体_GBK"/>
          <w:color w:val="auto"/>
          <w:kern w:val="2"/>
          <w:sz w:val="32"/>
          <w:szCs w:val="22"/>
          <w:lang w:val="en-US" w:eastAsia="zh-CN" w:bidi="ar-SA"/>
        </w:rPr>
        <w:t>五、预算绩效管理情况说明</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楷体_GBK" w:cs="方正楷体_GBK"/>
          <w:color w:val="auto"/>
          <w:kern w:val="2"/>
          <w:sz w:val="32"/>
          <w:szCs w:val="22"/>
          <w:lang w:val="en-US" w:eastAsia="zh-CN" w:bidi="ar-SA"/>
        </w:rPr>
      </w:pPr>
      <w:r>
        <w:rPr>
          <w:rFonts w:hint="eastAsia" w:ascii="Times New Roman" w:hAnsi="Times New Roman" w:eastAsia="方正楷体_GBK" w:cs="方正楷体_GBK"/>
          <w:color w:val="auto"/>
          <w:kern w:val="2"/>
          <w:sz w:val="32"/>
          <w:szCs w:val="22"/>
          <w:lang w:val="en-US" w:eastAsia="zh-CN" w:bidi="ar-SA"/>
        </w:rPr>
        <w:t>（一）预算绩效管理工作开展情况</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仿宋_GB2312"/>
          <w:color w:val="auto"/>
          <w:kern w:val="2"/>
          <w:sz w:val="32"/>
          <w:szCs w:val="22"/>
          <w:lang w:val="en-US" w:eastAsia="zh-CN" w:bidi="ar-SA"/>
        </w:rPr>
      </w:pPr>
      <w:r>
        <w:rPr>
          <w:rFonts w:hint="default" w:ascii="Times New Roman" w:hAnsi="Times New Roman" w:eastAsia="方正仿宋_GBK" w:cs="仿宋_GB2312"/>
          <w:color w:val="auto"/>
          <w:kern w:val="2"/>
          <w:sz w:val="32"/>
          <w:szCs w:val="22"/>
          <w:lang w:val="en-US" w:eastAsia="zh-CN" w:bidi="ar-SA"/>
        </w:rPr>
        <w:t>根据预算绩效管理要求，</w:t>
      </w:r>
      <w:r>
        <w:rPr>
          <w:rFonts w:hint="eastAsia" w:ascii="Times New Roman" w:hAnsi="Times New Roman" w:eastAsia="方正仿宋_GBK" w:cs="仿宋_GB2312"/>
          <w:color w:val="auto"/>
          <w:kern w:val="2"/>
          <w:sz w:val="32"/>
          <w:szCs w:val="22"/>
          <w:lang w:val="en-US" w:eastAsia="zh-CN" w:bidi="ar-SA"/>
        </w:rPr>
        <w:t>我单位</w:t>
      </w:r>
      <w:r>
        <w:rPr>
          <w:rFonts w:hint="default" w:ascii="Times New Roman" w:hAnsi="Times New Roman" w:eastAsia="方正仿宋_GBK" w:cs="仿宋_GB2312"/>
          <w:color w:val="auto"/>
          <w:kern w:val="2"/>
          <w:sz w:val="32"/>
          <w:szCs w:val="22"/>
          <w:lang w:val="en-US" w:eastAsia="zh-CN" w:bidi="ar-SA"/>
        </w:rPr>
        <w:t>对</w:t>
      </w:r>
      <w:r>
        <w:rPr>
          <w:rFonts w:hint="eastAsia" w:ascii="Times New Roman" w:hAnsi="Times New Roman" w:eastAsia="方正仿宋_GBK" w:cs="仿宋_GB2312"/>
          <w:color w:val="auto"/>
          <w:kern w:val="2"/>
          <w:sz w:val="32"/>
          <w:szCs w:val="22"/>
          <w:lang w:val="en-US" w:eastAsia="zh-CN" w:bidi="ar-SA"/>
        </w:rPr>
        <w:t>1</w:t>
      </w:r>
      <w:r>
        <w:rPr>
          <w:rFonts w:hint="default" w:ascii="Times New Roman" w:hAnsi="Times New Roman" w:eastAsia="方正仿宋_GBK" w:cs="仿宋_GB2312"/>
          <w:color w:val="auto"/>
          <w:kern w:val="2"/>
          <w:sz w:val="32"/>
          <w:szCs w:val="22"/>
          <w:lang w:val="en-US" w:eastAsia="zh-CN" w:bidi="ar-SA"/>
        </w:rPr>
        <w:t>个项目开展了绩效自评，以填报绩效自评表形式开展项目自评</w:t>
      </w:r>
      <w:r>
        <w:rPr>
          <w:rFonts w:hint="eastAsia" w:ascii="Times New Roman" w:hAnsi="Times New Roman" w:eastAsia="方正仿宋_GBK" w:cs="仿宋_GB2312"/>
          <w:color w:val="auto"/>
          <w:kern w:val="2"/>
          <w:sz w:val="32"/>
          <w:szCs w:val="22"/>
          <w:lang w:val="en-US" w:eastAsia="zh-CN" w:bidi="ar-SA"/>
        </w:rPr>
        <w:t>1</w:t>
      </w:r>
      <w:r>
        <w:rPr>
          <w:rFonts w:hint="default" w:ascii="Times New Roman" w:hAnsi="Times New Roman" w:eastAsia="方正仿宋_GBK" w:cs="仿宋_GB2312"/>
          <w:color w:val="auto"/>
          <w:kern w:val="2"/>
          <w:sz w:val="32"/>
          <w:szCs w:val="22"/>
          <w:lang w:val="en-US" w:eastAsia="zh-CN" w:bidi="ar-SA"/>
        </w:rPr>
        <w:t>项，涉及资金</w:t>
      </w:r>
      <w:r>
        <w:rPr>
          <w:rFonts w:hint="eastAsia" w:ascii="Times New Roman" w:hAnsi="Times New Roman" w:eastAsia="方正仿宋_GBK" w:cs="仿宋_GB2312"/>
          <w:color w:val="auto"/>
          <w:kern w:val="2"/>
          <w:sz w:val="32"/>
          <w:szCs w:val="22"/>
          <w:lang w:val="en-US" w:eastAsia="zh-CN" w:bidi="ar-SA"/>
        </w:rPr>
        <w:t>216.9</w:t>
      </w:r>
      <w:r>
        <w:rPr>
          <w:rFonts w:hint="default" w:ascii="Times New Roman" w:hAnsi="Times New Roman" w:eastAsia="方正仿宋_GBK" w:cs="仿宋_GB2312"/>
          <w:color w:val="auto"/>
          <w:kern w:val="2"/>
          <w:sz w:val="32"/>
          <w:szCs w:val="22"/>
          <w:lang w:val="en-US" w:eastAsia="zh-CN" w:bidi="ar-SA"/>
        </w:rPr>
        <w:t>万元</w:t>
      </w:r>
      <w:r>
        <w:rPr>
          <w:rFonts w:hint="eastAsia" w:ascii="Times New Roman" w:hAnsi="Times New Roman" w:eastAsia="方正仿宋_GBK" w:cs="仿宋_GB2312"/>
          <w:color w:val="auto"/>
          <w:kern w:val="2"/>
          <w:sz w:val="32"/>
          <w:szCs w:val="22"/>
          <w:lang w:val="en-US" w:eastAsia="zh-CN" w:bidi="ar-SA"/>
        </w:rPr>
        <w:t>。</w:t>
      </w:r>
      <w:r>
        <w:rPr>
          <w:rFonts w:hint="default" w:ascii="Times New Roman" w:hAnsi="Times New Roman" w:eastAsia="方正仿宋_GBK" w:cs="仿宋_GB2312"/>
          <w:color w:val="auto"/>
          <w:kern w:val="2"/>
          <w:sz w:val="32"/>
          <w:szCs w:val="22"/>
          <w:lang w:val="en-US" w:eastAsia="zh-CN" w:bidi="ar-SA"/>
        </w:rPr>
        <w:t>从评价情况来看</w:t>
      </w:r>
      <w:r>
        <w:rPr>
          <w:rFonts w:hint="eastAsia" w:ascii="Times New Roman" w:hAnsi="Times New Roman" w:eastAsia="方正仿宋_GBK" w:cs="仿宋_GB2312"/>
          <w:color w:val="auto"/>
          <w:kern w:val="2"/>
          <w:sz w:val="32"/>
          <w:szCs w:val="22"/>
          <w:lang w:val="en-US" w:eastAsia="zh-CN" w:bidi="ar-SA"/>
        </w:rPr>
        <w:t>，本单位对大棚房专项治理开展了绩效自评，预算数为255.5万元，实际执行数为216.9万元，当年结转38.6万元。大棚房专项治理绩效目标为拆除六合项目总构建物面积5790平方米，拆除万树海项目总构建物面积13600平方米。实际拆除六合项目构建物面积5790平方米，拆除万树海项目总构建物面积13600平方米。完成绩效目标，并通过区农委验收。</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楷体_GBK" w:cs="方正楷体_GBK"/>
          <w:color w:val="auto"/>
          <w:kern w:val="2"/>
          <w:sz w:val="32"/>
          <w:szCs w:val="22"/>
          <w:lang w:val="en-US" w:eastAsia="zh-CN" w:bidi="ar-SA"/>
        </w:rPr>
      </w:pPr>
      <w:r>
        <w:rPr>
          <w:rFonts w:hint="eastAsia" w:ascii="Times New Roman" w:hAnsi="Times New Roman" w:eastAsia="方正楷体_GBK" w:cs="方正楷体_GBK"/>
          <w:color w:val="auto"/>
          <w:kern w:val="2"/>
          <w:sz w:val="32"/>
          <w:szCs w:val="22"/>
          <w:lang w:val="en-US" w:eastAsia="zh-CN" w:bidi="ar-SA"/>
        </w:rPr>
        <w:t>（二）绩效自评结果</w:t>
      </w:r>
    </w:p>
    <w:p>
      <w:pPr>
        <w:pStyle w:val="3"/>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仿宋_GB2312"/>
          <w:color w:val="auto"/>
          <w:kern w:val="2"/>
          <w:sz w:val="32"/>
          <w:szCs w:val="22"/>
          <w:lang w:val="en-US" w:eastAsia="zh-CN" w:bidi="ar-SA"/>
        </w:rPr>
        <w:t>1.绩效自评</w:t>
      </w:r>
    </w:p>
    <w:tbl>
      <w:tblPr>
        <w:tblStyle w:val="7"/>
        <w:tblpPr w:leftFromText="180" w:rightFromText="180" w:vertAnchor="text" w:horzAnchor="page" w:tblpX="1339" w:tblpY="244"/>
        <w:tblOverlap w:val="never"/>
        <w:tblW w:w="9552" w:type="dxa"/>
        <w:tblInd w:w="0" w:type="dxa"/>
        <w:shd w:val="clear" w:color="auto" w:fill="auto"/>
        <w:tblLayout w:type="fixed"/>
        <w:tblCellMar>
          <w:top w:w="0" w:type="dxa"/>
          <w:left w:w="0" w:type="dxa"/>
          <w:bottom w:w="0" w:type="dxa"/>
          <w:right w:w="0" w:type="dxa"/>
        </w:tblCellMar>
      </w:tblPr>
      <w:tblGrid>
        <w:gridCol w:w="3"/>
        <w:gridCol w:w="807"/>
        <w:gridCol w:w="1021"/>
        <w:gridCol w:w="682"/>
        <w:gridCol w:w="931"/>
        <w:gridCol w:w="858"/>
        <w:gridCol w:w="540"/>
        <w:gridCol w:w="949"/>
        <w:gridCol w:w="752"/>
        <w:gridCol w:w="1039"/>
        <w:gridCol w:w="860"/>
        <w:gridCol w:w="1103"/>
        <w:gridCol w:w="7"/>
      </w:tblGrid>
      <w:tr>
        <w:tblPrEx>
          <w:tblCellMar>
            <w:top w:w="0" w:type="dxa"/>
            <w:left w:w="0" w:type="dxa"/>
            <w:bottom w:w="0" w:type="dxa"/>
            <w:right w:w="0" w:type="dxa"/>
          </w:tblCellMar>
        </w:tblPrEx>
        <w:trPr>
          <w:trHeight w:val="647" w:hRule="atLeast"/>
        </w:trPr>
        <w:tc>
          <w:tcPr>
            <w:tcW w:w="9552"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仿宋_GB2312"/>
                <w:color w:val="auto"/>
                <w:kern w:val="2"/>
                <w:sz w:val="32"/>
                <w:szCs w:val="22"/>
                <w:lang w:val="en-US" w:eastAsia="zh-CN" w:bidi="ar-SA"/>
              </w:rPr>
              <w:t>一般性项目绩效自评表样</w:t>
            </w:r>
          </w:p>
        </w:tc>
      </w:tr>
      <w:tr>
        <w:tblPrEx>
          <w:tblCellMar>
            <w:top w:w="0" w:type="dxa"/>
            <w:left w:w="0" w:type="dxa"/>
            <w:bottom w:w="0" w:type="dxa"/>
            <w:right w:w="0" w:type="dxa"/>
          </w:tblCellMar>
        </w:tblPrEx>
        <w:trPr>
          <w:gridBefore w:val="1"/>
          <w:gridAfter w:val="1"/>
          <w:wBefore w:w="3" w:type="dxa"/>
          <w:wAfter w:w="7" w:type="dxa"/>
          <w:trHeight w:val="369" w:hRule="atLeast"/>
        </w:trPr>
        <w:tc>
          <w:tcPr>
            <w:tcW w:w="80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项目名称</w:t>
            </w:r>
          </w:p>
        </w:tc>
        <w:tc>
          <w:tcPr>
            <w:tcW w:w="1703" w:type="dxa"/>
            <w:gridSpan w:val="2"/>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大棚房专项治理　</w:t>
            </w:r>
          </w:p>
        </w:tc>
        <w:tc>
          <w:tcPr>
            <w:tcW w:w="931"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项目编码</w:t>
            </w:r>
          </w:p>
        </w:tc>
        <w:tc>
          <w:tcPr>
            <w:tcW w:w="1398" w:type="dxa"/>
            <w:gridSpan w:val="2"/>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仿宋_GBK" w:cs="Times New Roman"/>
                <w:color w:val="auto"/>
                <w:kern w:val="0"/>
                <w:sz w:val="18"/>
                <w:szCs w:val="18"/>
                <w:lang w:val="en-US" w:eastAsia="zh-CN"/>
              </w:rPr>
            </w:pPr>
            <w:r>
              <w:rPr>
                <w:rFonts w:hint="eastAsia" w:ascii="Times New Roman" w:hAnsi="Times New Roman" w:cs="Times New Roman"/>
                <w:color w:val="auto"/>
                <w:kern w:val="0"/>
                <w:sz w:val="18"/>
                <w:szCs w:val="18"/>
                <w:lang w:val="en-US" w:eastAsia="zh-CN"/>
              </w:rPr>
              <w:t>1</w:t>
            </w:r>
          </w:p>
        </w:tc>
        <w:tc>
          <w:tcPr>
            <w:tcW w:w="949"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自评总分</w:t>
            </w:r>
          </w:p>
        </w:tc>
        <w:tc>
          <w:tcPr>
            <w:tcW w:w="3754" w:type="dxa"/>
            <w:gridSpan w:val="4"/>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lang w:val="en-US" w:eastAsia="zh-CN"/>
              </w:rPr>
            </w:pPr>
            <w:r>
              <w:rPr>
                <w:rFonts w:hint="eastAsia" w:cs="Times New Roman"/>
                <w:color w:val="auto"/>
                <w:kern w:val="0"/>
                <w:sz w:val="18"/>
                <w:szCs w:val="18"/>
                <w:lang w:val="en-US" w:eastAsia="zh-CN"/>
              </w:rPr>
              <w:t>100</w:t>
            </w:r>
          </w:p>
        </w:tc>
      </w:tr>
      <w:tr>
        <w:tblPrEx>
          <w:tblCellMar>
            <w:top w:w="0" w:type="dxa"/>
            <w:left w:w="0" w:type="dxa"/>
            <w:bottom w:w="0" w:type="dxa"/>
            <w:right w:w="0" w:type="dxa"/>
          </w:tblCellMar>
        </w:tblPrEx>
        <w:trPr>
          <w:gridBefore w:val="1"/>
          <w:gridAfter w:val="1"/>
          <w:wBefore w:w="3" w:type="dxa"/>
          <w:wAfter w:w="7" w:type="dxa"/>
          <w:trHeight w:val="369" w:hRule="atLeast"/>
        </w:trPr>
        <w:tc>
          <w:tcPr>
            <w:tcW w:w="80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703" w:type="dxa"/>
            <w:gridSpan w:val="2"/>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931"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398" w:type="dxa"/>
            <w:gridSpan w:val="2"/>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9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（分）</w:t>
            </w:r>
          </w:p>
        </w:tc>
        <w:tc>
          <w:tcPr>
            <w:tcW w:w="3754" w:type="dxa"/>
            <w:gridSpan w:val="4"/>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r>
      <w:tr>
        <w:tblPrEx>
          <w:tblCellMar>
            <w:top w:w="0" w:type="dxa"/>
            <w:left w:w="0" w:type="dxa"/>
            <w:bottom w:w="0" w:type="dxa"/>
            <w:right w:w="0" w:type="dxa"/>
          </w:tblCellMar>
        </w:tblPrEx>
        <w:trPr>
          <w:gridBefore w:val="1"/>
          <w:gridAfter w:val="1"/>
          <w:wBefore w:w="3" w:type="dxa"/>
          <w:wAfter w:w="7" w:type="dxa"/>
          <w:trHeight w:val="369" w:hRule="atLeast"/>
        </w:trPr>
        <w:tc>
          <w:tcPr>
            <w:tcW w:w="807"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主管部门</w:t>
            </w:r>
          </w:p>
        </w:tc>
        <w:tc>
          <w:tcPr>
            <w:tcW w:w="1703" w:type="dxa"/>
            <w:gridSpan w:val="2"/>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区农业农村委　</w:t>
            </w:r>
          </w:p>
        </w:tc>
        <w:tc>
          <w:tcPr>
            <w:tcW w:w="93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财政科室</w:t>
            </w:r>
          </w:p>
        </w:tc>
        <w:tc>
          <w:tcPr>
            <w:tcW w:w="1398" w:type="dxa"/>
            <w:gridSpan w:val="2"/>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　农业科</w:t>
            </w:r>
          </w:p>
        </w:tc>
        <w:tc>
          <w:tcPr>
            <w:tcW w:w="949"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项目</w:t>
            </w:r>
          </w:p>
        </w:tc>
        <w:tc>
          <w:tcPr>
            <w:tcW w:w="75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　孙启</w:t>
            </w:r>
          </w:p>
        </w:tc>
        <w:tc>
          <w:tcPr>
            <w:tcW w:w="103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联系电话</w:t>
            </w:r>
          </w:p>
        </w:tc>
        <w:tc>
          <w:tcPr>
            <w:tcW w:w="1963" w:type="dxa"/>
            <w:gridSpan w:val="2"/>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15223582909</w:t>
            </w:r>
          </w:p>
        </w:tc>
      </w:tr>
      <w:tr>
        <w:tblPrEx>
          <w:tblCellMar>
            <w:top w:w="0" w:type="dxa"/>
            <w:left w:w="0" w:type="dxa"/>
            <w:bottom w:w="0" w:type="dxa"/>
            <w:right w:w="0" w:type="dxa"/>
          </w:tblCellMar>
        </w:tblPrEx>
        <w:trPr>
          <w:gridBefore w:val="1"/>
          <w:gridAfter w:val="1"/>
          <w:wBefore w:w="3" w:type="dxa"/>
          <w:wAfter w:w="7" w:type="dxa"/>
          <w:trHeight w:val="369" w:hRule="atLeast"/>
        </w:trPr>
        <w:tc>
          <w:tcPr>
            <w:tcW w:w="807"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703"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93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398"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9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联系人</w:t>
            </w:r>
          </w:p>
        </w:tc>
        <w:tc>
          <w:tcPr>
            <w:tcW w:w="75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03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963" w:type="dxa"/>
            <w:gridSpan w:val="2"/>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r>
      <w:tr>
        <w:tblPrEx>
          <w:tblCellMar>
            <w:top w:w="0" w:type="dxa"/>
            <w:left w:w="0" w:type="dxa"/>
            <w:bottom w:w="0" w:type="dxa"/>
            <w:right w:w="0" w:type="dxa"/>
          </w:tblCellMar>
        </w:tblPrEx>
        <w:trPr>
          <w:gridBefore w:val="1"/>
          <w:gridAfter w:val="1"/>
          <w:wBefore w:w="3" w:type="dxa"/>
          <w:wAfter w:w="7" w:type="dxa"/>
          <w:trHeight w:val="369" w:hRule="atLeast"/>
        </w:trPr>
        <w:tc>
          <w:tcPr>
            <w:tcW w:w="807"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项目资金（万元）</w:t>
            </w:r>
          </w:p>
        </w:tc>
        <w:tc>
          <w:tcPr>
            <w:tcW w:w="1021" w:type="dxa"/>
            <w:vMerge w:val="restar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613" w:type="dxa"/>
            <w:gridSpan w:val="2"/>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年初预算数</w:t>
            </w:r>
          </w:p>
        </w:tc>
        <w:tc>
          <w:tcPr>
            <w:tcW w:w="1398" w:type="dxa"/>
            <w:gridSpan w:val="2"/>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全年（调整）预算数</w:t>
            </w:r>
          </w:p>
        </w:tc>
        <w:tc>
          <w:tcPr>
            <w:tcW w:w="1701" w:type="dxa"/>
            <w:gridSpan w:val="2"/>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全年执行数</w:t>
            </w:r>
          </w:p>
        </w:tc>
        <w:tc>
          <w:tcPr>
            <w:tcW w:w="1039"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执行率</w:t>
            </w:r>
          </w:p>
        </w:tc>
        <w:tc>
          <w:tcPr>
            <w:tcW w:w="8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执行率</w:t>
            </w:r>
          </w:p>
        </w:tc>
        <w:tc>
          <w:tcPr>
            <w:tcW w:w="110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执行率得分</w:t>
            </w:r>
          </w:p>
        </w:tc>
      </w:tr>
      <w:tr>
        <w:tblPrEx>
          <w:tblCellMar>
            <w:top w:w="0" w:type="dxa"/>
            <w:left w:w="0" w:type="dxa"/>
            <w:bottom w:w="0" w:type="dxa"/>
            <w:right w:w="0" w:type="dxa"/>
          </w:tblCellMar>
        </w:tblPrEx>
        <w:trPr>
          <w:gridBefore w:val="1"/>
          <w:gridAfter w:val="1"/>
          <w:wBefore w:w="3" w:type="dxa"/>
          <w:wAfter w:w="7" w:type="dxa"/>
          <w:trHeight w:val="369" w:hRule="atLeast"/>
        </w:trPr>
        <w:tc>
          <w:tcPr>
            <w:tcW w:w="807"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021" w:type="dxa"/>
            <w:vMerge w:val="continue"/>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613" w:type="dxa"/>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398"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701"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03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权重</w:t>
            </w:r>
          </w:p>
        </w:tc>
        <w:tc>
          <w:tcPr>
            <w:tcW w:w="11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（分）</w:t>
            </w:r>
          </w:p>
        </w:tc>
      </w:tr>
      <w:tr>
        <w:tblPrEx>
          <w:tblCellMar>
            <w:top w:w="0" w:type="dxa"/>
            <w:left w:w="0" w:type="dxa"/>
            <w:bottom w:w="0" w:type="dxa"/>
            <w:right w:w="0" w:type="dxa"/>
          </w:tblCellMar>
        </w:tblPrEx>
        <w:trPr>
          <w:gridBefore w:val="1"/>
          <w:gridAfter w:val="1"/>
          <w:wBefore w:w="3" w:type="dxa"/>
          <w:wAfter w:w="7" w:type="dxa"/>
          <w:trHeight w:val="369" w:hRule="atLeast"/>
        </w:trPr>
        <w:tc>
          <w:tcPr>
            <w:tcW w:w="80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021"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年度总金额</w:t>
            </w:r>
          </w:p>
        </w:tc>
        <w:tc>
          <w:tcPr>
            <w:tcW w:w="1613"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255.5</w:t>
            </w:r>
          </w:p>
        </w:tc>
        <w:tc>
          <w:tcPr>
            <w:tcW w:w="1398"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216.9</w:t>
            </w:r>
          </w:p>
        </w:tc>
        <w:tc>
          <w:tcPr>
            <w:tcW w:w="170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216.9</w:t>
            </w:r>
          </w:p>
        </w:tc>
        <w:tc>
          <w:tcPr>
            <w:tcW w:w="103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lang w:val="en-US"/>
              </w:rPr>
            </w:pPr>
            <w:r>
              <w:rPr>
                <w:rFonts w:hint="eastAsia" w:cs="Times New Roman"/>
                <w:color w:val="auto"/>
                <w:kern w:val="0"/>
                <w:sz w:val="18"/>
                <w:szCs w:val="18"/>
                <w:lang w:val="en-US" w:eastAsia="zh-CN"/>
              </w:rPr>
              <w:t>100</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lang w:val="en-US"/>
              </w:rPr>
            </w:pPr>
            <w:r>
              <w:rPr>
                <w:rFonts w:hint="eastAsia" w:cs="Times New Roman"/>
                <w:color w:val="auto"/>
                <w:kern w:val="0"/>
                <w:sz w:val="18"/>
                <w:szCs w:val="18"/>
                <w:lang w:val="en-US" w:eastAsia="zh-CN"/>
              </w:rPr>
              <w:t>50</w:t>
            </w:r>
          </w:p>
        </w:tc>
        <w:tc>
          <w:tcPr>
            <w:tcW w:w="11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lang w:val="en-US"/>
              </w:rPr>
            </w:pPr>
            <w:r>
              <w:rPr>
                <w:rFonts w:hint="eastAsia" w:cs="Times New Roman"/>
                <w:color w:val="auto"/>
                <w:kern w:val="0"/>
                <w:sz w:val="18"/>
                <w:szCs w:val="18"/>
                <w:lang w:val="en-US" w:eastAsia="zh-CN"/>
              </w:rPr>
              <w:t>50</w:t>
            </w:r>
          </w:p>
        </w:tc>
      </w:tr>
      <w:tr>
        <w:tblPrEx>
          <w:tblCellMar>
            <w:top w:w="0" w:type="dxa"/>
            <w:left w:w="0" w:type="dxa"/>
            <w:bottom w:w="0" w:type="dxa"/>
            <w:right w:w="0" w:type="dxa"/>
          </w:tblCellMar>
        </w:tblPrEx>
        <w:trPr>
          <w:gridBefore w:val="1"/>
          <w:gridAfter w:val="1"/>
          <w:wBefore w:w="3" w:type="dxa"/>
          <w:wAfter w:w="7" w:type="dxa"/>
          <w:trHeight w:val="701" w:hRule="atLeast"/>
        </w:trPr>
        <w:tc>
          <w:tcPr>
            <w:tcW w:w="80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021"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其中：市级支出</w:t>
            </w:r>
          </w:p>
        </w:tc>
        <w:tc>
          <w:tcPr>
            <w:tcW w:w="1613"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398"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70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03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1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r>
      <w:tr>
        <w:tblPrEx>
          <w:tblCellMar>
            <w:top w:w="0" w:type="dxa"/>
            <w:left w:w="0" w:type="dxa"/>
            <w:bottom w:w="0" w:type="dxa"/>
            <w:right w:w="0" w:type="dxa"/>
          </w:tblCellMar>
        </w:tblPrEx>
        <w:trPr>
          <w:gridBefore w:val="1"/>
          <w:gridAfter w:val="1"/>
          <w:wBefore w:w="3" w:type="dxa"/>
          <w:wAfter w:w="7" w:type="dxa"/>
          <w:trHeight w:val="369" w:hRule="atLeast"/>
        </w:trPr>
        <w:tc>
          <w:tcPr>
            <w:tcW w:w="80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021"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补助区县</w:t>
            </w:r>
          </w:p>
        </w:tc>
        <w:tc>
          <w:tcPr>
            <w:tcW w:w="1613"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398"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70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03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1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r>
      <w:tr>
        <w:tblPrEx>
          <w:tblCellMar>
            <w:top w:w="0" w:type="dxa"/>
            <w:left w:w="0" w:type="dxa"/>
            <w:bottom w:w="0" w:type="dxa"/>
            <w:right w:w="0" w:type="dxa"/>
          </w:tblCellMar>
        </w:tblPrEx>
        <w:trPr>
          <w:gridBefore w:val="1"/>
          <w:gridAfter w:val="1"/>
          <w:wBefore w:w="3" w:type="dxa"/>
          <w:wAfter w:w="7" w:type="dxa"/>
          <w:trHeight w:val="701" w:hRule="atLeast"/>
        </w:trPr>
        <w:tc>
          <w:tcPr>
            <w:tcW w:w="80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当年绩效目标</w:t>
            </w:r>
          </w:p>
        </w:tc>
        <w:tc>
          <w:tcPr>
            <w:tcW w:w="2634"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年初绩效目标</w:t>
            </w:r>
          </w:p>
        </w:tc>
        <w:tc>
          <w:tcPr>
            <w:tcW w:w="3099" w:type="dxa"/>
            <w:gridSpan w:val="4"/>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全年（调整）绩效目标</w:t>
            </w:r>
          </w:p>
        </w:tc>
        <w:tc>
          <w:tcPr>
            <w:tcW w:w="300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全年目标实际完成情况</w:t>
            </w:r>
          </w:p>
        </w:tc>
      </w:tr>
      <w:tr>
        <w:tblPrEx>
          <w:tblCellMar>
            <w:top w:w="0" w:type="dxa"/>
            <w:left w:w="0" w:type="dxa"/>
            <w:bottom w:w="0" w:type="dxa"/>
            <w:right w:w="0" w:type="dxa"/>
          </w:tblCellMar>
        </w:tblPrEx>
        <w:trPr>
          <w:gridBefore w:val="1"/>
          <w:gridAfter w:val="1"/>
          <w:wBefore w:w="3" w:type="dxa"/>
          <w:wAfter w:w="7" w:type="dxa"/>
          <w:trHeight w:val="1620" w:hRule="atLeast"/>
        </w:trPr>
        <w:tc>
          <w:tcPr>
            <w:tcW w:w="80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仿宋_GBK" w:cs="Times New Roman"/>
                <w:color w:val="auto"/>
                <w:kern w:val="0"/>
                <w:sz w:val="18"/>
                <w:szCs w:val="18"/>
              </w:rPr>
            </w:pPr>
            <w:r>
              <w:rPr>
                <w:rFonts w:hint="eastAsia" w:ascii="Times New Roman" w:hAnsi="Times New Roman" w:eastAsia="方正仿宋_GBK" w:cs="Times New Roman"/>
                <w:color w:val="auto"/>
                <w:kern w:val="0"/>
                <w:sz w:val="18"/>
                <w:szCs w:val="18"/>
                <w:lang w:val="en-US" w:eastAsia="zh-CN"/>
              </w:rPr>
              <w:t>拆除六合、万树海两个项目</w:t>
            </w:r>
          </w:p>
        </w:tc>
        <w:tc>
          <w:tcPr>
            <w:tcW w:w="2634"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仿宋_GBK" w:cs="Times New Roman"/>
                <w:color w:val="auto"/>
                <w:kern w:val="0"/>
                <w:sz w:val="18"/>
                <w:szCs w:val="18"/>
              </w:rPr>
            </w:pPr>
            <w:r>
              <w:rPr>
                <w:rFonts w:hint="eastAsia" w:ascii="Times New Roman" w:hAnsi="Times New Roman" w:eastAsia="方正仿宋_GBK" w:cs="Times New Roman"/>
                <w:color w:val="auto"/>
                <w:kern w:val="0"/>
                <w:sz w:val="18"/>
                <w:szCs w:val="18"/>
                <w:lang w:val="en-US" w:eastAsia="zh-CN"/>
              </w:rPr>
              <w:t>拆除六合项目总建构筑物面积</w:t>
            </w:r>
            <w:r>
              <w:rPr>
                <w:rFonts w:hint="default" w:ascii="Times New Roman" w:hAnsi="Times New Roman" w:eastAsia="方正仿宋_GBK" w:cs="Times New Roman"/>
                <w:color w:val="auto"/>
                <w:kern w:val="0"/>
                <w:sz w:val="18"/>
                <w:szCs w:val="18"/>
                <w:lang w:val="en-US" w:eastAsia="zh-CN"/>
              </w:rPr>
              <w:t>5790</w:t>
            </w:r>
            <w:r>
              <w:rPr>
                <w:rFonts w:hint="eastAsia" w:ascii="Times New Roman" w:hAnsi="Times New Roman" w:eastAsia="方正仿宋_GBK" w:cs="Times New Roman"/>
                <w:color w:val="auto"/>
                <w:kern w:val="0"/>
                <w:sz w:val="18"/>
                <w:szCs w:val="18"/>
                <w:lang w:val="en-US" w:eastAsia="zh-CN"/>
              </w:rPr>
              <w:t>平方米，拆除万树海项目总建构筑物面积13600平方米</w:t>
            </w:r>
          </w:p>
        </w:tc>
        <w:tc>
          <w:tcPr>
            <w:tcW w:w="3099" w:type="dxa"/>
            <w:gridSpan w:val="4"/>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仿宋_GBK" w:cs="Times New Roman"/>
                <w:color w:val="auto"/>
                <w:kern w:val="0"/>
                <w:sz w:val="18"/>
                <w:szCs w:val="18"/>
              </w:rPr>
            </w:pPr>
            <w:r>
              <w:rPr>
                <w:rFonts w:hint="eastAsia" w:ascii="Times New Roman" w:hAnsi="Times New Roman" w:eastAsia="方正仿宋_GBK" w:cs="Times New Roman"/>
                <w:color w:val="auto"/>
                <w:kern w:val="0"/>
                <w:sz w:val="18"/>
                <w:szCs w:val="18"/>
                <w:lang w:val="en-US" w:eastAsia="zh-CN"/>
              </w:rPr>
              <w:t>拆除六合项目总建构筑物面积</w:t>
            </w:r>
            <w:r>
              <w:rPr>
                <w:rFonts w:hint="default" w:ascii="Times New Roman" w:hAnsi="Times New Roman" w:eastAsia="方正仿宋_GBK" w:cs="Times New Roman"/>
                <w:color w:val="auto"/>
                <w:kern w:val="0"/>
                <w:sz w:val="18"/>
                <w:szCs w:val="18"/>
                <w:lang w:val="en-US" w:eastAsia="zh-CN"/>
              </w:rPr>
              <w:t>5790</w:t>
            </w:r>
            <w:r>
              <w:rPr>
                <w:rFonts w:hint="eastAsia" w:ascii="Times New Roman" w:hAnsi="Times New Roman" w:eastAsia="方正仿宋_GBK" w:cs="Times New Roman"/>
                <w:color w:val="auto"/>
                <w:kern w:val="0"/>
                <w:sz w:val="18"/>
                <w:szCs w:val="18"/>
                <w:lang w:val="en-US" w:eastAsia="zh-CN"/>
              </w:rPr>
              <w:t>平方米，拆除万树海项目总建构筑物面积</w:t>
            </w:r>
            <w:r>
              <w:rPr>
                <w:rFonts w:hint="default" w:ascii="Times New Roman" w:hAnsi="Times New Roman" w:eastAsia="方正仿宋_GBK" w:cs="Times New Roman"/>
                <w:color w:val="auto"/>
                <w:kern w:val="0"/>
                <w:sz w:val="18"/>
                <w:szCs w:val="18"/>
                <w:lang w:val="en-US" w:eastAsia="zh-CN"/>
              </w:rPr>
              <w:t>13600</w:t>
            </w:r>
            <w:r>
              <w:rPr>
                <w:rFonts w:hint="eastAsia" w:ascii="Times New Roman" w:hAnsi="Times New Roman" w:eastAsia="方正仿宋_GBK" w:cs="Times New Roman"/>
                <w:color w:val="auto"/>
                <w:kern w:val="0"/>
                <w:sz w:val="18"/>
                <w:szCs w:val="18"/>
                <w:lang w:val="en-US" w:eastAsia="zh-CN"/>
              </w:rPr>
              <w:t>平方米</w:t>
            </w:r>
          </w:p>
        </w:tc>
        <w:tc>
          <w:tcPr>
            <w:tcW w:w="300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仿宋_GBK" w:cs="Times New Roman"/>
                <w:color w:val="auto"/>
                <w:kern w:val="0"/>
                <w:sz w:val="18"/>
                <w:szCs w:val="18"/>
              </w:rPr>
            </w:pPr>
            <w:r>
              <w:rPr>
                <w:rFonts w:hint="eastAsia" w:ascii="Times New Roman" w:hAnsi="Times New Roman" w:eastAsia="方正仿宋_GBK" w:cs="Times New Roman"/>
                <w:color w:val="auto"/>
                <w:kern w:val="0"/>
                <w:sz w:val="18"/>
                <w:szCs w:val="18"/>
                <w:lang w:val="en-US" w:eastAsia="zh-CN"/>
              </w:rPr>
              <w:t>已完成，</w:t>
            </w:r>
            <w:r>
              <w:rPr>
                <w:rFonts w:hint="default" w:ascii="Times New Roman" w:hAnsi="Times New Roman" w:eastAsia="方正仿宋_GBK" w:cs="Times New Roman"/>
                <w:color w:val="auto"/>
                <w:kern w:val="0"/>
                <w:sz w:val="18"/>
                <w:szCs w:val="18"/>
                <w:lang w:val="en-US" w:eastAsia="zh-CN"/>
              </w:rPr>
              <w:t>2019</w:t>
            </w:r>
            <w:r>
              <w:rPr>
                <w:rFonts w:hint="eastAsia" w:ascii="Times New Roman" w:hAnsi="Times New Roman" w:eastAsia="方正仿宋_GBK" w:cs="Times New Roman"/>
                <w:color w:val="auto"/>
                <w:kern w:val="0"/>
                <w:sz w:val="18"/>
                <w:szCs w:val="18"/>
                <w:lang w:val="en-US" w:eastAsia="zh-CN"/>
              </w:rPr>
              <w:t>年</w:t>
            </w:r>
            <w:r>
              <w:rPr>
                <w:rFonts w:hint="default" w:ascii="Times New Roman" w:hAnsi="Times New Roman" w:eastAsia="方正仿宋_GBK" w:cs="Times New Roman"/>
                <w:color w:val="auto"/>
                <w:kern w:val="0"/>
                <w:sz w:val="18"/>
                <w:szCs w:val="18"/>
                <w:lang w:val="en-US" w:eastAsia="zh-CN"/>
              </w:rPr>
              <w:t>3</w:t>
            </w:r>
            <w:r>
              <w:rPr>
                <w:rFonts w:hint="eastAsia" w:ascii="Times New Roman" w:hAnsi="Times New Roman" w:eastAsia="方正仿宋_GBK" w:cs="Times New Roman"/>
                <w:color w:val="auto"/>
                <w:kern w:val="0"/>
                <w:sz w:val="18"/>
                <w:szCs w:val="18"/>
                <w:lang w:val="en-US" w:eastAsia="zh-CN"/>
              </w:rPr>
              <w:t>月通过区农委验收</w:t>
            </w:r>
          </w:p>
        </w:tc>
      </w:tr>
      <w:tr>
        <w:tblPrEx>
          <w:tblCellMar>
            <w:top w:w="0" w:type="dxa"/>
            <w:left w:w="0" w:type="dxa"/>
            <w:bottom w:w="0" w:type="dxa"/>
            <w:right w:w="0" w:type="dxa"/>
          </w:tblCellMar>
        </w:tblPrEx>
        <w:trPr>
          <w:gridBefore w:val="1"/>
          <w:gridAfter w:val="1"/>
          <w:wBefore w:w="3" w:type="dxa"/>
          <w:wAfter w:w="7" w:type="dxa"/>
          <w:trHeight w:val="936" w:hRule="atLeast"/>
        </w:trPr>
        <w:tc>
          <w:tcPr>
            <w:tcW w:w="807"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绩效指标</w:t>
            </w:r>
          </w:p>
        </w:tc>
        <w:tc>
          <w:tcPr>
            <w:tcW w:w="1021" w:type="dxa"/>
            <w:vMerge w:val="restar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指标名称</w:t>
            </w:r>
          </w:p>
        </w:tc>
        <w:tc>
          <w:tcPr>
            <w:tcW w:w="682"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计量</w:t>
            </w:r>
          </w:p>
        </w:tc>
        <w:tc>
          <w:tcPr>
            <w:tcW w:w="931"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指标</w:t>
            </w:r>
          </w:p>
        </w:tc>
        <w:tc>
          <w:tcPr>
            <w:tcW w:w="85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年初</w:t>
            </w:r>
          </w:p>
        </w:tc>
        <w:tc>
          <w:tcPr>
            <w:tcW w:w="54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调整</w:t>
            </w:r>
          </w:p>
        </w:tc>
        <w:tc>
          <w:tcPr>
            <w:tcW w:w="949"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全年</w:t>
            </w:r>
          </w:p>
        </w:tc>
        <w:tc>
          <w:tcPr>
            <w:tcW w:w="752"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得分系数</w:t>
            </w:r>
          </w:p>
        </w:tc>
        <w:tc>
          <w:tcPr>
            <w:tcW w:w="1039"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指标权重</w:t>
            </w:r>
          </w:p>
        </w:tc>
        <w:tc>
          <w:tcPr>
            <w:tcW w:w="8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指标得分</w:t>
            </w:r>
          </w:p>
        </w:tc>
        <w:tc>
          <w:tcPr>
            <w:tcW w:w="110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是否核心</w:t>
            </w:r>
          </w:p>
        </w:tc>
      </w:tr>
      <w:tr>
        <w:tblPrEx>
          <w:tblCellMar>
            <w:top w:w="0" w:type="dxa"/>
            <w:left w:w="0" w:type="dxa"/>
            <w:bottom w:w="0" w:type="dxa"/>
            <w:right w:w="0" w:type="dxa"/>
          </w:tblCellMar>
        </w:tblPrEx>
        <w:trPr>
          <w:gridBefore w:val="1"/>
          <w:gridAfter w:val="1"/>
          <w:wBefore w:w="3" w:type="dxa"/>
          <w:wAfter w:w="7" w:type="dxa"/>
          <w:trHeight w:val="701" w:hRule="atLeast"/>
        </w:trPr>
        <w:tc>
          <w:tcPr>
            <w:tcW w:w="807"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021" w:type="dxa"/>
            <w:vMerge w:val="continue"/>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68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单位</w:t>
            </w:r>
          </w:p>
        </w:tc>
        <w:tc>
          <w:tcPr>
            <w:tcW w:w="93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性质</w:t>
            </w:r>
          </w:p>
        </w:tc>
        <w:tc>
          <w:tcPr>
            <w:tcW w:w="8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指标值</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指标值</w:t>
            </w:r>
          </w:p>
        </w:tc>
        <w:tc>
          <w:tcPr>
            <w:tcW w:w="9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完成值</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w:t>
            </w:r>
          </w:p>
        </w:tc>
        <w:tc>
          <w:tcPr>
            <w:tcW w:w="103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（分）</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（分）</w:t>
            </w:r>
          </w:p>
        </w:tc>
        <w:tc>
          <w:tcPr>
            <w:tcW w:w="11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指标</w:t>
            </w:r>
          </w:p>
        </w:tc>
      </w:tr>
      <w:tr>
        <w:tblPrEx>
          <w:tblCellMar>
            <w:top w:w="0" w:type="dxa"/>
            <w:left w:w="0" w:type="dxa"/>
            <w:bottom w:w="0" w:type="dxa"/>
            <w:right w:w="0" w:type="dxa"/>
          </w:tblCellMar>
        </w:tblPrEx>
        <w:trPr>
          <w:gridBefore w:val="1"/>
          <w:gridAfter w:val="1"/>
          <w:wBefore w:w="3" w:type="dxa"/>
          <w:wAfter w:w="7" w:type="dxa"/>
          <w:trHeight w:val="644" w:hRule="atLeast"/>
        </w:trPr>
        <w:tc>
          <w:tcPr>
            <w:tcW w:w="80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仿宋_GBK" w:cs="Times New Roman"/>
                <w:color w:val="auto"/>
                <w:kern w:val="0"/>
                <w:sz w:val="18"/>
                <w:szCs w:val="18"/>
              </w:rPr>
            </w:pPr>
            <w:r>
              <w:rPr>
                <w:rFonts w:hint="eastAsia" w:ascii="Times New Roman" w:hAnsi="Times New Roman" w:eastAsia="方正仿宋_GBK" w:cs="Times New Roman"/>
                <w:color w:val="auto"/>
                <w:kern w:val="0"/>
                <w:sz w:val="18"/>
                <w:szCs w:val="18"/>
                <w:lang w:val="en-US" w:eastAsia="zh-CN"/>
              </w:rPr>
              <w:t>拆除面积</w:t>
            </w:r>
          </w:p>
        </w:tc>
        <w:tc>
          <w:tcPr>
            <w:tcW w:w="1021"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仿宋_GBK" w:cs="Times New Roman"/>
                <w:color w:val="auto"/>
                <w:kern w:val="0"/>
                <w:sz w:val="18"/>
                <w:szCs w:val="18"/>
              </w:rPr>
            </w:pPr>
            <w:r>
              <w:rPr>
                <w:rFonts w:hint="eastAsia" w:ascii="Times New Roman" w:hAnsi="Times New Roman" w:eastAsia="方正仿宋_GBK" w:cs="Times New Roman"/>
                <w:color w:val="auto"/>
                <w:kern w:val="0"/>
                <w:sz w:val="18"/>
                <w:szCs w:val="18"/>
                <w:lang w:val="en-US" w:eastAsia="zh-CN"/>
              </w:rPr>
              <w:t>拆除面积</w:t>
            </w:r>
          </w:p>
        </w:tc>
        <w:tc>
          <w:tcPr>
            <w:tcW w:w="682"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仿宋_GBK" w:cs="Times New Roman"/>
                <w:color w:val="auto"/>
                <w:kern w:val="0"/>
                <w:sz w:val="18"/>
                <w:szCs w:val="18"/>
              </w:rPr>
            </w:pPr>
            <w:r>
              <w:rPr>
                <w:rFonts w:hint="eastAsia" w:ascii="Times New Roman" w:hAnsi="Times New Roman" w:eastAsia="方正仿宋_GBK" w:cs="Times New Roman"/>
                <w:color w:val="auto"/>
                <w:kern w:val="0"/>
                <w:sz w:val="18"/>
                <w:szCs w:val="18"/>
                <w:lang w:val="en-US" w:eastAsia="zh-CN"/>
              </w:rPr>
              <w:t>平方米</w:t>
            </w:r>
          </w:p>
        </w:tc>
        <w:tc>
          <w:tcPr>
            <w:tcW w:w="931"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858"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19390</w:t>
            </w:r>
          </w:p>
        </w:tc>
        <w:tc>
          <w:tcPr>
            <w:tcW w:w="54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0</w:t>
            </w:r>
          </w:p>
        </w:tc>
        <w:tc>
          <w:tcPr>
            <w:tcW w:w="949"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19390</w:t>
            </w:r>
          </w:p>
        </w:tc>
        <w:tc>
          <w:tcPr>
            <w:tcW w:w="752"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100</w:t>
            </w:r>
          </w:p>
        </w:tc>
        <w:tc>
          <w:tcPr>
            <w:tcW w:w="1039"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lang w:val="en-US"/>
              </w:rPr>
            </w:pPr>
            <w:r>
              <w:rPr>
                <w:rFonts w:hint="eastAsia" w:cs="Times New Roman"/>
                <w:color w:val="auto"/>
                <w:kern w:val="0"/>
                <w:sz w:val="18"/>
                <w:szCs w:val="18"/>
                <w:lang w:val="en-US" w:eastAsia="zh-CN"/>
              </w:rPr>
              <w:t>50</w:t>
            </w:r>
          </w:p>
        </w:tc>
        <w:tc>
          <w:tcPr>
            <w:tcW w:w="86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lang w:val="en-US"/>
              </w:rPr>
            </w:pPr>
            <w:r>
              <w:rPr>
                <w:rFonts w:hint="eastAsia" w:cs="Times New Roman"/>
                <w:color w:val="auto"/>
                <w:kern w:val="0"/>
                <w:sz w:val="18"/>
                <w:szCs w:val="18"/>
                <w:lang w:val="en-US" w:eastAsia="zh-CN"/>
              </w:rPr>
              <w:t>50</w:t>
            </w:r>
          </w:p>
        </w:tc>
        <w:tc>
          <w:tcPr>
            <w:tcW w:w="11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仿宋_GBK" w:cs="Times New Roman"/>
                <w:color w:val="auto"/>
                <w:kern w:val="0"/>
                <w:sz w:val="18"/>
                <w:szCs w:val="18"/>
              </w:rPr>
            </w:pPr>
            <w:r>
              <w:rPr>
                <w:rFonts w:hint="eastAsia" w:ascii="Times New Roman" w:hAnsi="Times New Roman" w:eastAsia="方正仿宋_GBK" w:cs="Times New Roman"/>
                <w:color w:val="auto"/>
                <w:kern w:val="0"/>
                <w:sz w:val="18"/>
                <w:szCs w:val="18"/>
                <w:lang w:val="en-US" w:eastAsia="zh-CN"/>
              </w:rPr>
              <w:t>是</w:t>
            </w:r>
          </w:p>
        </w:tc>
      </w:tr>
      <w:tr>
        <w:tblPrEx>
          <w:tblCellMar>
            <w:top w:w="0" w:type="dxa"/>
            <w:left w:w="0" w:type="dxa"/>
            <w:bottom w:w="0" w:type="dxa"/>
            <w:right w:w="0" w:type="dxa"/>
          </w:tblCellMar>
        </w:tblPrEx>
        <w:trPr>
          <w:gridBefore w:val="1"/>
          <w:gridAfter w:val="1"/>
          <w:wBefore w:w="3" w:type="dxa"/>
          <w:wAfter w:w="7" w:type="dxa"/>
          <w:trHeight w:val="544" w:hRule="atLeast"/>
        </w:trPr>
        <w:tc>
          <w:tcPr>
            <w:tcW w:w="80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021"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682"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931"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858"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54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949"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752"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039"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86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c>
          <w:tcPr>
            <w:tcW w:w="11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r>
      <w:tr>
        <w:tblPrEx>
          <w:tblCellMar>
            <w:top w:w="0" w:type="dxa"/>
            <w:left w:w="0" w:type="dxa"/>
            <w:bottom w:w="0" w:type="dxa"/>
            <w:right w:w="0" w:type="dxa"/>
          </w:tblCellMar>
        </w:tblPrEx>
        <w:trPr>
          <w:gridBefore w:val="1"/>
          <w:gridAfter w:val="1"/>
          <w:wBefore w:w="3" w:type="dxa"/>
          <w:wAfter w:w="7" w:type="dxa"/>
          <w:trHeight w:val="785" w:hRule="atLeast"/>
        </w:trPr>
        <w:tc>
          <w:tcPr>
            <w:tcW w:w="807"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lang w:val="en-US" w:eastAsia="zh-CN"/>
              </w:rPr>
              <w:t>说明</w:t>
            </w:r>
          </w:p>
        </w:tc>
        <w:tc>
          <w:tcPr>
            <w:tcW w:w="8735" w:type="dxa"/>
            <w:gridSpan w:val="10"/>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kern w:val="0"/>
                <w:sz w:val="18"/>
                <w:szCs w:val="18"/>
              </w:rPr>
            </w:pPr>
          </w:p>
        </w:tc>
      </w:tr>
    </w:tbl>
    <w:p>
      <w:pPr>
        <w:pStyle w:val="10"/>
        <w:keepNext w:val="0"/>
        <w:keepLines w:val="0"/>
        <w:pageBreakBefore w:val="0"/>
        <w:widowControl w:val="0"/>
        <w:tabs>
          <w:tab w:val="center" w:pos="4153"/>
          <w:tab w:val="left" w:pos="7275"/>
        </w:tabs>
        <w:kinsoku/>
        <w:wordWrap/>
        <w:overflowPunct/>
        <w:topLinePunct w:val="0"/>
        <w:autoSpaceDE/>
        <w:autoSpaceDN/>
        <w:bidi w:val="0"/>
        <w:adjustRightInd/>
        <w:snapToGrid w:val="0"/>
        <w:spacing w:line="600" w:lineRule="exact"/>
        <w:ind w:left="0" w:leftChars="0" w:firstLine="0" w:firstLineChars="0"/>
        <w:textAlignment w:val="auto"/>
        <w:rPr>
          <w:rFonts w:hint="default" w:ascii="Times New Roman" w:hAnsi="Times New Roman" w:eastAsia="方正仿宋_GBK" w:cs="Times New Roman"/>
          <w:color w:val="auto"/>
          <w:kern w:val="0"/>
          <w:sz w:val="32"/>
          <w:szCs w:val="32"/>
          <w:lang w:eastAsia="zh-CN"/>
        </w:rPr>
      </w:pPr>
    </w:p>
    <w:p>
      <w:pPr>
        <w:pStyle w:val="10"/>
        <w:keepNext w:val="0"/>
        <w:keepLines w:val="0"/>
        <w:pageBreakBefore w:val="0"/>
        <w:widowControl w:val="0"/>
        <w:tabs>
          <w:tab w:val="center" w:pos="4153"/>
          <w:tab w:val="left" w:pos="7275"/>
        </w:tabs>
        <w:kinsoku/>
        <w:wordWrap/>
        <w:overflowPunct/>
        <w:topLinePunct w:val="0"/>
        <w:autoSpaceDE/>
        <w:autoSpaceDN/>
        <w:bidi w:val="0"/>
        <w:adjustRightInd/>
        <w:snapToGrid w:val="0"/>
        <w:spacing w:line="600" w:lineRule="exact"/>
        <w:ind w:left="0" w:leftChars="0" w:firstLine="640" w:firstLineChars="200"/>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六、专业名词解释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楷体_GBK" w:cs="方正楷体_GBK"/>
          <w:color w:val="auto"/>
          <w:kern w:val="0"/>
          <w:sz w:val="32"/>
          <w:szCs w:val="32"/>
          <w:lang w:val="en-US" w:eastAsia="zh-CN" w:bidi="ar-SA"/>
        </w:rPr>
        <w:t>（一）财政拨款收入：</w:t>
      </w:r>
      <w:r>
        <w:rPr>
          <w:rFonts w:hint="default" w:ascii="Times New Roman" w:hAnsi="Times New Roman" w:eastAsia="方正仿宋_GBK" w:cs="Times New Roman"/>
          <w:color w:val="auto"/>
          <w:kern w:val="0"/>
          <w:sz w:val="32"/>
          <w:szCs w:val="32"/>
          <w:lang w:val="en-US" w:eastAsia="zh-CN" w:bidi="ar-SA"/>
        </w:rPr>
        <w:t>指本年度从本级财政部门取得的财政拨款，包括一般公共预算财政拨款和政府性基金预算财政拨款。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（二）事业收入：</w:t>
      </w:r>
      <w:r>
        <w:rPr>
          <w:rFonts w:hint="default" w:ascii="Times New Roman" w:hAnsi="Times New Roman" w:eastAsia="方正仿宋_GBK" w:cs="Times New Roman"/>
          <w:color w:val="auto"/>
          <w:kern w:val="0"/>
          <w:sz w:val="32"/>
          <w:szCs w:val="32"/>
          <w:lang w:val="en-US" w:eastAsia="zh-CN" w:bidi="ar-SA"/>
        </w:rPr>
        <w:t>指事业单位开展专业业务活动及其辅助活动取得的现金流入；事业单位收到的财政专户实际核拨的教育收费等资金在此反映。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（三）经营收入：</w:t>
      </w:r>
      <w:r>
        <w:rPr>
          <w:rFonts w:hint="default" w:ascii="Times New Roman" w:hAnsi="Times New Roman" w:eastAsia="方正仿宋_GBK" w:cs="Times New Roman"/>
          <w:color w:val="auto"/>
          <w:kern w:val="0"/>
          <w:sz w:val="32"/>
          <w:szCs w:val="32"/>
          <w:lang w:val="en-US" w:eastAsia="zh-CN" w:bidi="ar-SA"/>
        </w:rPr>
        <w:t>指事业单位在专业业务活动及其辅助活动之外开展非独立核算经营活动取得的现金流入。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（四）其他收入：</w:t>
      </w:r>
      <w:r>
        <w:rPr>
          <w:rFonts w:hint="default" w:ascii="Times New Roman" w:hAnsi="Times New Roman" w:eastAsia="方正仿宋_GBK" w:cs="Times New Roman"/>
          <w:color w:val="auto"/>
          <w:kern w:val="0"/>
          <w:sz w:val="32"/>
          <w:szCs w:val="32"/>
          <w:lang w:val="en-US" w:eastAsia="zh-CN" w:bidi="ar-SA"/>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（五）使用非财政拨款结余：</w:t>
      </w:r>
      <w:r>
        <w:rPr>
          <w:rFonts w:hint="default" w:ascii="Times New Roman" w:hAnsi="Times New Roman" w:eastAsia="方正仿宋_GBK" w:cs="Times New Roman"/>
          <w:color w:val="auto"/>
          <w:kern w:val="0"/>
          <w:sz w:val="32"/>
          <w:szCs w:val="32"/>
          <w:lang w:val="en-US" w:eastAsia="zh-CN" w:bidi="ar-SA"/>
        </w:rPr>
        <w:t>指单位在当年的“财政拨款收入”、“事业收入”、“经营收入”、“其他收入”等不足以安排当年支出的情况下，使用以前年度积累的非财政拨款结余弥补本年度收支缺口的资金。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（六）年初结转和结余：</w:t>
      </w:r>
      <w:r>
        <w:rPr>
          <w:rFonts w:hint="default" w:ascii="Times New Roman" w:hAnsi="Times New Roman" w:eastAsia="方正仿宋_GBK" w:cs="Times New Roman"/>
          <w:color w:val="auto"/>
          <w:kern w:val="0"/>
          <w:sz w:val="32"/>
          <w:szCs w:val="32"/>
          <w:lang w:val="en-US" w:eastAsia="zh-CN" w:bidi="ar-SA"/>
        </w:rPr>
        <w:t>指单位上年结转本年使用的基本支出结转、项目支出结转和结余、经营结余。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（七）结余分配：</w:t>
      </w:r>
      <w:r>
        <w:rPr>
          <w:rFonts w:hint="default" w:ascii="Times New Roman" w:hAnsi="Times New Roman" w:eastAsia="方正仿宋_GBK" w:cs="Times New Roman"/>
          <w:color w:val="auto"/>
          <w:kern w:val="0"/>
          <w:sz w:val="32"/>
          <w:szCs w:val="32"/>
          <w:lang w:val="en-US" w:eastAsia="zh-CN" w:bidi="ar-SA"/>
        </w:rPr>
        <w:t>指单位按照国家有关规定，缴纳所得税、提取专用基金、转入非财政拨款结余等当年结余的分配情况。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（八）年末结转和结余：</w:t>
      </w:r>
      <w:r>
        <w:rPr>
          <w:rFonts w:hint="default" w:ascii="Times New Roman" w:hAnsi="Times New Roman" w:eastAsia="方正仿宋_GBK" w:cs="Times New Roman"/>
          <w:color w:val="auto"/>
          <w:kern w:val="0"/>
          <w:sz w:val="32"/>
          <w:szCs w:val="32"/>
          <w:lang w:val="en-US" w:eastAsia="zh-CN" w:bidi="ar-SA"/>
        </w:rPr>
        <w:t>指单位结转下年的基本支出结转、项目支出结转和结余、经营结余。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（九）基本支出：</w:t>
      </w:r>
      <w:r>
        <w:rPr>
          <w:rFonts w:hint="default" w:ascii="Times New Roman" w:hAnsi="Times New Roman" w:eastAsia="方正仿宋_GBK" w:cs="Times New Roman"/>
          <w:color w:val="auto"/>
          <w:kern w:val="0"/>
          <w:sz w:val="32"/>
          <w:szCs w:val="32"/>
          <w:lang w:val="en-US" w:eastAsia="zh-CN" w:bidi="ar-SA"/>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（十）项目支出：</w:t>
      </w:r>
      <w:r>
        <w:rPr>
          <w:rFonts w:hint="default" w:ascii="Times New Roman" w:hAnsi="Times New Roman" w:eastAsia="方正仿宋_GBK" w:cs="Times New Roman"/>
          <w:color w:val="auto"/>
          <w:kern w:val="0"/>
          <w:sz w:val="32"/>
          <w:szCs w:val="32"/>
          <w:lang w:val="en-US" w:eastAsia="zh-CN" w:bidi="ar-SA"/>
        </w:rPr>
        <w:t>指在基本支出之外为完成特定行政任务和事业发展目标所发生的支出。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（十一）经营支出</w:t>
      </w:r>
      <w:r>
        <w:rPr>
          <w:rFonts w:hint="default" w:ascii="Times New Roman" w:hAnsi="Times New Roman" w:eastAsia="方正仿宋_GBK" w:cs="Times New Roman"/>
          <w:color w:val="auto"/>
          <w:kern w:val="0"/>
          <w:sz w:val="32"/>
          <w:szCs w:val="32"/>
          <w:lang w:val="en-US" w:eastAsia="zh-CN" w:bidi="ar-SA"/>
        </w:rPr>
        <w:t>：指事业单位在专业业务活动及其辅助活动之外开展非独立核算经营活动发生的支出。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（十二）“三公”经费：</w:t>
      </w:r>
      <w:r>
        <w:rPr>
          <w:rFonts w:hint="default" w:ascii="Times New Roman" w:hAnsi="Times New Roman" w:eastAsia="方正仿宋_GBK" w:cs="Times New Roman"/>
          <w:color w:val="auto"/>
          <w:kern w:val="0"/>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（十三）机关运行经费：</w:t>
      </w:r>
      <w:r>
        <w:rPr>
          <w:rFonts w:hint="default" w:ascii="Times New Roman" w:hAnsi="Times New Roman" w:eastAsia="方正仿宋_GBK" w:cs="Times New Roman"/>
          <w:color w:val="auto"/>
          <w:kern w:val="0"/>
          <w:sz w:val="32"/>
          <w:szCs w:val="32"/>
          <w:lang w:val="en-US" w:eastAsia="zh-CN" w:bidi="ar-SA"/>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（十四）工资福利支出（支出经济分类科目类级）：</w:t>
      </w:r>
      <w:r>
        <w:rPr>
          <w:rFonts w:hint="default" w:ascii="Times New Roman" w:hAnsi="Times New Roman" w:eastAsia="方正仿宋_GBK" w:cs="Times New Roman"/>
          <w:color w:val="auto"/>
          <w:kern w:val="0"/>
          <w:sz w:val="32"/>
          <w:szCs w:val="32"/>
          <w:lang w:val="en-US" w:eastAsia="zh-CN" w:bidi="ar-SA"/>
        </w:rPr>
        <w:t>反映单位开支的在职职工和编制外长期聘用人员的各类劳动报酬，以及为上述人员缴纳的各项社会保险费等。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方正楷体_GBK"/>
          <w:color w:val="auto"/>
          <w:kern w:val="0"/>
          <w:sz w:val="32"/>
          <w:szCs w:val="32"/>
          <w:lang w:val="en-US" w:eastAsia="zh-CN" w:bidi="ar-SA"/>
        </w:rPr>
        <w:t>（十五）商品和服务支出（支出经济分类科目类级）</w:t>
      </w:r>
      <w:r>
        <w:rPr>
          <w:rFonts w:hint="eastAsia" w:ascii="Times New Roman" w:hAnsi="Times New Roman" w:eastAsia="方正仿宋_GBK" w:cs="方正仿宋_GBK"/>
          <w:color w:val="auto"/>
          <w:kern w:val="0"/>
          <w:sz w:val="32"/>
          <w:szCs w:val="32"/>
          <w:lang w:val="en-US" w:eastAsia="zh-CN" w:bidi="ar-SA"/>
        </w:rPr>
        <w:t>：反映单位购买商品和服务的支出（不包括用于购置固定资产的支出、</w:t>
      </w:r>
      <w:r>
        <w:rPr>
          <w:rFonts w:hint="default" w:ascii="Times New Roman" w:hAnsi="Times New Roman" w:eastAsia="方正仿宋_GBK" w:cs="Times New Roman"/>
          <w:color w:val="auto"/>
          <w:kern w:val="0"/>
          <w:sz w:val="32"/>
          <w:szCs w:val="32"/>
          <w:lang w:val="en-US" w:eastAsia="zh-CN" w:bidi="ar-SA"/>
        </w:rPr>
        <w:t>战略性和应急储备支出）。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楷体_GBK" w:cs="方正楷体_GBK"/>
          <w:color w:val="auto"/>
          <w:kern w:val="0"/>
          <w:sz w:val="32"/>
          <w:szCs w:val="32"/>
          <w:lang w:val="en-US" w:eastAsia="zh-CN" w:bidi="ar-SA"/>
        </w:rPr>
        <w:t>（十六）对个人和家庭的补助（支出经济分类科目类级）：</w:t>
      </w:r>
      <w:r>
        <w:rPr>
          <w:rFonts w:hint="default" w:ascii="Times New Roman" w:hAnsi="Times New Roman" w:eastAsia="方正仿宋_GBK" w:cs="Times New Roman"/>
          <w:color w:val="auto"/>
          <w:kern w:val="0"/>
          <w:sz w:val="32"/>
          <w:szCs w:val="32"/>
          <w:lang w:val="en-US" w:eastAsia="zh-CN" w:bidi="ar-SA"/>
        </w:rPr>
        <w:t>反映用于对个人和家庭的补助支出。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504"/>
        <w:jc w:val="both"/>
        <w:textAlignment w:val="auto"/>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楷体_GBK" w:cs="方正楷体_GBK"/>
          <w:color w:val="auto"/>
          <w:kern w:val="0"/>
          <w:sz w:val="32"/>
          <w:szCs w:val="32"/>
          <w:lang w:val="en-US" w:eastAsia="zh-CN" w:bidi="ar-SA"/>
        </w:rPr>
        <w:t>（十七）其他资本性支出（支出经济分类科目类级）：</w:t>
      </w:r>
      <w:r>
        <w:rPr>
          <w:rFonts w:hint="default" w:ascii="Times New Roman" w:hAnsi="Times New Roman" w:eastAsia="方正仿宋_GBK" w:cs="Times New Roman"/>
          <w:color w:val="auto"/>
          <w:kern w:val="0"/>
          <w:sz w:val="32"/>
          <w:szCs w:val="32"/>
          <w:lang w:val="en-US" w:eastAsia="zh-CN" w:bidi="ar-SA"/>
        </w:rPr>
        <w:t>反映非各级发展与改革部门集中安排的用于购置固定资产、战略性和应急性储备、土地和无形资产，以及构建基础设施、大型修缮和财政支持企业更新改造所发生的支出。</w:t>
      </w:r>
    </w:p>
    <w:p>
      <w:pPr>
        <w:pStyle w:val="10"/>
        <w:keepNext w:val="0"/>
        <w:keepLines w:val="0"/>
        <w:pageBreakBefore w:val="0"/>
        <w:widowControl/>
        <w:tabs>
          <w:tab w:val="center" w:pos="4153"/>
          <w:tab w:val="left" w:pos="7275"/>
        </w:tabs>
        <w:kinsoku/>
        <w:wordWrap/>
        <w:overflowPunct/>
        <w:topLinePunct w:val="0"/>
        <w:autoSpaceDE/>
        <w:autoSpaceDN/>
        <w:bidi w:val="0"/>
        <w:adjustRightInd/>
        <w:snapToGrid w:val="0"/>
        <w:spacing w:line="600" w:lineRule="exact"/>
        <w:ind w:firstLine="640"/>
        <w:textAlignment w:val="auto"/>
        <w:outlineLvl w:val="0"/>
        <w:rPr>
          <w:rFonts w:hint="eastAsia" w:ascii="Times New Roman" w:hAnsi="Times New Roman" w:eastAsia="方正黑体_GBK" w:cs="方正黑体_GBK"/>
          <w:color w:val="auto"/>
          <w:kern w:val="0"/>
          <w:sz w:val="32"/>
          <w:szCs w:val="32"/>
          <w:lang w:val="en-US" w:eastAsia="zh-CN" w:bidi="ar-SA"/>
        </w:rPr>
      </w:pPr>
      <w:r>
        <w:rPr>
          <w:rFonts w:hint="eastAsia" w:ascii="Times New Roman" w:hAnsi="Times New Roman" w:eastAsia="方正黑体_GBK" w:cs="方正黑体_GBK"/>
          <w:color w:val="auto"/>
          <w:kern w:val="0"/>
          <w:sz w:val="32"/>
          <w:szCs w:val="32"/>
          <w:lang w:val="en-US" w:eastAsia="zh-CN" w:bidi="ar-SA"/>
        </w:rPr>
        <w:t>七、决算公开联系方式</w:t>
      </w:r>
    </w:p>
    <w:p>
      <w:pPr>
        <w:pStyle w:val="10"/>
        <w:keepNext w:val="0"/>
        <w:keepLines w:val="0"/>
        <w:pageBreakBefore w:val="0"/>
        <w:widowControl/>
        <w:tabs>
          <w:tab w:val="center" w:pos="4153"/>
          <w:tab w:val="left" w:pos="7275"/>
        </w:tabs>
        <w:kinsoku/>
        <w:wordWrap/>
        <w:overflowPunct/>
        <w:topLinePunct w:val="0"/>
        <w:autoSpaceDE/>
        <w:autoSpaceDN/>
        <w:bidi w:val="0"/>
        <w:adjustRightInd/>
        <w:snapToGrid w:val="0"/>
        <w:spacing w:line="600" w:lineRule="exact"/>
        <w:ind w:firstLine="640"/>
        <w:textAlignment w:val="auto"/>
        <w:rPr>
          <w:rFonts w:hint="default" w:ascii="Times New Roman" w:hAnsi="Times New Roman"/>
          <w:lang w:val="en-US"/>
        </w:rPr>
        <w:sectPr>
          <w:footerReference r:id="rId5" w:type="default"/>
          <w:footerReference r:id="rId6" w:type="even"/>
          <w:pgSz w:w="11906" w:h="16838"/>
          <w:pgMar w:top="1440" w:right="1587" w:bottom="1440" w:left="1587" w:header="851" w:footer="1474" w:gutter="0"/>
          <w:pgNumType w:fmt="numberInDash"/>
          <w:cols w:space="720" w:num="1"/>
          <w:docGrid w:type="lines" w:linePitch="312" w:charSpace="0"/>
        </w:sectPr>
      </w:pPr>
      <w:r>
        <w:rPr>
          <w:rFonts w:hint="eastAsia" w:ascii="Times New Roman" w:hAnsi="Times New Roman" w:eastAsia="方正仿宋_GBK" w:cs="Times New Roman"/>
          <w:color w:val="auto"/>
          <w:kern w:val="0"/>
          <w:sz w:val="32"/>
          <w:szCs w:val="32"/>
          <w:lang w:val="en-US" w:eastAsia="zh-CN" w:bidi="ar-SA"/>
        </w:rPr>
        <w:t>本单位决算公开信息反馈和联系方式：023-5847</w:t>
      </w:r>
      <w:r>
        <w:rPr>
          <w:rFonts w:hint="eastAsia" w:ascii="Times New Roman" w:hAnsi="Times New Roman" w:cs="Times New Roman"/>
          <w:color w:val="auto"/>
          <w:kern w:val="0"/>
          <w:sz w:val="32"/>
          <w:szCs w:val="32"/>
          <w:lang w:val="en-US" w:eastAsia="zh-CN" w:bidi="ar-SA"/>
        </w:rPr>
        <w:t>6860</w:t>
      </w:r>
    </w:p>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kern w:val="0"/>
          <w:sz w:val="32"/>
          <w:szCs w:val="32"/>
          <w:lang w:val="en-US" w:eastAsia="zh-CN"/>
        </w:rPr>
      </w:pPr>
    </w:p>
    <w:sectPr>
      <w:footerReference r:id="rId7" w:type="default"/>
      <w:pgSz w:w="11906" w:h="16838"/>
      <w:pgMar w:top="2098" w:right="1531" w:bottom="1985" w:left="1531" w:header="851" w:footer="1474"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Helvetica">
    <w:altName w:val="汉仪君黑-35简"/>
    <w:panose1 w:val="020B0604020202020204"/>
    <w:charset w:val="00"/>
    <w:family w:val="swiss"/>
    <w:pitch w:val="default"/>
    <w:sig w:usb0="00000000" w:usb1="00000000" w:usb2="00000009" w:usb3="00000000" w:csb0="000001FF"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r>
      <w:rPr>
        <w:rFonts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A84FE"/>
    <w:multiLevelType w:val="singleLevel"/>
    <w:tmpl w:val="ABBA84FE"/>
    <w:lvl w:ilvl="0" w:tentative="0">
      <w:start w:val="1"/>
      <w:numFmt w:val="decimal"/>
      <w:suff w:val="space"/>
      <w:lvlText w:val="%1."/>
      <w:lvlJc w:val="left"/>
    </w:lvl>
  </w:abstractNum>
  <w:abstractNum w:abstractNumId="1">
    <w:nsid w:val="BA0381D0"/>
    <w:multiLevelType w:val="singleLevel"/>
    <w:tmpl w:val="BA0381D0"/>
    <w:lvl w:ilvl="0" w:tentative="0">
      <w:start w:val="1"/>
      <w:numFmt w:val="chineseCounting"/>
      <w:suff w:val="nothing"/>
      <w:lvlText w:val="（%1）"/>
      <w:lvlJc w:val="left"/>
      <w:rPr>
        <w:rFonts w:hint="eastAsia"/>
      </w:rPr>
    </w:lvl>
  </w:abstractNum>
  <w:abstractNum w:abstractNumId="2">
    <w:nsid w:val="18FAB645"/>
    <w:multiLevelType w:val="singleLevel"/>
    <w:tmpl w:val="18FAB645"/>
    <w:lvl w:ilvl="0" w:tentative="0">
      <w:start w:val="7"/>
      <w:numFmt w:val="chineseCounting"/>
      <w:suff w:val="nothing"/>
      <w:lvlText w:val="（%1）"/>
      <w:lvlJc w:val="left"/>
      <w:rPr>
        <w:rFonts w:hint="eastAsia"/>
      </w:rPr>
    </w:lvl>
  </w:abstractNum>
  <w:abstractNum w:abstractNumId="3">
    <w:nsid w:val="30017EB2"/>
    <w:multiLevelType w:val="singleLevel"/>
    <w:tmpl w:val="30017EB2"/>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C582A"/>
    <w:rsid w:val="000A3F78"/>
    <w:rsid w:val="01806D81"/>
    <w:rsid w:val="01A655EC"/>
    <w:rsid w:val="01F46175"/>
    <w:rsid w:val="02356CFC"/>
    <w:rsid w:val="026D3363"/>
    <w:rsid w:val="03483378"/>
    <w:rsid w:val="049539B7"/>
    <w:rsid w:val="04F6693D"/>
    <w:rsid w:val="05826A24"/>
    <w:rsid w:val="06EB5AFF"/>
    <w:rsid w:val="07D84D68"/>
    <w:rsid w:val="08A555D9"/>
    <w:rsid w:val="095D70C8"/>
    <w:rsid w:val="099059BB"/>
    <w:rsid w:val="09A447EA"/>
    <w:rsid w:val="0A387B45"/>
    <w:rsid w:val="0A90650D"/>
    <w:rsid w:val="0B881444"/>
    <w:rsid w:val="0C3E06B9"/>
    <w:rsid w:val="0CE10BDD"/>
    <w:rsid w:val="0D7A2D6A"/>
    <w:rsid w:val="0D874F2A"/>
    <w:rsid w:val="0E2B1F35"/>
    <w:rsid w:val="0E462F36"/>
    <w:rsid w:val="0E7E6AD3"/>
    <w:rsid w:val="0E7F1753"/>
    <w:rsid w:val="0ECB27CC"/>
    <w:rsid w:val="108801DA"/>
    <w:rsid w:val="113D2521"/>
    <w:rsid w:val="117C0B73"/>
    <w:rsid w:val="122C582A"/>
    <w:rsid w:val="126E157F"/>
    <w:rsid w:val="13A63113"/>
    <w:rsid w:val="13FF07E4"/>
    <w:rsid w:val="153D3761"/>
    <w:rsid w:val="15FC0B40"/>
    <w:rsid w:val="163F66AE"/>
    <w:rsid w:val="16756CD4"/>
    <w:rsid w:val="168926D3"/>
    <w:rsid w:val="17014E5E"/>
    <w:rsid w:val="182606D3"/>
    <w:rsid w:val="187D0881"/>
    <w:rsid w:val="190B0C80"/>
    <w:rsid w:val="1CBF17AC"/>
    <w:rsid w:val="1F2E4612"/>
    <w:rsid w:val="1F511E69"/>
    <w:rsid w:val="205F5682"/>
    <w:rsid w:val="21977233"/>
    <w:rsid w:val="21FC33BB"/>
    <w:rsid w:val="238149E5"/>
    <w:rsid w:val="242A4036"/>
    <w:rsid w:val="24925351"/>
    <w:rsid w:val="24B40F4D"/>
    <w:rsid w:val="254536AD"/>
    <w:rsid w:val="263063A6"/>
    <w:rsid w:val="26551CA9"/>
    <w:rsid w:val="271F2055"/>
    <w:rsid w:val="278A035A"/>
    <w:rsid w:val="27C71639"/>
    <w:rsid w:val="28041890"/>
    <w:rsid w:val="281833E1"/>
    <w:rsid w:val="28DF1690"/>
    <w:rsid w:val="296271BB"/>
    <w:rsid w:val="2A0A6FAA"/>
    <w:rsid w:val="2BBF06FD"/>
    <w:rsid w:val="2BC937CF"/>
    <w:rsid w:val="2C270A39"/>
    <w:rsid w:val="2C7129FC"/>
    <w:rsid w:val="2CB94EB2"/>
    <w:rsid w:val="2D2E2D7E"/>
    <w:rsid w:val="30BF5494"/>
    <w:rsid w:val="31C57554"/>
    <w:rsid w:val="33391C8E"/>
    <w:rsid w:val="345A76DF"/>
    <w:rsid w:val="352F4AAB"/>
    <w:rsid w:val="356D2148"/>
    <w:rsid w:val="364E327C"/>
    <w:rsid w:val="36776800"/>
    <w:rsid w:val="378F009A"/>
    <w:rsid w:val="38920D23"/>
    <w:rsid w:val="3985333E"/>
    <w:rsid w:val="39D6258F"/>
    <w:rsid w:val="3A691188"/>
    <w:rsid w:val="3A7E4AE2"/>
    <w:rsid w:val="3AAE5809"/>
    <w:rsid w:val="3ADC7039"/>
    <w:rsid w:val="3B1A6EB9"/>
    <w:rsid w:val="3B670912"/>
    <w:rsid w:val="3BC95D06"/>
    <w:rsid w:val="3BE56E26"/>
    <w:rsid w:val="3C66310B"/>
    <w:rsid w:val="3C783E72"/>
    <w:rsid w:val="3D1D7069"/>
    <w:rsid w:val="3D87699E"/>
    <w:rsid w:val="3E675817"/>
    <w:rsid w:val="3EA326DE"/>
    <w:rsid w:val="3EF6139C"/>
    <w:rsid w:val="411314FB"/>
    <w:rsid w:val="41C856DD"/>
    <w:rsid w:val="430054D8"/>
    <w:rsid w:val="435C3E32"/>
    <w:rsid w:val="43842EE6"/>
    <w:rsid w:val="43892913"/>
    <w:rsid w:val="44BA1F1D"/>
    <w:rsid w:val="455326A3"/>
    <w:rsid w:val="46596C11"/>
    <w:rsid w:val="46D6525F"/>
    <w:rsid w:val="476B3399"/>
    <w:rsid w:val="47C06BB9"/>
    <w:rsid w:val="47CE5B03"/>
    <w:rsid w:val="48406B08"/>
    <w:rsid w:val="48861842"/>
    <w:rsid w:val="491D1086"/>
    <w:rsid w:val="496E3698"/>
    <w:rsid w:val="496F10DE"/>
    <w:rsid w:val="4AC8460B"/>
    <w:rsid w:val="4B494590"/>
    <w:rsid w:val="4B6B1E3D"/>
    <w:rsid w:val="4CD07BC6"/>
    <w:rsid w:val="4D4F49FC"/>
    <w:rsid w:val="4E195C47"/>
    <w:rsid w:val="506F3616"/>
    <w:rsid w:val="52421C31"/>
    <w:rsid w:val="52433799"/>
    <w:rsid w:val="52861CA6"/>
    <w:rsid w:val="52A427B6"/>
    <w:rsid w:val="52A46993"/>
    <w:rsid w:val="52B9510C"/>
    <w:rsid w:val="52F25B90"/>
    <w:rsid w:val="53670BC4"/>
    <w:rsid w:val="53D447AB"/>
    <w:rsid w:val="540D7BCE"/>
    <w:rsid w:val="56172954"/>
    <w:rsid w:val="56D9076F"/>
    <w:rsid w:val="57131783"/>
    <w:rsid w:val="58450EAE"/>
    <w:rsid w:val="58563A03"/>
    <w:rsid w:val="58981CB2"/>
    <w:rsid w:val="595128EA"/>
    <w:rsid w:val="59D94699"/>
    <w:rsid w:val="5A5E128E"/>
    <w:rsid w:val="5B992DA7"/>
    <w:rsid w:val="5C2C50A0"/>
    <w:rsid w:val="5CBD02B1"/>
    <w:rsid w:val="5CFC5461"/>
    <w:rsid w:val="5D497FBE"/>
    <w:rsid w:val="5D8E0E1D"/>
    <w:rsid w:val="5D9C59A0"/>
    <w:rsid w:val="60333493"/>
    <w:rsid w:val="604D2A30"/>
    <w:rsid w:val="60DC245A"/>
    <w:rsid w:val="610F2FF6"/>
    <w:rsid w:val="61935AF5"/>
    <w:rsid w:val="628D5173"/>
    <w:rsid w:val="62F74F9E"/>
    <w:rsid w:val="634203B0"/>
    <w:rsid w:val="634C6ABE"/>
    <w:rsid w:val="636F5754"/>
    <w:rsid w:val="63744B02"/>
    <w:rsid w:val="63825866"/>
    <w:rsid w:val="64492EB3"/>
    <w:rsid w:val="64794AE6"/>
    <w:rsid w:val="64C2339D"/>
    <w:rsid w:val="657633A5"/>
    <w:rsid w:val="66DA3C2B"/>
    <w:rsid w:val="67163CB8"/>
    <w:rsid w:val="688A6957"/>
    <w:rsid w:val="68A206D6"/>
    <w:rsid w:val="68EE6070"/>
    <w:rsid w:val="691A1FA9"/>
    <w:rsid w:val="69247AB6"/>
    <w:rsid w:val="69770AC9"/>
    <w:rsid w:val="69DA3F19"/>
    <w:rsid w:val="6AED29DF"/>
    <w:rsid w:val="6B3A39D4"/>
    <w:rsid w:val="6B461885"/>
    <w:rsid w:val="6B865E2E"/>
    <w:rsid w:val="6BAD4CEC"/>
    <w:rsid w:val="6C52611E"/>
    <w:rsid w:val="6DDA6878"/>
    <w:rsid w:val="6E6B0B15"/>
    <w:rsid w:val="6EC259AA"/>
    <w:rsid w:val="70085DA4"/>
    <w:rsid w:val="70760E92"/>
    <w:rsid w:val="71004A80"/>
    <w:rsid w:val="72065C93"/>
    <w:rsid w:val="722931F6"/>
    <w:rsid w:val="755E52AA"/>
    <w:rsid w:val="75772B29"/>
    <w:rsid w:val="75901344"/>
    <w:rsid w:val="75BC7B77"/>
    <w:rsid w:val="771D5F27"/>
    <w:rsid w:val="776611C7"/>
    <w:rsid w:val="776A0DAA"/>
    <w:rsid w:val="778C0EA9"/>
    <w:rsid w:val="78D07DE0"/>
    <w:rsid w:val="791A0FC5"/>
    <w:rsid w:val="79CE244C"/>
    <w:rsid w:val="79DF2FD0"/>
    <w:rsid w:val="7B341E31"/>
    <w:rsid w:val="7B4E5914"/>
    <w:rsid w:val="7B83471E"/>
    <w:rsid w:val="7C967920"/>
    <w:rsid w:val="7D8064B5"/>
    <w:rsid w:val="7E894654"/>
    <w:rsid w:val="7E8B038D"/>
    <w:rsid w:val="7FC85298"/>
    <w:rsid w:val="CAFB09E8"/>
    <w:rsid w:val="FFB6E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ascii="Times New Roman" w:hAnsi="Times New Roman" w:eastAsia="方正仿宋_GBK" w:cs="Times New Roman"/>
      <w:kern w:val="2"/>
      <w:sz w:val="3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ascii="Times New Roman" w:hAnsi="Times New Roman" w:cs="Times New Roma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qFormat/>
    <w:uiPriority w:val="22"/>
    <w:rPr>
      <w:b/>
      <w:bCs/>
    </w:rPr>
  </w:style>
  <w:style w:type="paragraph" w:styleId="10">
    <w:name w:val="List Paragraph"/>
    <w:basedOn w:val="1"/>
    <w:qFormat/>
    <w:uiPriority w:val="34"/>
    <w:pPr>
      <w:ind w:firstLine="420" w:firstLineChars="200"/>
    </w:pPr>
  </w:style>
  <w:style w:type="character" w:customStyle="1" w:styleId="11">
    <w:name w:val="font4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FF0000"/>
      <w:sz w:val="20"/>
      <w:szCs w:val="20"/>
      <w:u w:val="none"/>
    </w:rPr>
  </w:style>
  <w:style w:type="character" w:customStyle="1" w:styleId="13">
    <w:name w:val="font21"/>
    <w:basedOn w:val="8"/>
    <w:qFormat/>
    <w:uiPriority w:val="0"/>
    <w:rPr>
      <w:rFonts w:hint="default" w:ascii="Times New Roman" w:hAnsi="Times New Roman" w:cs="Times New Roman"/>
      <w:color w:val="000000"/>
      <w:sz w:val="18"/>
      <w:szCs w:val="18"/>
      <w:u w:val="none"/>
    </w:rPr>
  </w:style>
  <w:style w:type="character" w:customStyle="1" w:styleId="14">
    <w:name w:val="font11"/>
    <w:basedOn w:val="8"/>
    <w:qFormat/>
    <w:uiPriority w:val="0"/>
    <w:rPr>
      <w:rFonts w:hint="default" w:ascii="方正仿宋_GBK" w:hAnsi="方正仿宋_GBK" w:eastAsia="方正仿宋_GBK" w:cs="方正仿宋_GBK"/>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区财政局</Company>
  <Pages>1</Pages>
  <Words>0</Words>
  <Characters>0</Characters>
  <Lines>0</Lines>
  <Paragraphs>0</Paragraphs>
  <TotalTime>10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2021-08-26T23:53:00Z</dcterms:created>
  <dc:creator>acer</dc:creator>
  <cp:lastModifiedBy>user</cp:lastModifiedBy>
  <cp:lastPrinted>2021-10-12T16:09:37Z</cp:lastPrinted>
  <dcterms:modified xsi:type="dcterms:W3CDTF">2021-10-12T16:10:00Z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