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hAnsi="Times New Roman" w:eastAsia="方正大标宋简体"/>
          <w:w w:val="33"/>
          <w:sz w:val="150"/>
          <w:szCs w:val="150"/>
        </w:rPr>
      </w:pPr>
    </w:p>
    <w:p>
      <w:pPr>
        <w:pStyle w:val="7"/>
        <w:rPr>
          <w:rFonts w:hint="eastAsia"/>
        </w:rPr>
      </w:pPr>
    </w:p>
    <w:p>
      <w:pPr>
        <w:rPr>
          <w:rFonts w:hint="eastAsia" w:ascii="Times New Roman" w:hAnsi="Times New Roman" w:eastAsia="仿宋_GB2312"/>
          <w:sz w:val="64"/>
          <w:szCs w:val="64"/>
        </w:rPr>
      </w:pPr>
      <w:r>
        <w:rPr>
          <w:rFonts w:hint="eastAsia" w:ascii="Times New Roman" w:hAnsi="Times New Roman" w:eastAsia="方正大标宋简体"/>
          <w:w w:val="33"/>
          <w:sz w:val="150"/>
          <w:szCs w:val="150"/>
        </w:rPr>
        <w:pict>
          <v:shape id="_x0000_i1025" o:spt="136" type="#_x0000_t136" style="height:54pt;width:441.2pt;" fillcolor="#FF0000" filled="t" stroked="t" coordsize="21600,21600">
            <v:path/>
            <v:fill on="t" focussize="0,0"/>
            <v:stroke weight="0pt" color="#FF0000"/>
            <v:imagedata o:title=""/>
            <o:lock v:ext="edit" grouping="f" rotation="f" text="f" aspectratio="f"/>
            <v:textpath on="t" fitshape="t" fitpath="t" trim="t" xscale="f" string="重庆市万州区铁峰乡人民政府文件" style="font-family:方正小标宋_GBK;font-size:36pt;v-text-align:center;"/>
            <w10:wrap type="none"/>
            <w10:anchorlock/>
          </v:shape>
        </w:pict>
      </w:r>
    </w:p>
    <w:p>
      <w:pPr>
        <w:spacing w:line="520" w:lineRule="exact"/>
        <w:rPr>
          <w:rFonts w:hint="eastAsia" w:ascii="Times New Roman" w:hAnsi="Times New Roman"/>
          <w:szCs w:val="32"/>
        </w:rPr>
      </w:pPr>
    </w:p>
    <w:p>
      <w:pPr>
        <w:spacing w:line="520" w:lineRule="exact"/>
        <w:rPr>
          <w:rFonts w:hint="eastAsia" w:ascii="Times New Roman" w:hAnsi="Times New Roman"/>
        </w:rPr>
      </w:pPr>
    </w:p>
    <w:p>
      <w:pPr>
        <w:spacing w:line="59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铁峰府发〔202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59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spacing w:line="560" w:lineRule="exact"/>
        <w:rPr>
          <w:rFonts w:hint="eastAsia" w:ascii="Times New Roman" w:hAnsi="Times New Roman"/>
        </w:rPr>
      </w:pPr>
      <w:r>
        <w:rPr>
          <w:rFonts w:ascii="Times New Roman" w:hAnsi="Times New Roman" w:eastAsia="仿宋_GB231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007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5pt;height:0pt;width:441pt;z-index:251658240;mso-width-relative:page;mso-height-relative:page;" filled="f" stroked="t" coordsize="21600,21600" o:gfxdata="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OTa91zRAAAABgEAAA8AAAAAAAAAAQAgAAAAOAAAAGRycy9kb3ducmV2LnhtbFBL&#10;AQIUABQAAAAIAIdO4kAfYv975wEAAKcDAAAOAAAAAAAAAAEAIAAAADY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重庆市万州区铁峰乡人民政府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关于开展住房保障“回头看”工作的通知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各村（社区），各办、站、中心，各帮扶单位：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为巩固脱贫攻坚成果，确保人不住危房，危房不住人，根据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4月30日区级“两不愁三保障”巩固情况“回头看”工作布置会住房保障工作的要求，现将有关事宜通知如下：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一是落实脱贫人口的住房安全动态管理。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二是通过危房改造等多种方式保障农村低收入人口的住房安全。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三是落实建新折旧政策。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四是结合人居环境整治改善居住条件，解决住房安全保障，确保人不住危房，危房不住人。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村（社区）要结合房屋隐患排查工作，全面梳理3类重点对象、边缘户和一般农户住房基本情况，建立动态管理台账，定期进行核查并更新。一是落实经农村住房安全鉴定技术培训合格的人员定期对新增3类重点对象房屋进行安全鉴定；二是对于属于危房，但通过投亲靠友等其他方式解决住房保障的，但原危房未拆除的，每月至少核实一次住房安全情况，防止农户返回危房居住，确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“人不住危房、危房不住人”；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三是在暴雨、洪涝等极端天气后，要组织人员对土木结构、空心砖砌体等容易出现险情的住房开展排查，对因灾受损的房屋及时鉴定并提出解决方案；四是对于属于危房并居住在内的一般农户，核查是否符合三类对象条件，若符合，纳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3类对象后申请危房改造实施改造，若不符合，落实人员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加强政策宣传，动员自行改造或通过投亲靠友、租房等方式保障住房安全，原则上每季度不得少于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1次，并完善档案资料；五是加大建新折旧政策宣传，动员农户自行拆除闲置旧（危）房屋，定期对旧（危）房屋进行巡查，尤其是存在安全隐患的房屋，防止农户返回居住。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一是提高政治站位。住房安全具有动态性，各单位要高度重视克服厌烦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情绪，确实将住房安全工作落到实处，确保危房不住人，人不住危房。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二是强化责任意识。各单位要理清问题清单，有针对性的提出整改措施，限时整改销号。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三是严明工作纪律。各单位要实事求是排查梳理，对发现的问题不遮掩，不回避，做到底数清，情况明，严禁弄虚作假、敷衍懈怠。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四是明确报送时间，5月7日上午10时前将《2021年农村低收入群体危房改造计划申报表》报乡村环中心冉巧林处，每季度最后1个月15日前报送附件4到冉巧林处。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附件：1.2021年农村低收入群体危房改造计划申报表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2.万州区铁峰乡3类重点对象和边缘户住房安全动态管理台账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3.万州区铁峰乡一般农户危房安全动态管理台账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4.铁峰乡2021年3类重点对象及边缘户新增危房第  季度整治台账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3840" w:firstLineChars="1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重庆市万州区铁峰乡人民政府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5120" w:firstLineChars="1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2021年5月6日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8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重庆市万州区铁峰乡党政办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发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984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471F8"/>
    <w:rsid w:val="31032BDE"/>
    <w:rsid w:val="4A1471F8"/>
    <w:rsid w:val="5507249A"/>
    <w:rsid w:val="626C3F59"/>
    <w:rsid w:val="785B1B80"/>
    <w:rsid w:val="BBD60E8E"/>
    <w:rsid w:val="C77733A5"/>
    <w:rsid w:val="FB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2021-05-07T08:27:00Z</dcterms:created>
  <dc:creator>小气鬼</dc:creator>
  <cp:lastModifiedBy>user</cp:lastModifiedBy>
  <dcterms:modified xsi:type="dcterms:W3CDTF">2021-11-23T11:16:18Z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