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方正小标宋_GBK" w:eastAsia="方正小标宋_GBK" w:cs="方正小标宋_GBK"/>
          <w:sz w:val="44"/>
          <w:szCs w:val="44"/>
        </w:rPr>
      </w:pPr>
    </w:p>
    <w:p>
      <w:pPr>
        <w:spacing w:line="600" w:lineRule="exact"/>
        <w:jc w:val="center"/>
        <w:rPr>
          <w:rFonts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重庆市万州区双河口街道办事处</w:t>
      </w:r>
    </w:p>
    <w:p>
      <w:pPr>
        <w:spacing w:line="600" w:lineRule="exact"/>
        <w:jc w:val="center"/>
      </w:pPr>
      <w:r>
        <w:rPr>
          <w:rFonts w:hint="eastAsia" w:ascii="方正小标宋_GBK" w:hAnsi="方正小标宋_GBK" w:eastAsia="方正小标宋_GBK" w:cs="方正小标宋_GBK"/>
          <w:sz w:val="44"/>
          <w:szCs w:val="44"/>
        </w:rPr>
        <w:t>关于2024年法治政府建设情况的报告</w:t>
      </w:r>
    </w:p>
    <w:bookmarkEnd w:id="0"/>
    <w:p>
      <w:pPr>
        <w:pStyle w:val="3"/>
        <w:spacing w:line="600" w:lineRule="exact"/>
        <w:rPr>
          <w:rFonts w:ascii="方正仿宋_GBK" w:hAnsi="方正仿宋_GBK" w:eastAsia="方正仿宋_GBK" w:cs="方正仿宋_GBK"/>
          <w:sz w:val="32"/>
          <w:szCs w:val="32"/>
        </w:rPr>
      </w:pPr>
    </w:p>
    <w:p>
      <w:pPr>
        <w:pStyle w:val="3"/>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现将</w:t>
      </w:r>
      <w:r>
        <w:rPr>
          <w:rFonts w:hint="eastAsia" w:ascii="Times New Roman" w:hAnsi="Times New Roman" w:eastAsia="方正仿宋_GBK" w:cs="Times New Roman"/>
          <w:sz w:val="32"/>
          <w:szCs w:val="32"/>
        </w:rPr>
        <w:t>双河口街道</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年法治政府建设情况报告如下：</w:t>
      </w:r>
    </w:p>
    <w:p>
      <w:pPr>
        <w:pStyle w:val="3"/>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ascii="Times New Roman" w:hAnsi="Times New Roman" w:eastAsia="方正黑体_GBK" w:cs="Times New Roman"/>
          <w:sz w:val="32"/>
          <w:szCs w:val="32"/>
        </w:rPr>
        <w:t>202</w:t>
      </w:r>
      <w:r>
        <w:rPr>
          <w:rFonts w:hint="eastAsia" w:ascii="Times New Roman" w:hAnsi="Times New Roman" w:eastAsia="方正黑体_GBK" w:cs="Times New Roman"/>
          <w:sz w:val="32"/>
          <w:szCs w:val="32"/>
        </w:rPr>
        <w:t>4</w:t>
      </w:r>
      <w:r>
        <w:rPr>
          <w:rFonts w:hint="eastAsia" w:ascii="方正黑体_GBK" w:hAnsi="方正黑体_GBK" w:eastAsia="方正黑体_GBK" w:cs="方正黑体_GBK"/>
          <w:sz w:val="32"/>
          <w:szCs w:val="32"/>
        </w:rPr>
        <w:t>年推进法治政府建设的主要举措和成效</w:t>
      </w:r>
    </w:p>
    <w:p>
      <w:pPr>
        <w:pStyle w:val="3"/>
        <w:spacing w:line="600" w:lineRule="exact"/>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 xml:space="preserve">    （一）政府职能依法全面履行</w:t>
      </w:r>
    </w:p>
    <w:p>
      <w:pPr>
        <w:spacing w:line="600" w:lineRule="exact"/>
      </w:pPr>
      <w:r>
        <w:rPr>
          <w:rFonts w:hint="eastAsia"/>
        </w:rPr>
        <w:t xml:space="preserve">    一是提高法治意识。全面贯彻习近平法治思想，落实“</w:t>
      </w:r>
      <w:r>
        <w:t>第一议题</w:t>
      </w:r>
      <w:r>
        <w:rPr>
          <w:rFonts w:hint="eastAsia"/>
        </w:rPr>
        <w:t>”制度，街道党工委理论学习中心组集中学习13次，开展党的</w:t>
      </w:r>
      <w:r>
        <w:t>二十届三中全会精神和习近平总书记视察重庆重要讲话重要指示精神</w:t>
      </w:r>
      <w:r>
        <w:rPr>
          <w:rFonts w:hint="eastAsia"/>
        </w:rPr>
        <w:t>学习宣讲21次。组建微宣讲队伍，吸纳社区干部、老党员等28人，</w:t>
      </w:r>
      <w:r>
        <w:t>开展“黄葛树之声”理论微宣讲</w:t>
      </w:r>
      <w:r>
        <w:rPr>
          <w:rFonts w:hint="eastAsia"/>
        </w:rPr>
        <w:t>6000余人次</w:t>
      </w:r>
      <w:r>
        <w:t>。</w:t>
      </w:r>
      <w:r>
        <w:rPr>
          <w:rFonts w:hint="eastAsia"/>
          <w:color w:val="000000"/>
          <w:kern w:val="0"/>
        </w:rPr>
        <w:t>二是理清职责边界</w:t>
      </w:r>
      <w:r>
        <w:rPr>
          <w:rFonts w:hint="eastAsia" w:ascii="宋体" w:hAnsi="宋体" w:eastAsia="宋体" w:cs="宋体"/>
          <w:color w:val="000000"/>
          <w:kern w:val="0"/>
        </w:rPr>
        <w:t>。</w:t>
      </w:r>
      <w:r>
        <w:rPr>
          <w:rFonts w:hint="eastAsia"/>
        </w:rPr>
        <w:t>开展乡镇（街道）履职事项清单工作全市试点，研究制定</w:t>
      </w:r>
      <w:r>
        <w:t>6</w:t>
      </w:r>
      <w:r>
        <w:rPr>
          <w:rFonts w:hint="eastAsia"/>
        </w:rPr>
        <w:t>个阶段</w:t>
      </w:r>
      <w:r>
        <w:t>17</w:t>
      </w:r>
      <w:r>
        <w:rPr>
          <w:rFonts w:hint="eastAsia"/>
        </w:rPr>
        <w:t>个重点任务</w:t>
      </w:r>
      <w:r>
        <w:t>18</w:t>
      </w:r>
      <w:r>
        <w:rPr>
          <w:rFonts w:hint="eastAsia"/>
        </w:rPr>
        <w:t>个时间节点的作战图，实行专班与全员相结合，条线与板块相配合、部门与街道相协作，共梳理大起</w:t>
      </w:r>
      <w:r>
        <w:t>底、1.0版、2.0版、3.0版履职事项清单分别25</w:t>
      </w:r>
      <w:r>
        <w:rPr>
          <w:rFonts w:hint="eastAsia"/>
        </w:rPr>
        <w:t>35</w:t>
      </w:r>
      <w:r>
        <w:t>条、</w:t>
      </w:r>
      <w:r>
        <w:rPr>
          <w:rFonts w:hint="eastAsia"/>
        </w:rPr>
        <w:t>2225</w:t>
      </w:r>
      <w:r>
        <w:t>条、</w:t>
      </w:r>
      <w:r>
        <w:rPr>
          <w:rFonts w:hint="eastAsia"/>
        </w:rPr>
        <w:t>1333</w:t>
      </w:r>
      <w:r>
        <w:t>条、</w:t>
      </w:r>
      <w:r>
        <w:rPr>
          <w:rFonts w:hint="eastAsia"/>
        </w:rPr>
        <w:t>335</w:t>
      </w:r>
      <w:r>
        <w:t>条，进一步明确了工作该干什么、怎样干的问题。三是构建便民利企政务环境。推广“15分钟医保服务圈”，落实医保业务社区”就近办“站点5处。建立完善服务群众机制，深化“红丝带”志愿服务品牌，探索“五联五共”“三邻三微”“五色微治理”等党建特色做法，推广“以德换得”积分激励机制，努力提升治理效能。落实“楼栋工作日”“院落主题日”“商铺工作日”机制，成立服务市场主体工作专班，开展“一企一专员、一企一服务”专项行动，区管干部每季度按时走访规上工业企业，完成“企业吹哨、部门报告”平台更新59次。</w:t>
      </w:r>
    </w:p>
    <w:p>
      <w:pPr>
        <w:pStyle w:val="3"/>
        <w:spacing w:line="600" w:lineRule="exact"/>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 xml:space="preserve">    （二）依法行政、依法决策制度体系健全</w:t>
      </w:r>
    </w:p>
    <w:p>
      <w:pPr>
        <w:spacing w:line="600" w:lineRule="exact"/>
        <w:ind w:firstLine="640" w:firstLineChars="200"/>
        <w:rPr>
          <w:kern w:val="0"/>
        </w:rPr>
      </w:pPr>
      <w:r>
        <w:rPr>
          <w:rFonts w:hint="eastAsia"/>
        </w:rPr>
        <w:t>一是</w:t>
      </w:r>
      <w:r>
        <w:t>严格依法依规履行责任</w:t>
      </w:r>
      <w:r>
        <w:rPr>
          <w:rFonts w:hint="eastAsia"/>
        </w:rPr>
        <w:t>。深化</w:t>
      </w:r>
      <w:r>
        <w:t>“141”体系</w:t>
      </w:r>
      <w:r>
        <w:rPr>
          <w:rFonts w:hint="eastAsia"/>
        </w:rPr>
        <w:t>实战实效</w:t>
      </w:r>
      <w:r>
        <w:t>，</w:t>
      </w:r>
      <w:r>
        <w:rPr>
          <w:rFonts w:hint="eastAsia"/>
        </w:rPr>
        <w:t>平稳推进机构改革，完成设岗定责定员，明确固定岗</w:t>
      </w:r>
      <w:r>
        <w:t>28</w:t>
      </w:r>
      <w:r>
        <w:rPr>
          <w:rFonts w:hint="eastAsia"/>
        </w:rPr>
        <w:t>个，设置物业管理特色岗</w:t>
      </w:r>
      <w:r>
        <w:t>1</w:t>
      </w:r>
      <w:r>
        <w:rPr>
          <w:rFonts w:hint="eastAsia"/>
        </w:rPr>
        <w:t>个，强化一中心四板块一网格上下畅通、协同联动。二是加快推进行政执法一体化。</w:t>
      </w:r>
      <w:r>
        <w:rPr>
          <w:rFonts w:hint="eastAsia" w:ascii="方正仿宋_GBK"/>
        </w:rPr>
        <w:t>深化</w:t>
      </w:r>
      <w:r>
        <w:t>“</w:t>
      </w:r>
      <w:r>
        <w:rPr>
          <w:rFonts w:hint="eastAsia" w:ascii="方正仿宋_GBK"/>
        </w:rPr>
        <w:t>一支队伍管执法</w:t>
      </w:r>
      <w:r>
        <w:t>”</w:t>
      </w:r>
      <w:r>
        <w:rPr>
          <w:rFonts w:hint="eastAsia" w:ascii="方正仿宋_GBK"/>
        </w:rPr>
        <w:t>，充实街道综合行政执法力量，常态化配备</w:t>
      </w:r>
      <w:r>
        <w:t>6</w:t>
      </w:r>
      <w:r>
        <w:rPr>
          <w:rFonts w:hint="eastAsia" w:ascii="方正仿宋_GBK"/>
        </w:rPr>
        <w:t>名执法人员，着力构建</w:t>
      </w:r>
      <w:r>
        <w:t>“</w:t>
      </w:r>
      <w:r>
        <w:rPr>
          <w:rFonts w:hint="eastAsia" w:ascii="方正仿宋_GBK"/>
        </w:rPr>
        <w:t>法定执法</w:t>
      </w:r>
      <w:r>
        <w:t>+</w:t>
      </w:r>
      <w:r>
        <w:rPr>
          <w:rFonts w:hint="eastAsia" w:ascii="方正仿宋_GBK"/>
        </w:rPr>
        <w:t>赋权执法</w:t>
      </w:r>
      <w:r>
        <w:t>+</w:t>
      </w:r>
      <w:r>
        <w:rPr>
          <w:rFonts w:hint="eastAsia" w:ascii="方正仿宋_GBK"/>
        </w:rPr>
        <w:t>派驻执法</w:t>
      </w:r>
      <w:r>
        <w:t>”</w:t>
      </w:r>
      <w:r>
        <w:rPr>
          <w:rFonts w:hint="eastAsia" w:ascii="方正仿宋_GBK"/>
        </w:rPr>
        <w:t>的综合行政执法模式。建立综合行政执法联席会议制度，统筹各执法主体，实行涉企检查</w:t>
      </w:r>
      <w:r>
        <w:rPr>
          <w:rFonts w:hint="eastAsia"/>
        </w:rPr>
        <w:t>“只进一次门，各查多项事”，减轻企业负担。三是落实依法决策制度。</w:t>
      </w:r>
      <w:r>
        <w:t>严格落实《重大行政决策程序暂行条例》，严格执行《双河口街道“三重一大”制度》，实行重大行政决策集体讨论制度和重大行政决策公开制度。</w:t>
      </w:r>
      <w:r>
        <w:rPr>
          <w:kern w:val="0"/>
        </w:rPr>
        <w:t>加强领导干部法治教育，严格落实领导干部和国家工作人员法治理论知识考试、旁听庭审等制度，提高领导干部依法行政决策能力。</w:t>
      </w:r>
    </w:p>
    <w:p>
      <w:pPr>
        <w:spacing w:line="600" w:lineRule="exact"/>
        <w:ind w:firstLine="640" w:firstLineChars="200"/>
      </w:pPr>
      <w:r>
        <w:rPr>
          <w:rFonts w:hint="eastAsia" w:ascii="方正楷体_GBK" w:eastAsia="方正楷体_GBK"/>
        </w:rPr>
        <w:t>（三）行政执法严格规范公正文明</w:t>
      </w:r>
    </w:p>
    <w:p>
      <w:pPr>
        <w:pStyle w:val="3"/>
        <w:spacing w:line="600" w:lineRule="exact"/>
        <w:rPr>
          <w:rFonts w:ascii="Times New Roman" w:hAnsi="Times New Roman" w:eastAsia="方正仿宋_GBK" w:cs="Times New Roman"/>
          <w:color w:val="auto"/>
          <w:kern w:val="2"/>
          <w:sz w:val="32"/>
          <w:szCs w:val="32"/>
        </w:rPr>
      </w:pPr>
      <w:r>
        <w:rPr>
          <w:rFonts w:hint="eastAsia" w:ascii="方正楷体_GBK" w:hAnsi="Times New Roman" w:eastAsia="方正楷体_GBK" w:cs="Times New Roman"/>
          <w:sz w:val="32"/>
          <w:szCs w:val="32"/>
        </w:rPr>
        <w:t xml:space="preserve">    </w:t>
      </w:r>
      <w:r>
        <w:rPr>
          <w:rFonts w:hint="eastAsia" w:ascii="Times New Roman" w:hAnsi="Times New Roman" w:eastAsia="方正仿宋_GBK" w:cs="Times New Roman"/>
          <w:color w:val="auto"/>
          <w:kern w:val="2"/>
          <w:sz w:val="32"/>
          <w:szCs w:val="32"/>
        </w:rPr>
        <w:t>一是加强学习培训。围绕“大综合一体化”改革等重点内容，组织街道执法人员开展综合行政执法培训8次。现有执法人员15人（其中部门下沉2人），已参加执法考试5人正在办证中。组织开展企业消防安全、特种作业等安全生产培训10场次1250余人。二是规范执法程序。</w:t>
      </w:r>
      <w:r>
        <w:rPr>
          <w:rFonts w:eastAsia="方正仿宋_GBK"/>
          <w:sz w:val="32"/>
          <w:szCs w:val="32"/>
        </w:rPr>
        <w:t>全面严格落实行政执法公示、执法全过程记录、重大执法决定法制审核制度。落实“日周月”执法检查要求，在重要时段、重要节点加密执法检查频次</w:t>
      </w:r>
      <w:r>
        <w:rPr>
          <w:rFonts w:hint="eastAsia" w:eastAsia="方正仿宋_GBK"/>
          <w:sz w:val="32"/>
          <w:szCs w:val="32"/>
        </w:rPr>
        <w:t>。</w:t>
      </w:r>
      <w:r>
        <w:rPr>
          <w:rFonts w:hint="eastAsia" w:ascii="Times New Roman" w:hAnsi="Times New Roman" w:eastAsia="方正仿宋_GBK" w:cs="Times New Roman"/>
          <w:color w:val="auto"/>
          <w:kern w:val="2"/>
          <w:sz w:val="32"/>
          <w:szCs w:val="32"/>
        </w:rPr>
        <w:t>三是开展文明执法。</w:t>
      </w:r>
      <w:r>
        <w:rPr>
          <w:rFonts w:ascii="方正仿宋_GBK" w:eastAsia="方正仿宋_GBK"/>
          <w:sz w:val="32"/>
          <w:szCs w:val="32"/>
        </w:rPr>
        <w:t>开展执法突出问题专项整治和监督行动，落实轻微违法行为免罚情形事项清单。</w:t>
      </w:r>
      <w:r>
        <w:rPr>
          <w:rFonts w:hint="eastAsia" w:ascii="Times New Roman" w:hAnsi="Times New Roman" w:eastAsia="方正仿宋_GBK" w:cs="Times New Roman"/>
          <w:sz w:val="32"/>
          <w:szCs w:val="32"/>
        </w:rPr>
        <w:t>全年</w:t>
      </w:r>
      <w:r>
        <w:rPr>
          <w:rFonts w:ascii="Times New Roman" w:hAnsi="Times New Roman" w:eastAsia="方正仿宋_GBK" w:cs="Times New Roman"/>
          <w:sz w:val="32"/>
          <w:szCs w:val="32"/>
        </w:rPr>
        <w:t>执法检查企业安全生产312次，检查企业150余家，发现并整改安全隐患293处，下达责令整改通知书87份，立案查处违法违规行为14起，罚款1.15万元。</w:t>
      </w:r>
      <w:r>
        <w:rPr>
          <w:rFonts w:hint="eastAsia" w:ascii="Times New Roman" w:hAnsi="Times New Roman" w:eastAsia="方正仿宋_GBK" w:cs="Times New Roman"/>
          <w:sz w:val="32"/>
          <w:szCs w:val="32"/>
        </w:rPr>
        <w:t>办理赋权执法案件共15起，其中普通程序1起，简易程序14起。开展“综合查一次”8次。</w:t>
      </w:r>
    </w:p>
    <w:p>
      <w:pPr>
        <w:pStyle w:val="3"/>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eastAsia" w:ascii="方正楷体_GBK" w:hAnsi="Times New Roman" w:eastAsia="方正楷体_GBK" w:cs="Times New Roman"/>
          <w:sz w:val="32"/>
          <w:szCs w:val="32"/>
        </w:rPr>
        <w:t xml:space="preserve"> （四）行政权力制约监督科学有效</w:t>
      </w:r>
    </w:p>
    <w:p>
      <w:pPr>
        <w:pStyle w:val="3"/>
        <w:spacing w:line="600" w:lineRule="exact"/>
        <w:rPr>
          <w:rFonts w:eastAsia="方正仿宋_GBK"/>
          <w:sz w:val="32"/>
          <w:szCs w:val="32"/>
        </w:rPr>
      </w:pPr>
      <w:r>
        <w:rPr>
          <w:rFonts w:hint="eastAsia" w:eastAsia="方正仿宋_GBK"/>
          <w:sz w:val="32"/>
          <w:szCs w:val="32"/>
        </w:rPr>
        <w:t xml:space="preserve">    一是主动接受监督。</w:t>
      </w:r>
      <w:r>
        <w:rPr>
          <w:rFonts w:eastAsia="方正仿宋_GBK"/>
          <w:sz w:val="32"/>
          <w:szCs w:val="32"/>
        </w:rPr>
        <w:t>严格落实重大事项请示报告制度，主动接受街</w:t>
      </w:r>
      <w:r>
        <w:rPr>
          <w:rFonts w:ascii="Times New Roman" w:hAnsi="Times New Roman" w:eastAsia="方正仿宋_GBK" w:cs="Times New Roman"/>
          <w:sz w:val="32"/>
          <w:szCs w:val="32"/>
        </w:rPr>
        <w:t>道人大工委、纪工委的法律监督、工作监督和社会各界民主监督。</w:t>
      </w:r>
      <w:r>
        <w:rPr>
          <w:rFonts w:hint="eastAsia" w:ascii="Times New Roman" w:hAnsi="Times New Roman" w:eastAsia="方正仿宋_GBK" w:cs="Times New Roman"/>
          <w:sz w:val="32"/>
          <w:szCs w:val="32"/>
        </w:rPr>
        <w:t>街道每年组织召开议事代表视察活动2次，监督检查重点企业、重大项目实施情况，</w:t>
      </w:r>
      <w:r>
        <w:rPr>
          <w:rFonts w:eastAsia="方正仿宋_GBK"/>
          <w:sz w:val="32"/>
          <w:szCs w:val="32"/>
        </w:rPr>
        <w:t>全年未发生行政复议和行政应诉。</w:t>
      </w:r>
      <w:r>
        <w:rPr>
          <w:rFonts w:hint="eastAsia" w:ascii="Times New Roman" w:hAnsi="Times New Roman" w:eastAsia="方正仿宋_GBK" w:cs="Times New Roman"/>
          <w:sz w:val="32"/>
          <w:szCs w:val="32"/>
        </w:rPr>
        <w:t>二是推进</w:t>
      </w:r>
      <w:r>
        <w:rPr>
          <w:rFonts w:eastAsia="方正仿宋_GBK"/>
          <w:sz w:val="32"/>
          <w:szCs w:val="32"/>
        </w:rPr>
        <w:t>政务诚信建设</w:t>
      </w:r>
      <w:r>
        <w:rPr>
          <w:rFonts w:hint="eastAsia" w:eastAsia="方正仿宋_GBK"/>
          <w:sz w:val="32"/>
          <w:szCs w:val="32"/>
        </w:rPr>
        <w:t>。</w:t>
      </w:r>
      <w:r>
        <w:rPr>
          <w:rFonts w:eastAsia="方正仿宋_GBK"/>
          <w:sz w:val="32"/>
          <w:szCs w:val="32"/>
        </w:rPr>
        <w:t>认真执行党务政务公开制度，及时将政府信息公开年报以及涉及群众切身利益的相关情况在政务公开</w:t>
      </w:r>
      <w:r>
        <w:rPr>
          <w:rFonts w:ascii="Times New Roman" w:hAnsi="Times New Roman" w:eastAsia="方正仿宋_GBK" w:cs="Times New Roman"/>
          <w:sz w:val="32"/>
          <w:szCs w:val="32"/>
        </w:rPr>
        <w:t>栏、政府信息平台公布。完善街道公共服务大厅政务公开专区，放置各项惠民宣传手册。设置街道信息公示栏，及时更新发布政府信息。督促指导各村居及时在“四务”公开栏中更新发布村居务信息。全年通过政府门户网站、公开公示栏等形式，主动及时公开政府信息</w:t>
      </w:r>
      <w:r>
        <w:rPr>
          <w:rFonts w:hint="eastAsia" w:ascii="Times New Roman" w:hAnsi="Times New Roman" w:eastAsia="方正仿宋_GBK" w:cs="Times New Roman"/>
          <w:sz w:val="32"/>
          <w:szCs w:val="32"/>
        </w:rPr>
        <w:t>296</w:t>
      </w:r>
      <w:r>
        <w:rPr>
          <w:rFonts w:ascii="Times New Roman" w:hAnsi="Times New Roman" w:eastAsia="方正仿宋_GBK" w:cs="Times New Roman"/>
          <w:sz w:val="32"/>
          <w:szCs w:val="32"/>
        </w:rPr>
        <w:t>条。</w:t>
      </w:r>
      <w:r>
        <w:rPr>
          <w:rFonts w:hint="eastAsia" w:ascii="Times New Roman" w:hAnsi="Times New Roman" w:eastAsia="方正仿宋_GBK" w:cs="Times New Roman"/>
          <w:sz w:val="32"/>
          <w:szCs w:val="32"/>
        </w:rPr>
        <w:t>三是完善监督举报机制。推进“廉情驿站”“码上举报”工作，推行纪工委书记“公开接访日”，确定每月25日公开接访，各村（社区）分别设立“码上举报”接待处，确定1名专职干部具体负责日常事务，引导群众通过扫描二维码反映问题。积极宣传12350安全生产举报奖励制度，鼓励广大群众举报安全生产违法违规行为，对举报属实的给予奖励，调动了群众参与安全生产监督的积极性。</w:t>
      </w:r>
    </w:p>
    <w:p>
      <w:pPr>
        <w:pStyle w:val="3"/>
        <w:spacing w:line="600" w:lineRule="exact"/>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 xml:space="preserve">    （五）社会矛盾纠纷依法有效化解</w:t>
      </w:r>
    </w:p>
    <w:p>
      <w:pPr>
        <w:spacing w:line="600" w:lineRule="exact"/>
      </w:pPr>
      <w:r>
        <w:rPr>
          <w:rFonts w:hint="eastAsia"/>
        </w:rPr>
        <w:t xml:space="preserve">    深入开展“除险清患攻坚季”专项行动，紧紧围绕“排查起底捞干隐患、分级分类化解整治、补短强弱建章立制”三大工作任务，落实责任、细化措施、有序推进。全年线下收集各类矛盾纠纷374件，化解完结353件，正在推进21件，整改化解率94.4%。深入开展社会矛盾纠纷多元化解，全年矛盾纠纷多元化解平台排查各类矛盾纠纷1215件，化解完结1212件，正在推进3件，整改化解率99.8%，形成“小事不出网格、大事不出村社、难事不出镇街、矛盾不上交”工作格局。</w:t>
      </w:r>
    </w:p>
    <w:p>
      <w:pPr>
        <w:pStyle w:val="3"/>
        <w:spacing w:line="600" w:lineRule="exact"/>
        <w:rPr>
          <w:rFonts w:ascii="Times New Roman" w:hAnsi="Times New Roman" w:eastAsia="方正黑体_GBK" w:cs="Times New Roman"/>
          <w:sz w:val="32"/>
          <w:szCs w:val="32"/>
        </w:rPr>
      </w:pPr>
      <w:r>
        <w:rPr>
          <w:rFonts w:hint="eastAsia" w:ascii="Times New Roman" w:hAnsi="Times New Roman" w:eastAsia="方正仿宋_GBK" w:cs="Times New Roman"/>
          <w:sz w:val="32"/>
          <w:szCs w:val="32"/>
        </w:rPr>
        <w:t xml:space="preserve">    </w:t>
      </w:r>
      <w:r>
        <w:rPr>
          <w:rFonts w:hint="eastAsia" w:ascii="Times New Roman" w:hAnsi="Times New Roman" w:eastAsia="方正黑体_GBK" w:cs="Times New Roman"/>
          <w:sz w:val="32"/>
          <w:szCs w:val="32"/>
        </w:rPr>
        <w:t>二</w:t>
      </w:r>
      <w:r>
        <w:rPr>
          <w:rFonts w:ascii="Times New Roman" w:hAnsi="Times New Roman" w:eastAsia="方正黑体_GBK" w:cs="Times New Roman"/>
          <w:sz w:val="32"/>
          <w:szCs w:val="32"/>
        </w:rPr>
        <w:t>、202</w:t>
      </w:r>
      <w:r>
        <w:rPr>
          <w:rFonts w:hint="eastAsia" w:ascii="Times New Roman" w:hAnsi="Times New Roman" w:eastAsia="方正黑体_GBK" w:cs="Times New Roman"/>
          <w:sz w:val="32"/>
          <w:szCs w:val="32"/>
        </w:rPr>
        <w:t>4</w:t>
      </w:r>
      <w:r>
        <w:rPr>
          <w:rFonts w:ascii="Times New Roman" w:hAnsi="Times New Roman" w:eastAsia="方正黑体_GBK" w:cs="Times New Roman"/>
          <w:sz w:val="32"/>
          <w:szCs w:val="32"/>
        </w:rPr>
        <w:t>年党政主要负责人履行推进法治建设第一责任人职责，加强法治政府建设的有关情况</w:t>
      </w:r>
    </w:p>
    <w:p>
      <w:pPr>
        <w:pStyle w:val="3"/>
        <w:spacing w:line="600" w:lineRule="exact"/>
        <w:rPr>
          <w:rFonts w:eastAsia="方正仿宋_GBK"/>
          <w:sz w:val="32"/>
          <w:szCs w:val="32"/>
        </w:rPr>
      </w:pPr>
      <w:r>
        <w:rPr>
          <w:rFonts w:hint="eastAsia" w:ascii="Times New Roman" w:hAnsi="Times New Roman" w:eastAsia="方正仿宋_GBK" w:cs="Times New Roman"/>
          <w:color w:val="auto"/>
          <w:kern w:val="2"/>
          <w:sz w:val="32"/>
          <w:szCs w:val="32"/>
        </w:rPr>
        <w:t xml:space="preserve">    </w:t>
      </w:r>
      <w:r>
        <w:rPr>
          <w:rFonts w:hint="eastAsia" w:ascii="方正楷体_GBK" w:hAnsi="Times New Roman" w:eastAsia="方正楷体_GBK" w:cs="Times New Roman"/>
          <w:color w:val="auto"/>
          <w:kern w:val="2"/>
          <w:sz w:val="32"/>
          <w:szCs w:val="32"/>
        </w:rPr>
        <w:t>一是带头学法遵法。</w:t>
      </w:r>
      <w:r>
        <w:rPr>
          <w:rFonts w:eastAsia="方正仿宋_GBK"/>
          <w:sz w:val="32"/>
          <w:szCs w:val="32"/>
        </w:rPr>
        <w:t>深入学习习近平总书记关于全面依法治国和全</w:t>
      </w:r>
      <w:r>
        <w:rPr>
          <w:rFonts w:ascii="Times New Roman" w:hAnsi="Times New Roman" w:eastAsia="方正仿宋_GBK" w:cs="Times New Roman"/>
          <w:color w:val="auto"/>
          <w:kern w:val="2"/>
          <w:sz w:val="32"/>
          <w:szCs w:val="32"/>
        </w:rPr>
        <w:t>面从严治党的重要论述</w:t>
      </w:r>
      <w:r>
        <w:rPr>
          <w:rFonts w:hint="eastAsia" w:ascii="Times New Roman" w:hAnsi="Times New Roman" w:eastAsia="方正仿宋_GBK" w:cs="Times New Roman"/>
          <w:color w:val="auto"/>
          <w:kern w:val="2"/>
          <w:sz w:val="32"/>
          <w:szCs w:val="32"/>
        </w:rPr>
        <w:t>，扎实</w:t>
      </w:r>
      <w:r>
        <w:rPr>
          <w:rFonts w:ascii="Times New Roman" w:hAnsi="Times New Roman" w:eastAsia="方正仿宋_GBK" w:cs="Times New Roman"/>
          <w:color w:val="auto"/>
          <w:kern w:val="2"/>
          <w:sz w:val="32"/>
          <w:szCs w:val="32"/>
        </w:rPr>
        <w:t>开展党纪学习教育</w:t>
      </w:r>
      <w:r>
        <w:rPr>
          <w:rFonts w:hint="eastAsia" w:ascii="Times New Roman" w:hAnsi="Times New Roman" w:eastAsia="方正仿宋_GBK" w:cs="Times New Roman"/>
          <w:color w:val="auto"/>
          <w:kern w:val="2"/>
          <w:sz w:val="32"/>
          <w:szCs w:val="32"/>
        </w:rPr>
        <w:t>，组织</w:t>
      </w:r>
      <w:r>
        <w:rPr>
          <w:rFonts w:ascii="Times New Roman" w:hAnsi="Times New Roman" w:eastAsia="方正仿宋_GBK" w:cs="Times New Roman"/>
          <w:color w:val="auto"/>
          <w:kern w:val="2"/>
          <w:sz w:val="32"/>
          <w:szCs w:val="32"/>
        </w:rPr>
        <w:t>读书班2天，</w:t>
      </w:r>
      <w:r>
        <w:rPr>
          <w:rFonts w:hint="eastAsia" w:ascii="Times New Roman" w:hAnsi="Times New Roman" w:eastAsia="方正仿宋_GBK" w:cs="Times New Roman"/>
          <w:color w:val="auto"/>
          <w:kern w:val="2"/>
          <w:sz w:val="32"/>
          <w:szCs w:val="32"/>
        </w:rPr>
        <w:t>街道党工委书记上专题党课1次、班子成员上廉政党课10次，举办党纪知识竞赛1次，参加法治理论考试68人次，组织机关党员及村居书记到烈士陵园开展现场教学1次。邀请区委党校副校长专题辅导《中国共产党纪律处分条例》，组织20名干部职工观看廉洁文化节目展演。开展“以案四说”警示教育大会2次，督促各村（社区）围绕通报的典型案例或本村居的违纪案例开展“以案四说”警示教育10次。</w:t>
      </w:r>
    </w:p>
    <w:p>
      <w:pPr>
        <w:pStyle w:val="3"/>
        <w:spacing w:line="600" w:lineRule="exact"/>
        <w:rPr>
          <w:rFonts w:ascii="Times New Roman" w:hAnsi="Times New Roman" w:eastAsia="方正仿宋_GBK" w:cs="Times New Roman"/>
          <w:color w:val="auto"/>
          <w:kern w:val="2"/>
          <w:sz w:val="32"/>
          <w:szCs w:val="32"/>
        </w:rPr>
      </w:pPr>
      <w:r>
        <w:rPr>
          <w:rFonts w:hint="eastAsia" w:ascii="方正楷体_GBK" w:hAnsi="Times New Roman" w:eastAsia="方正楷体_GBK" w:cs="Times New Roman"/>
          <w:color w:val="auto"/>
          <w:kern w:val="2"/>
          <w:sz w:val="32"/>
          <w:szCs w:val="32"/>
        </w:rPr>
        <w:t xml:space="preserve">    二是坚持依法决策。</w:t>
      </w:r>
      <w:r>
        <w:rPr>
          <w:rFonts w:hint="eastAsia" w:ascii="Times New Roman" w:hAnsi="Times New Roman" w:eastAsia="方正仿宋_GBK" w:cs="Times New Roman"/>
          <w:color w:val="auto"/>
          <w:kern w:val="2"/>
          <w:sz w:val="32"/>
          <w:szCs w:val="32"/>
        </w:rPr>
        <w:t>坚持将法治建设和推进法治政府建设纳入街道党工委发展总体规划和年度工作计划，纳入班子成员年度述职述廉报告内容。严格执行重大决策法定程序，</w:t>
      </w:r>
      <w:r>
        <w:rPr>
          <w:rFonts w:ascii="Times New Roman" w:hAnsi="Times New Roman" w:eastAsia="方正仿宋_GBK" w:cs="Times New Roman"/>
          <w:color w:val="auto"/>
          <w:kern w:val="2"/>
          <w:sz w:val="32"/>
          <w:szCs w:val="32"/>
        </w:rPr>
        <w:t>聘请法律顾问和财务顾问，在依法决策中充分发挥专业作用</w:t>
      </w:r>
      <w:r>
        <w:rPr>
          <w:rFonts w:hint="eastAsia" w:ascii="Times New Roman" w:hAnsi="Times New Roman" w:eastAsia="方正仿宋_GBK" w:cs="Times New Roman"/>
          <w:color w:val="auto"/>
          <w:kern w:val="2"/>
          <w:sz w:val="32"/>
          <w:szCs w:val="32"/>
        </w:rPr>
        <w:t>。依法制定党工委文件和行政规范性文件，更新行政规范性文件报表3次。</w:t>
      </w:r>
    </w:p>
    <w:p>
      <w:pPr>
        <w:autoSpaceDE w:val="0"/>
        <w:spacing w:line="600" w:lineRule="exact"/>
        <w:ind w:firstLine="640" w:firstLineChars="200"/>
      </w:pPr>
      <w:r>
        <w:rPr>
          <w:rFonts w:hint="eastAsia" w:ascii="方正楷体_GBK" w:eastAsia="方正楷体_GBK"/>
        </w:rPr>
        <w:t>三是注重队伍建设。</w:t>
      </w:r>
      <w:r>
        <w:t>围绕党建统领“885”，理顺街道“141”工作体系，</w:t>
      </w:r>
      <w:r>
        <w:rPr>
          <w:rFonts w:hint="eastAsia"/>
        </w:rPr>
        <w:t>迭代升级“五长制”，统筹社区专职干部、退役军人专岗、党员骨干、公益性岗位，配齐配强“1+3+N”网格队伍，落实网格划分新要求，动态调整为15个片区，59个居民网格、10个专属网格、30个院落；推行“145”工作机制，实质化运行一体化治理智治平台。中央和市级领导现场调研螺蛳包社区五长制工作，予以充分肯定。</w:t>
      </w:r>
    </w:p>
    <w:p>
      <w:pPr>
        <w:pStyle w:val="3"/>
        <w:spacing w:line="600" w:lineRule="exact"/>
        <w:ind w:firstLine="640" w:firstLineChars="200"/>
        <w:rPr>
          <w:rFonts w:ascii="Times New Roman" w:hAnsi="Times New Roman" w:eastAsia="方正黑体_GBK" w:cs="Times New Roman"/>
          <w:sz w:val="32"/>
          <w:szCs w:val="32"/>
        </w:rPr>
      </w:pPr>
      <w:r>
        <w:rPr>
          <w:rFonts w:hint="eastAsia" w:ascii="方正黑体_GBK" w:hAnsi="方正黑体_GBK" w:eastAsia="方正黑体_GBK" w:cs="方正黑体_GBK"/>
          <w:sz w:val="32"/>
          <w:szCs w:val="32"/>
        </w:rPr>
        <w:t>三、</w:t>
      </w:r>
      <w:r>
        <w:rPr>
          <w:rFonts w:ascii="Times New Roman" w:hAnsi="Times New Roman" w:eastAsia="方正黑体_GBK" w:cs="Times New Roman"/>
          <w:sz w:val="32"/>
          <w:szCs w:val="32"/>
        </w:rPr>
        <w:t>202</w:t>
      </w:r>
      <w:r>
        <w:rPr>
          <w:rFonts w:hint="eastAsia" w:ascii="Times New Roman" w:hAnsi="Times New Roman" w:eastAsia="方正黑体_GBK" w:cs="Times New Roman"/>
          <w:sz w:val="32"/>
          <w:szCs w:val="32"/>
        </w:rPr>
        <w:t>4</w:t>
      </w:r>
      <w:r>
        <w:rPr>
          <w:rFonts w:ascii="Times New Roman" w:hAnsi="Times New Roman" w:eastAsia="方正黑体_GBK" w:cs="Times New Roman"/>
          <w:sz w:val="32"/>
          <w:szCs w:val="32"/>
        </w:rPr>
        <w:t>年推进法治政府建设存在的不足和原因</w:t>
      </w:r>
    </w:p>
    <w:p>
      <w:pPr>
        <w:spacing w:line="600" w:lineRule="exact"/>
        <w:ind w:firstLine="640" w:firstLineChars="200"/>
        <w:rPr>
          <w:rFonts w:ascii="方正仿宋_GBK"/>
        </w:rPr>
      </w:pPr>
      <w:r>
        <w:t>202</w:t>
      </w:r>
      <w:r>
        <w:rPr>
          <w:rFonts w:hint="eastAsia"/>
        </w:rPr>
        <w:t>4</w:t>
      </w:r>
      <w:r>
        <w:t>年度，虽然街道在开展法治政府建设工作中取得了一定的成绩，但仍存在以下主要问题：一</w:t>
      </w:r>
      <w:r>
        <w:rPr>
          <w:rFonts w:hint="eastAsia"/>
        </w:rPr>
        <w:t>是法纪意识还不牢固。机关干部、村居党员等违纪违法案件还没完全杜绝，个别党员干部法纪意识还有待加强。二是安全形势依然严峻。</w:t>
      </w:r>
      <w:r>
        <w:rPr>
          <w:rFonts w:hint="eastAsia" w:ascii="方正仿宋_GBK"/>
        </w:rPr>
        <w:t>交通安全、消防安全等突发事件时有发生，大综合一体化执法机制还未真正形成，联合执法、综合执法等效果还不明显。三是法治氛围有待提高。</w:t>
      </w:r>
      <w:r>
        <w:rPr>
          <w:rFonts w:hint="eastAsia"/>
        </w:rPr>
        <w:t>机关和村居干部对党章党规、法律法规的学习培训次数较少，对居民群众开展</w:t>
      </w:r>
      <w:r>
        <w:t>宣传宣讲形式比较单一，</w:t>
      </w:r>
      <w:r>
        <w:rPr>
          <w:rFonts w:hint="eastAsia"/>
        </w:rPr>
        <w:t>全社会尊法学法守法用法氛围不浓。</w:t>
      </w:r>
    </w:p>
    <w:p>
      <w:pPr>
        <w:pStyle w:val="3"/>
        <w:spacing w:line="600" w:lineRule="exact"/>
        <w:rPr>
          <w:rFonts w:ascii="方正黑体_GBK" w:hAnsi="方正黑体_GBK" w:eastAsia="方正黑体_GBK" w:cs="方正黑体_GBK"/>
          <w:sz w:val="32"/>
          <w:szCs w:val="32"/>
        </w:rPr>
      </w:pPr>
      <w:r>
        <w:rPr>
          <w:rFonts w:hint="eastAsia" w:ascii="Times New Roman" w:hAnsi="Times New Roman" w:eastAsia="方正黑体_GBK" w:cs="Times New Roman"/>
          <w:sz w:val="32"/>
          <w:szCs w:val="32"/>
        </w:rPr>
        <w:t xml:space="preserve">    四、2025</w:t>
      </w:r>
      <w:r>
        <w:rPr>
          <w:rFonts w:ascii="Times New Roman" w:hAnsi="Times New Roman" w:eastAsia="方正黑体_GBK" w:cs="Times New Roman"/>
          <w:sz w:val="32"/>
          <w:szCs w:val="32"/>
        </w:rPr>
        <w:t>年推进法治政府建设的主要安</w:t>
      </w:r>
      <w:r>
        <w:rPr>
          <w:rFonts w:hint="eastAsia" w:ascii="方正黑体_GBK" w:hAnsi="方正黑体_GBK" w:eastAsia="方正黑体_GBK" w:cs="方正黑体_GBK"/>
          <w:sz w:val="32"/>
          <w:szCs w:val="32"/>
        </w:rPr>
        <w:t>排</w:t>
      </w:r>
    </w:p>
    <w:p>
      <w:pPr>
        <w:pStyle w:val="3"/>
        <w:spacing w:line="600" w:lineRule="exact"/>
        <w:rPr>
          <w:rFonts w:ascii="Times New Roman" w:hAnsi="Times New Roman" w:eastAsia="方正仿宋_GBK" w:cs="Times New Roman"/>
          <w:color w:val="auto"/>
          <w:kern w:val="2"/>
          <w:sz w:val="32"/>
          <w:szCs w:val="32"/>
        </w:rPr>
      </w:pPr>
      <w:r>
        <w:rPr>
          <w:rFonts w:hint="eastAsia" w:ascii="方正楷体_GBK" w:hAnsi="方正黑体_GBK" w:eastAsia="方正楷体_GBK" w:cs="方正黑体_GBK"/>
          <w:sz w:val="32"/>
          <w:szCs w:val="32"/>
        </w:rPr>
        <w:t xml:space="preserve">    </w:t>
      </w:r>
      <w:r>
        <w:rPr>
          <w:rFonts w:hint="eastAsia" w:ascii="方正楷体_GBK" w:hAnsi="Times New Roman" w:eastAsia="方正楷体_GBK" w:cs="Times New Roman"/>
          <w:color w:val="auto"/>
          <w:kern w:val="2"/>
          <w:sz w:val="32"/>
          <w:szCs w:val="32"/>
        </w:rPr>
        <w:t>（一）在尊法学法上再加力。</w:t>
      </w:r>
      <w:r>
        <w:rPr>
          <w:rFonts w:hint="eastAsia" w:ascii="Times New Roman" w:hAnsi="Times New Roman" w:eastAsia="方正仿宋_GBK" w:cs="Times New Roman"/>
          <w:color w:val="auto"/>
          <w:kern w:val="2"/>
          <w:sz w:val="32"/>
          <w:szCs w:val="32"/>
        </w:rPr>
        <w:t>深入学习贯彻习近平法治思想，贯彻落实习近平总书记关于法治建设的重要指示精神。</w:t>
      </w:r>
      <w:r>
        <w:rPr>
          <w:rFonts w:hint="eastAsia" w:ascii="方正仿宋_GBK" w:hAnsi="Times New Roman" w:eastAsia="方正仿宋_GBK"/>
          <w:sz w:val="32"/>
          <w:szCs w:val="32"/>
        </w:rPr>
        <w:t>围绕</w:t>
      </w:r>
      <w:r>
        <w:rPr>
          <w:rFonts w:ascii="方正仿宋_GBK" w:hAnsi="Times New Roman" w:eastAsia="方正仿宋_GBK"/>
          <w:sz w:val="32"/>
          <w:szCs w:val="32"/>
        </w:rPr>
        <w:t>法治政府建设实施纲要，扎实推进全国法治政府建设示范区创建。</w:t>
      </w:r>
      <w:r>
        <w:rPr>
          <w:rFonts w:hint="eastAsia" w:ascii="方正仿宋_GBK" w:hAnsi="Times New Roman" w:eastAsia="方正仿宋_GBK"/>
          <w:sz w:val="32"/>
          <w:szCs w:val="32"/>
        </w:rPr>
        <w:t>利用党工委理论学习中心组、职工会、廉政党课等，认真学习党规党纪、法律法规，巩固党纪学习教育成果，推进法治宣传教育常态化长效化。</w:t>
      </w:r>
    </w:p>
    <w:p>
      <w:pPr>
        <w:pStyle w:val="3"/>
        <w:spacing w:line="600" w:lineRule="exact"/>
        <w:rPr>
          <w:rFonts w:eastAsia="方正仿宋_GBK"/>
          <w:sz w:val="32"/>
          <w:szCs w:val="32"/>
        </w:rPr>
      </w:pPr>
      <w:r>
        <w:rPr>
          <w:rFonts w:hint="eastAsia" w:ascii="方正楷体_GBK" w:hAnsi="方正黑体_GBK" w:eastAsia="方正楷体_GBK" w:cs="方正黑体_GBK"/>
          <w:sz w:val="32"/>
          <w:szCs w:val="32"/>
        </w:rPr>
        <w:t xml:space="preserve">    （二）在执法用法上再加力。</w:t>
      </w:r>
      <w:r>
        <w:rPr>
          <w:rFonts w:ascii="方正仿宋_GBK" w:hAnsi="Times New Roman" w:eastAsia="方正仿宋_GBK"/>
          <w:sz w:val="32"/>
          <w:szCs w:val="32"/>
        </w:rPr>
        <w:t>严格规范公正文</w:t>
      </w:r>
      <w:r>
        <w:rPr>
          <w:rFonts w:ascii="Times New Roman" w:hAnsi="Times New Roman" w:eastAsia="方正仿宋_GBK" w:cs="Times New Roman"/>
          <w:color w:val="auto"/>
          <w:kern w:val="2"/>
          <w:sz w:val="32"/>
          <w:szCs w:val="32"/>
        </w:rPr>
        <w:t>明执法，深入推进“大综合一体化”综合行政执法改革，推动执法队伍</w:t>
      </w:r>
      <w:r>
        <w:rPr>
          <w:rFonts w:hint="eastAsia" w:ascii="Times New Roman" w:hAnsi="Times New Roman" w:eastAsia="方正仿宋_GBK" w:cs="Times New Roman"/>
          <w:color w:val="auto"/>
          <w:kern w:val="2"/>
          <w:sz w:val="32"/>
          <w:szCs w:val="32"/>
        </w:rPr>
        <w:t>能力提升</w:t>
      </w:r>
      <w:r>
        <w:rPr>
          <w:rFonts w:ascii="Times New Roman" w:hAnsi="Times New Roman" w:eastAsia="方正仿宋_GBK" w:cs="Times New Roman"/>
          <w:color w:val="auto"/>
          <w:kern w:val="2"/>
          <w:sz w:val="32"/>
          <w:szCs w:val="32"/>
        </w:rPr>
        <w:t>，推广运用“执法+监督”数字应用</w:t>
      </w:r>
      <w:r>
        <w:rPr>
          <w:rFonts w:hint="eastAsia" w:ascii="Times New Roman" w:hAnsi="Times New Roman" w:eastAsia="方正仿宋_GBK" w:cs="Times New Roman"/>
          <w:color w:val="auto"/>
          <w:kern w:val="2"/>
          <w:sz w:val="32"/>
          <w:szCs w:val="32"/>
        </w:rPr>
        <w:t>，落实好综合执法事项清单，持续提升执法效能。</w:t>
      </w:r>
      <w:r>
        <w:rPr>
          <w:rFonts w:ascii="Times New Roman" w:hAnsi="Times New Roman" w:eastAsia="方正仿宋_GBK" w:cs="Times New Roman"/>
          <w:color w:val="auto"/>
          <w:kern w:val="2"/>
          <w:sz w:val="32"/>
          <w:szCs w:val="32"/>
        </w:rPr>
        <w:t>坚持和发展新时代“枫桥经验”，</w:t>
      </w:r>
      <w:r>
        <w:rPr>
          <w:rFonts w:hint="eastAsia" w:ascii="Times New Roman" w:hAnsi="Times New Roman" w:eastAsia="方正仿宋_GBK" w:cs="Times New Roman"/>
          <w:color w:val="auto"/>
          <w:kern w:val="2"/>
          <w:sz w:val="32"/>
          <w:szCs w:val="32"/>
        </w:rPr>
        <w:t>强化</w:t>
      </w:r>
      <w:r>
        <w:rPr>
          <w:rFonts w:ascii="Times New Roman" w:hAnsi="Times New Roman" w:eastAsia="方正仿宋_GBK" w:cs="Times New Roman"/>
          <w:color w:val="auto"/>
          <w:kern w:val="2"/>
          <w:sz w:val="32"/>
          <w:szCs w:val="32"/>
        </w:rPr>
        <w:t>“141”基层治理</w:t>
      </w:r>
      <w:r>
        <w:rPr>
          <w:rFonts w:hint="eastAsia" w:ascii="Times New Roman" w:hAnsi="Times New Roman" w:eastAsia="方正仿宋_GBK" w:cs="Times New Roman"/>
          <w:color w:val="auto"/>
          <w:kern w:val="2"/>
          <w:sz w:val="32"/>
          <w:szCs w:val="32"/>
        </w:rPr>
        <w:t>实战实效</w:t>
      </w:r>
      <w:r>
        <w:rPr>
          <w:rFonts w:ascii="Times New Roman" w:hAnsi="Times New Roman" w:eastAsia="方正仿宋_GBK" w:cs="Times New Roman"/>
          <w:color w:val="auto"/>
          <w:kern w:val="2"/>
          <w:sz w:val="32"/>
          <w:szCs w:val="32"/>
        </w:rPr>
        <w:t>，</w:t>
      </w:r>
      <w:r>
        <w:rPr>
          <w:rFonts w:hint="eastAsia" w:ascii="Times New Roman" w:hAnsi="Times New Roman" w:eastAsia="方正仿宋_GBK" w:cs="Times New Roman"/>
          <w:color w:val="auto"/>
          <w:kern w:val="2"/>
          <w:sz w:val="32"/>
          <w:szCs w:val="32"/>
        </w:rPr>
        <w:t>发挥</w:t>
      </w:r>
      <w:r>
        <w:rPr>
          <w:rFonts w:ascii="Times New Roman" w:hAnsi="Times New Roman" w:eastAsia="方正仿宋_GBK" w:cs="Times New Roman"/>
          <w:color w:val="auto"/>
          <w:kern w:val="2"/>
          <w:sz w:val="32"/>
          <w:szCs w:val="32"/>
        </w:rPr>
        <w:t xml:space="preserve"> “五长制”</w:t>
      </w:r>
      <w:r>
        <w:rPr>
          <w:rFonts w:hint="eastAsia" w:ascii="Times New Roman" w:hAnsi="Times New Roman" w:eastAsia="方正仿宋_GBK" w:cs="Times New Roman"/>
          <w:color w:val="auto"/>
          <w:kern w:val="2"/>
          <w:sz w:val="32"/>
          <w:szCs w:val="32"/>
        </w:rPr>
        <w:t>神经末梢作用</w:t>
      </w:r>
      <w:r>
        <w:rPr>
          <w:rFonts w:ascii="Times New Roman" w:hAnsi="Times New Roman" w:eastAsia="方正仿宋_GBK" w:cs="Times New Roman"/>
          <w:color w:val="auto"/>
          <w:kern w:val="2"/>
          <w:sz w:val="32"/>
          <w:szCs w:val="32"/>
        </w:rPr>
        <w:t>，加强预防性制度建设，多元预防调处化解社会矛盾纠纷。</w:t>
      </w:r>
    </w:p>
    <w:p>
      <w:pPr>
        <w:widowControl/>
        <w:autoSpaceDE w:val="0"/>
        <w:spacing w:line="600" w:lineRule="exact"/>
        <w:ind w:firstLine="640" w:firstLineChars="200"/>
        <w:jc w:val="left"/>
        <w:rPr>
          <w:kern w:val="0"/>
        </w:rPr>
      </w:pPr>
      <w:r>
        <w:rPr>
          <w:rFonts w:hint="eastAsia" w:ascii="方正楷体_GBK" w:hAnsi="方正黑体_GBK" w:eastAsia="方正楷体_GBK" w:cs="方正黑体_GBK"/>
          <w:color w:val="000000"/>
          <w:kern w:val="0"/>
        </w:rPr>
        <w:t>（三）在普法守法上再加力。</w:t>
      </w:r>
      <w:r>
        <w:rPr>
          <w:rFonts w:ascii="方正仿宋_GBK"/>
        </w:rPr>
        <w:t>全面落实</w:t>
      </w:r>
      <w:r>
        <w:t>“</w:t>
      </w:r>
      <w:r>
        <w:rPr>
          <w:rFonts w:ascii="方正仿宋_GBK"/>
        </w:rPr>
        <w:t>八五</w:t>
      </w:r>
      <w:r>
        <w:t>”</w:t>
      </w:r>
      <w:r>
        <w:rPr>
          <w:rFonts w:ascii="方正仿宋_GBK"/>
        </w:rPr>
        <w:t>普法，</w:t>
      </w:r>
      <w:r>
        <w:rPr>
          <w:rFonts w:hint="eastAsia" w:ascii="方正仿宋_GBK"/>
        </w:rPr>
        <w:t>利用院坝会、标语专栏、选出画报等形式，提高辖区居民知法守法意识。</w:t>
      </w:r>
      <w:r>
        <w:rPr>
          <w:rFonts w:ascii="方正仿宋_GBK"/>
        </w:rPr>
        <w:t>强化政务诚信建设，</w:t>
      </w:r>
      <w:r>
        <w:rPr>
          <w:rFonts w:hint="eastAsia" w:ascii="方正仿宋_GBK"/>
        </w:rPr>
        <w:t>深化政务公开。</w:t>
      </w:r>
      <w:r>
        <w:t>严格落实“三重一大”和重大事项请示报告制度，</w:t>
      </w:r>
      <w:r>
        <w:rPr>
          <w:rFonts w:hint="eastAsia"/>
        </w:rPr>
        <w:t>坚持科学、民主、依法决策，强化集体研究、公众参与、专家论证和合法性审查，完善重大决策事前评估和事后评价机制。</w:t>
      </w:r>
      <w:r>
        <w:rPr>
          <w:rFonts w:ascii="方正仿宋_GBK"/>
        </w:rPr>
        <w:t>始终坚持政府过紧日子，严控</w:t>
      </w:r>
      <w:r>
        <w:t>“</w:t>
      </w:r>
      <w:r>
        <w:rPr>
          <w:rFonts w:ascii="方正仿宋_GBK"/>
        </w:rPr>
        <w:t>三公</w:t>
      </w:r>
      <w:r>
        <w:t>”</w:t>
      </w:r>
      <w:r>
        <w:rPr>
          <w:rFonts w:ascii="方正仿宋_GBK"/>
        </w:rPr>
        <w:t>经费，严肃财经纪律，</w:t>
      </w:r>
      <w:r>
        <w:rPr>
          <w:rFonts w:hint="eastAsia" w:ascii="方正仿宋_GBK"/>
        </w:rPr>
        <w:t>强化绩效评估，</w:t>
      </w:r>
      <w:r>
        <w:rPr>
          <w:rFonts w:ascii="方正仿宋_GBK"/>
        </w:rPr>
        <w:t>持续压减非刚性、非重点、非急需支出，把每一分钱都用在</w:t>
      </w:r>
      <w:r>
        <w:t>“</w:t>
      </w:r>
      <w:r>
        <w:rPr>
          <w:rFonts w:ascii="方正仿宋_GBK"/>
        </w:rPr>
        <w:t>刀刃</w:t>
      </w:r>
      <w:r>
        <w:t>”</w:t>
      </w:r>
      <w:r>
        <w:rPr>
          <w:rFonts w:ascii="方正仿宋_GBK"/>
        </w:rPr>
        <w:t>上。</w:t>
      </w:r>
    </w:p>
    <w:p>
      <w:pPr>
        <w:widowControl/>
        <w:autoSpaceDE w:val="0"/>
        <w:spacing w:line="600" w:lineRule="exact"/>
        <w:ind w:firstLine="640" w:firstLineChars="200"/>
        <w:jc w:val="left"/>
        <w:rPr>
          <w:rFonts w:ascii="方正仿宋_GBK"/>
        </w:rPr>
      </w:pPr>
    </w:p>
    <w:p>
      <w:pPr>
        <w:widowControl/>
        <w:autoSpaceDE w:val="0"/>
        <w:spacing w:line="600" w:lineRule="exact"/>
        <w:ind w:firstLine="640" w:firstLineChars="200"/>
        <w:jc w:val="left"/>
        <w:rPr>
          <w:rFonts w:ascii="方正仿宋_GBK"/>
        </w:rPr>
      </w:pPr>
      <w:r>
        <w:rPr>
          <w:rFonts w:hint="eastAsia" w:ascii="方正仿宋_GBK"/>
        </w:rPr>
        <w:t xml:space="preserve">               </w:t>
      </w:r>
    </w:p>
    <w:p>
      <w:pPr>
        <w:widowControl/>
        <w:autoSpaceDE w:val="0"/>
        <w:spacing w:line="600" w:lineRule="exact"/>
        <w:ind w:firstLine="640" w:firstLineChars="200"/>
        <w:jc w:val="left"/>
        <w:rPr>
          <w:rFonts w:ascii="方正仿宋_GBK"/>
        </w:rPr>
      </w:pPr>
      <w:r>
        <w:rPr>
          <w:rFonts w:hint="eastAsia" w:ascii="方正仿宋_GBK"/>
        </w:rPr>
        <w:t xml:space="preserve">                   重庆市万州区双河口街道办事处</w:t>
      </w:r>
    </w:p>
    <w:p>
      <w:pPr>
        <w:pStyle w:val="2"/>
      </w:pPr>
      <w:r>
        <w:rPr>
          <w:rFonts w:hint="eastAsia"/>
        </w:rPr>
        <w:t xml:space="preserve">                               2025年1月6日</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8"/>
                  <w:rPr>
                    <w:rFonts w:asciiTheme="majorEastAsia" w:hAnsiTheme="majorEastAsia" w:eastAsiaTheme="majorEastAsia" w:cstheme="majorEastAsia"/>
                    <w:szCs w:val="28"/>
                  </w:rPr>
                </w:pPr>
                <w:r>
                  <w:rPr>
                    <w:rFonts w:hint="eastAsia" w:asciiTheme="majorEastAsia" w:hAnsiTheme="majorEastAsia" w:eastAsiaTheme="majorEastAsia" w:cstheme="majorEastAsia"/>
                    <w:szCs w:val="28"/>
                  </w:rPr>
                  <w:t xml:space="preserve">— </w:t>
                </w:r>
                <w:r>
                  <w:rPr>
                    <w:rFonts w:hint="eastAsia" w:asciiTheme="majorEastAsia" w:hAnsiTheme="majorEastAsia" w:eastAsiaTheme="majorEastAsia" w:cstheme="majorEastAsia"/>
                    <w:szCs w:val="28"/>
                  </w:rPr>
                  <w:fldChar w:fldCharType="begin"/>
                </w:r>
                <w:r>
                  <w:rPr>
                    <w:rFonts w:hint="eastAsia" w:asciiTheme="majorEastAsia" w:hAnsiTheme="majorEastAsia" w:eastAsiaTheme="majorEastAsia" w:cstheme="majorEastAsia"/>
                    <w:szCs w:val="28"/>
                  </w:rPr>
                  <w:instrText xml:space="preserve"> PAGE  \* MERGEFORMAT </w:instrText>
                </w:r>
                <w:r>
                  <w:rPr>
                    <w:rFonts w:hint="eastAsia" w:asciiTheme="majorEastAsia" w:hAnsiTheme="majorEastAsia" w:eastAsiaTheme="majorEastAsia" w:cstheme="majorEastAsia"/>
                    <w:szCs w:val="28"/>
                  </w:rPr>
                  <w:fldChar w:fldCharType="separate"/>
                </w:r>
                <w:r>
                  <w:rPr>
                    <w:rFonts w:asciiTheme="majorEastAsia" w:hAnsiTheme="majorEastAsia" w:eastAsiaTheme="majorEastAsia" w:cstheme="majorEastAsia"/>
                    <w:szCs w:val="28"/>
                  </w:rPr>
                  <w:t>3</w:t>
                </w:r>
                <w:r>
                  <w:rPr>
                    <w:rFonts w:hint="eastAsia" w:asciiTheme="majorEastAsia" w:hAnsiTheme="majorEastAsia" w:eastAsiaTheme="majorEastAsia" w:cstheme="majorEastAsia"/>
                    <w:szCs w:val="28"/>
                  </w:rPr>
                  <w:fldChar w:fldCharType="end"/>
                </w:r>
                <w:r>
                  <w:rPr>
                    <w:rFonts w:hint="eastAsia" w:asciiTheme="majorEastAsia" w:hAnsiTheme="majorEastAsia" w:eastAsiaTheme="majorEastAsia" w:cstheme="majorEastAsia"/>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53D151FA"/>
    <w:rsid w:val="00012A20"/>
    <w:rsid w:val="000237CA"/>
    <w:rsid w:val="00041FB5"/>
    <w:rsid w:val="0004336A"/>
    <w:rsid w:val="00121633"/>
    <w:rsid w:val="001B356D"/>
    <w:rsid w:val="001B54B5"/>
    <w:rsid w:val="00270D6A"/>
    <w:rsid w:val="00277C1E"/>
    <w:rsid w:val="0028079E"/>
    <w:rsid w:val="00291DD9"/>
    <w:rsid w:val="00296E07"/>
    <w:rsid w:val="00310F45"/>
    <w:rsid w:val="00323751"/>
    <w:rsid w:val="00324DFE"/>
    <w:rsid w:val="0037691F"/>
    <w:rsid w:val="00395ED8"/>
    <w:rsid w:val="00397C82"/>
    <w:rsid w:val="004940AC"/>
    <w:rsid w:val="004E7F70"/>
    <w:rsid w:val="00534807"/>
    <w:rsid w:val="00552AEF"/>
    <w:rsid w:val="00553786"/>
    <w:rsid w:val="005658FA"/>
    <w:rsid w:val="005E50ED"/>
    <w:rsid w:val="00624419"/>
    <w:rsid w:val="00630F69"/>
    <w:rsid w:val="00636054"/>
    <w:rsid w:val="00663B99"/>
    <w:rsid w:val="00685CA4"/>
    <w:rsid w:val="006B7575"/>
    <w:rsid w:val="00726C0C"/>
    <w:rsid w:val="007849DC"/>
    <w:rsid w:val="007B3883"/>
    <w:rsid w:val="007E5BA5"/>
    <w:rsid w:val="00861781"/>
    <w:rsid w:val="008A69CB"/>
    <w:rsid w:val="00984847"/>
    <w:rsid w:val="009B1BC4"/>
    <w:rsid w:val="009D018F"/>
    <w:rsid w:val="00A11A72"/>
    <w:rsid w:val="00A16F54"/>
    <w:rsid w:val="00A42509"/>
    <w:rsid w:val="00A62E62"/>
    <w:rsid w:val="00A90BED"/>
    <w:rsid w:val="00A9653C"/>
    <w:rsid w:val="00AF25E6"/>
    <w:rsid w:val="00B05C3A"/>
    <w:rsid w:val="00B32320"/>
    <w:rsid w:val="00B34965"/>
    <w:rsid w:val="00B419A9"/>
    <w:rsid w:val="00BB1DC7"/>
    <w:rsid w:val="00C12147"/>
    <w:rsid w:val="00C3491A"/>
    <w:rsid w:val="00C476BB"/>
    <w:rsid w:val="00CF6831"/>
    <w:rsid w:val="00D372CC"/>
    <w:rsid w:val="00E06889"/>
    <w:rsid w:val="00E12066"/>
    <w:rsid w:val="00E8450F"/>
    <w:rsid w:val="00EE5983"/>
    <w:rsid w:val="00EF231F"/>
    <w:rsid w:val="00F14EFF"/>
    <w:rsid w:val="00F52D12"/>
    <w:rsid w:val="00FF5B7C"/>
    <w:rsid w:val="0F706F80"/>
    <w:rsid w:val="0F727F77"/>
    <w:rsid w:val="18622CA6"/>
    <w:rsid w:val="24297C82"/>
    <w:rsid w:val="27D54302"/>
    <w:rsid w:val="298B5257"/>
    <w:rsid w:val="2E5864D2"/>
    <w:rsid w:val="30AD306E"/>
    <w:rsid w:val="361731CD"/>
    <w:rsid w:val="39D94A27"/>
    <w:rsid w:val="3B5D793D"/>
    <w:rsid w:val="3D3367FE"/>
    <w:rsid w:val="4404668A"/>
    <w:rsid w:val="4B442B3B"/>
    <w:rsid w:val="527A5F1B"/>
    <w:rsid w:val="53D151FA"/>
    <w:rsid w:val="55940F39"/>
    <w:rsid w:val="5F095DC3"/>
    <w:rsid w:val="61834A0A"/>
    <w:rsid w:val="61A75EA2"/>
    <w:rsid w:val="62CA77F6"/>
    <w:rsid w:val="638342E2"/>
    <w:rsid w:val="649D3ADE"/>
    <w:rsid w:val="6B4268BC"/>
    <w:rsid w:val="73410B38"/>
    <w:rsid w:val="77960707"/>
    <w:rsid w:val="7E4A61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4">
    <w:name w:val="heading 1"/>
    <w:basedOn w:val="1"/>
    <w:next w:val="1"/>
    <w:qFormat/>
    <w:uiPriority w:val="0"/>
    <w:pPr>
      <w:jc w:val="center"/>
      <w:outlineLvl w:val="0"/>
    </w:pPr>
    <w:rPr>
      <w:rFonts w:hint="eastAsia" w:ascii="宋体" w:hAnsi="宋体" w:eastAsia="方正小标宋_GBK"/>
      <w:kern w:val="44"/>
      <w:sz w:val="44"/>
      <w:szCs w:val="44"/>
    </w:rPr>
  </w:style>
  <w:style w:type="paragraph" w:styleId="5">
    <w:name w:val="heading 2"/>
    <w:basedOn w:val="1"/>
    <w:next w:val="1"/>
    <w:semiHidden/>
    <w:unhideWhenUsed/>
    <w:qFormat/>
    <w:uiPriority w:val="0"/>
    <w:pPr>
      <w:keepNext/>
      <w:keepLines/>
      <w:spacing w:line="580" w:lineRule="atLeast"/>
      <w:jc w:val="left"/>
      <w:outlineLvl w:val="1"/>
    </w:pPr>
    <w:rPr>
      <w:rFonts w:ascii="Arial" w:hAnsi="Arial" w:eastAsia="方正黑体_GBK"/>
    </w:rPr>
  </w:style>
  <w:style w:type="paragraph" w:styleId="6">
    <w:name w:val="heading 3"/>
    <w:basedOn w:val="1"/>
    <w:next w:val="1"/>
    <w:semiHidden/>
    <w:unhideWhenUsed/>
    <w:qFormat/>
    <w:uiPriority w:val="0"/>
    <w:pPr>
      <w:keepNext/>
      <w:keepLines/>
      <w:spacing w:line="580" w:lineRule="exact"/>
      <w:jc w:val="left"/>
      <w:outlineLvl w:val="2"/>
    </w:pPr>
    <w:rPr>
      <w:rFonts w:eastAsia="方正楷体_GBK"/>
    </w:rPr>
  </w:style>
  <w:style w:type="character" w:default="1" w:styleId="12">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7">
    <w:name w:val="Date"/>
    <w:basedOn w:val="1"/>
    <w:next w:val="1"/>
    <w:link w:val="16"/>
    <w:qFormat/>
    <w:uiPriority w:val="0"/>
    <w:pPr>
      <w:ind w:left="100" w:leftChars="2500"/>
    </w:pPr>
  </w:style>
  <w:style w:type="paragraph" w:styleId="8">
    <w:name w:val="footer"/>
    <w:basedOn w:val="1"/>
    <w:qFormat/>
    <w:uiPriority w:val="0"/>
    <w:pPr>
      <w:tabs>
        <w:tab w:val="center" w:pos="4153"/>
        <w:tab w:val="right" w:pos="8306"/>
      </w:tabs>
      <w:snapToGrid w:val="0"/>
      <w:jc w:val="left"/>
    </w:pPr>
    <w:rPr>
      <w:rFonts w:eastAsia="宋体"/>
      <w:sz w:val="28"/>
    </w:rPr>
  </w:style>
  <w:style w:type="paragraph" w:styleId="9">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kern w:val="0"/>
    </w:rPr>
  </w:style>
  <w:style w:type="character" w:customStyle="1" w:styleId="13">
    <w:name w:val="页眉 Char"/>
    <w:basedOn w:val="12"/>
    <w:link w:val="9"/>
    <w:qFormat/>
    <w:uiPriority w:val="0"/>
    <w:rPr>
      <w:rFonts w:eastAsia="方正仿宋_GBK"/>
      <w:kern w:val="2"/>
      <w:sz w:val="18"/>
      <w:szCs w:val="18"/>
    </w:rPr>
  </w:style>
  <w:style w:type="paragraph" w:customStyle="1" w:styleId="14">
    <w:name w:val="索引 61"/>
    <w:basedOn w:val="1"/>
    <w:next w:val="1"/>
    <w:uiPriority w:val="0"/>
    <w:pPr>
      <w:spacing w:before="100" w:beforeAutospacing="1" w:after="100" w:afterAutospacing="1"/>
      <w:ind w:left="2100"/>
    </w:pPr>
    <w:rPr>
      <w:rFonts w:eastAsia="宋体"/>
      <w:sz w:val="21"/>
      <w:szCs w:val="21"/>
    </w:rPr>
  </w:style>
  <w:style w:type="paragraph" w:styleId="15">
    <w:name w:val="List Paragraph"/>
    <w:basedOn w:val="1"/>
    <w:unhideWhenUsed/>
    <w:qFormat/>
    <w:uiPriority w:val="99"/>
    <w:pPr>
      <w:ind w:firstLine="420" w:firstLineChars="200"/>
    </w:pPr>
  </w:style>
  <w:style w:type="character" w:customStyle="1" w:styleId="16">
    <w:name w:val="日期 Char"/>
    <w:basedOn w:val="12"/>
    <w:link w:val="7"/>
    <w:qFormat/>
    <w:uiPriority w:val="0"/>
    <w:rPr>
      <w:rFonts w:eastAsia="方正仿宋_GBK"/>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3F317A-6EDA-44AA-B8CB-7AAC648CDFD1}">
  <ds:schemaRefs/>
</ds:datastoreItem>
</file>

<file path=docProps/app.xml><?xml version="1.0" encoding="utf-8"?>
<Properties xmlns="http://schemas.openxmlformats.org/officeDocument/2006/extended-properties" xmlns:vt="http://schemas.openxmlformats.org/officeDocument/2006/docPropsVTypes">
  <Template>Normal</Template>
  <Pages>7</Pages>
  <Words>3395</Words>
  <Characters>284</Characters>
  <Lines>2</Lines>
  <Paragraphs>7</Paragraphs>
  <TotalTime>1338</TotalTime>
  <ScaleCrop>false</ScaleCrop>
  <LinksUpToDate>false</LinksUpToDate>
  <CharactersWithSpaces>3672</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2024-12-16T09:34:00Z</dcterms:created>
  <dc:creator>却有晴</dc:creator>
  <cp:lastModifiedBy>Administrator</cp:lastModifiedBy>
  <cp:lastPrinted>2025-01-06T01:21:00Z</cp:lastPrinted>
  <dcterms:modified xsi:type="dcterms:W3CDTF">2025-01-14T06:55:18Z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D8C6693E06DF4EE08DC2075392EDA266</vt:lpwstr>
  </property>
</Properties>
</file>