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eastAsia="方正小标宋_GBK"/>
          <w:sz w:val="44"/>
          <w:szCs w:val="44"/>
        </w:rPr>
      </w:pPr>
      <w:r>
        <w:rPr>
          <w:rFonts w:eastAsia="方正小标宋_GBK"/>
          <w:sz w:val="44"/>
          <w:szCs w:val="44"/>
        </w:rPr>
        <w:t>重庆市万州区双河口街道办事处</w:t>
      </w:r>
    </w:p>
    <w:p>
      <w:pPr>
        <w:snapToGrid w:val="0"/>
        <w:spacing w:line="600" w:lineRule="exact"/>
        <w:jc w:val="center"/>
        <w:rPr>
          <w:rFonts w:eastAsia="方正小标宋_GBK"/>
          <w:sz w:val="44"/>
          <w:szCs w:val="44"/>
        </w:rPr>
      </w:pPr>
      <w:r>
        <w:rPr>
          <w:rFonts w:eastAsia="方正小标宋_GBK"/>
          <w:sz w:val="44"/>
          <w:szCs w:val="44"/>
        </w:rPr>
        <w:t>关于2023年法治政府建设情况的报告</w:t>
      </w:r>
    </w:p>
    <w:p>
      <w:pPr>
        <w:pStyle w:val="2"/>
        <w:spacing w:line="600" w:lineRule="exact"/>
      </w:pPr>
    </w:p>
    <w:p>
      <w:pPr>
        <w:spacing w:line="600" w:lineRule="exact"/>
        <w:ind w:firstLine="640" w:firstLineChars="200"/>
        <w:rPr>
          <w:rFonts w:eastAsia="方正仿宋_GBK"/>
          <w:color w:val="000000"/>
          <w:kern w:val="0"/>
          <w:sz w:val="32"/>
          <w:szCs w:val="32"/>
        </w:rPr>
      </w:pPr>
      <w:r>
        <w:rPr>
          <w:rFonts w:eastAsia="方正仿宋_GBK"/>
          <w:color w:val="000000"/>
          <w:kern w:val="0"/>
          <w:sz w:val="32"/>
          <w:szCs w:val="32"/>
        </w:rPr>
        <w:t>现将双河口街道2023年法治政府建设情况报告如下：</w:t>
      </w:r>
    </w:p>
    <w:p>
      <w:pPr>
        <w:spacing w:line="600" w:lineRule="exact"/>
        <w:ind w:firstLine="640" w:firstLineChars="200"/>
        <w:rPr>
          <w:rFonts w:eastAsia="方正黑体_GBK"/>
          <w:color w:val="000000"/>
          <w:kern w:val="0"/>
          <w:sz w:val="32"/>
          <w:szCs w:val="32"/>
        </w:rPr>
      </w:pPr>
      <w:r>
        <w:rPr>
          <w:rFonts w:eastAsia="方正黑体_GBK"/>
          <w:color w:val="000000"/>
          <w:kern w:val="0"/>
          <w:sz w:val="32"/>
          <w:szCs w:val="32"/>
        </w:rPr>
        <w:t>一、2023年推进法治政府建设的主要举措和成效</w:t>
      </w:r>
    </w:p>
    <w:p>
      <w:pPr>
        <w:autoSpaceDE w:val="0"/>
        <w:spacing w:line="600" w:lineRule="exact"/>
        <w:ind w:firstLine="640" w:firstLineChars="200"/>
        <w:rPr>
          <w:rFonts w:eastAsia="方正楷体_GBK"/>
          <w:kern w:val="0"/>
          <w:sz w:val="32"/>
          <w:szCs w:val="32"/>
        </w:rPr>
      </w:pPr>
      <w:r>
        <w:rPr>
          <w:rFonts w:eastAsia="方正楷体_GBK"/>
          <w:kern w:val="0"/>
          <w:sz w:val="32"/>
          <w:szCs w:val="32"/>
        </w:rPr>
        <w:t>（一）深入学习贯彻党的二十大精神，引领和推动法治政府建设全面突破</w:t>
      </w:r>
    </w:p>
    <w:p>
      <w:pPr>
        <w:widowControl/>
        <w:autoSpaceDE w:val="0"/>
        <w:spacing w:line="600" w:lineRule="exact"/>
        <w:ind w:firstLine="640" w:firstLineChars="200"/>
        <w:jc w:val="left"/>
        <w:rPr>
          <w:rFonts w:eastAsia="方正仿宋_GBK"/>
          <w:sz w:val="32"/>
          <w:szCs w:val="32"/>
        </w:rPr>
      </w:pPr>
      <w:r>
        <w:rPr>
          <w:rFonts w:eastAsia="方正仿宋_GBK"/>
          <w:sz w:val="32"/>
          <w:szCs w:val="32"/>
        </w:rPr>
        <w:t>始终将学习宣传贯彻习近平法治思想与党的二十大精神和学习贯彻习近平新时代中国特色社会主义思想主题教育结合起来，全面深入推进法治政府建设。一是提升政治能力。强化把好思想认识的“总开关”，扎实开展学习贯彻习近平新时代中国特色社会主义思想主题教育，举办读书班7天，专题讨论3次，发放学习资料988份，开展流动党员微信推送学92人次，行动不便老党员上门送学51人次，领导干部上党课16人次。全年开展理论学习中心组学习13次，班子成员交流发言35人次。二是提升思维能力。印制《民法典》、《反有组织犯罪法》、《信访法治化》等法治宣传资料6万份、宣传标语120幅、宣传画贴2000张，设置固定宣传栏15处，开展院坝会、进校园宣讲等近100 场，引导广大干部群众尊法、学法、守法、用法。三是提升实践能力。扎实开展调查研究，践行“四下基层”，提出调研成果转化运用事项12项，办理主题教育民生事项4件，收集党员建言献策64条，设立红岩党员示范岗54个，划分党员责任区75个，成立党员突击队32支。积极选树先进典型，</w:t>
      </w:r>
      <w:r>
        <w:rPr>
          <w:rFonts w:hint="eastAsia" w:eastAsia="方正仿宋_GBK"/>
          <w:sz w:val="32"/>
          <w:szCs w:val="32"/>
        </w:rPr>
        <w:t>获评</w:t>
      </w:r>
      <w:r>
        <w:rPr>
          <w:rFonts w:eastAsia="方正仿宋_GBK"/>
          <w:sz w:val="32"/>
          <w:szCs w:val="32"/>
        </w:rPr>
        <w:t>全区最美志愿服务社区1个，最美志愿组织1个，书香社区1个，万州好人1人。迎接主题教育中央第八指导组调研工作2次，市巡回指导组调研督导工作2次。</w:t>
      </w:r>
    </w:p>
    <w:p>
      <w:pPr>
        <w:autoSpaceDE w:val="0"/>
        <w:spacing w:line="600" w:lineRule="exact"/>
        <w:ind w:firstLine="640" w:firstLineChars="200"/>
        <w:rPr>
          <w:rFonts w:eastAsia="方正楷体_GBK"/>
          <w:kern w:val="0"/>
          <w:sz w:val="32"/>
          <w:szCs w:val="32"/>
        </w:rPr>
      </w:pPr>
      <w:r>
        <w:rPr>
          <w:rFonts w:eastAsia="方正楷体_GBK"/>
          <w:kern w:val="0"/>
          <w:sz w:val="32"/>
          <w:szCs w:val="32"/>
        </w:rPr>
        <w:t>（二）法治护航重大战略有序推进，营造一流法治化营商环境</w:t>
      </w:r>
    </w:p>
    <w:p>
      <w:pPr>
        <w:autoSpaceDE w:val="0"/>
        <w:spacing w:line="600" w:lineRule="exact"/>
        <w:ind w:firstLine="640" w:firstLineChars="200"/>
        <w:rPr>
          <w:rFonts w:eastAsia="方正黑体_GBK"/>
          <w:kern w:val="0"/>
          <w:sz w:val="32"/>
          <w:szCs w:val="32"/>
        </w:rPr>
      </w:pPr>
      <w:r>
        <w:rPr>
          <w:rFonts w:eastAsia="方正仿宋_GBK"/>
          <w:kern w:val="0"/>
          <w:sz w:val="32"/>
          <w:szCs w:val="32"/>
        </w:rPr>
        <w:t>深度融入成渝地区双城经济圈建设和全市“一区两群”协调发展，全面落实全市推动成渝地区双城经济圈建设“十项行动”，优化提升政务环境、法治环境、市场环境、创新环境，</w:t>
      </w:r>
      <w:r>
        <w:rPr>
          <w:rFonts w:eastAsia="方正仿宋_GBK"/>
          <w:sz w:val="32"/>
          <w:szCs w:val="32"/>
        </w:rPr>
        <w:t>探索推进“党建+网格”服务模式，将辖区市场主体纳入</w:t>
      </w:r>
      <w:r>
        <w:rPr>
          <w:rFonts w:hint="eastAsia" w:eastAsia="方正仿宋_GBK"/>
          <w:sz w:val="32"/>
          <w:szCs w:val="32"/>
        </w:rPr>
        <w:t>15</w:t>
      </w:r>
      <w:r>
        <w:rPr>
          <w:rFonts w:eastAsia="方正仿宋_GBK"/>
          <w:sz w:val="32"/>
          <w:szCs w:val="32"/>
        </w:rPr>
        <w:t>个片区、</w:t>
      </w:r>
      <w:r>
        <w:rPr>
          <w:rFonts w:hint="eastAsia" w:eastAsia="方正仿宋_GBK"/>
          <w:sz w:val="32"/>
          <w:szCs w:val="32"/>
        </w:rPr>
        <w:t>59</w:t>
      </w:r>
      <w:r>
        <w:rPr>
          <w:rFonts w:eastAsia="方正仿宋_GBK"/>
          <w:sz w:val="32"/>
          <w:szCs w:val="32"/>
        </w:rPr>
        <w:t>个网格，设立企业专属网格，建立网格企业服务群，实现线上线下“双网”服务。有序推进“商铺工作日”“联席会议制”等，</w:t>
      </w:r>
      <w:r>
        <w:rPr>
          <w:rFonts w:hint="eastAsia" w:eastAsia="方正仿宋_GBK"/>
          <w:sz w:val="32"/>
          <w:szCs w:val="32"/>
        </w:rPr>
        <w:t>完善切韵服务专员和“四到”服务机制，</w:t>
      </w:r>
      <w:r>
        <w:rPr>
          <w:rFonts w:eastAsia="方正仿宋_GBK"/>
          <w:sz w:val="32"/>
          <w:szCs w:val="32"/>
        </w:rPr>
        <w:t>走访市场主体200余次，协调解决困难问题54件。全年接待外来企业项目考察50人次，入驻企业10家，招商引资签约落地项目1个，总投资502万元。全年新登记市场主体509户，同比增长15.7%，市场主体累计达6426户。其中企业1254户、个体工商户5172户。</w:t>
      </w:r>
      <w:r>
        <w:rPr>
          <w:rFonts w:eastAsia="方正仿宋_GBK"/>
          <w:kern w:val="0"/>
          <w:sz w:val="32"/>
          <w:szCs w:val="32"/>
        </w:rPr>
        <w:t>持续深化“放管服”改革，完成街道公共服务大厅、村社区便民服务中心规范化建设。</w:t>
      </w:r>
      <w:r>
        <w:rPr>
          <w:rFonts w:eastAsia="方正仿宋_GBK"/>
          <w:iCs/>
          <w:sz w:val="32"/>
          <w:szCs w:val="32"/>
        </w:rPr>
        <w:t>开展“富民贷”“愉快助农贷”，累计办理小额信贷34户62.2万元；申报“雨露计划”1人，争取补助3000元。</w:t>
      </w:r>
    </w:p>
    <w:p>
      <w:pPr>
        <w:autoSpaceDE w:val="0"/>
        <w:spacing w:line="600" w:lineRule="exact"/>
        <w:ind w:firstLine="640" w:firstLineChars="200"/>
        <w:rPr>
          <w:rFonts w:eastAsia="方正楷体_GBK"/>
          <w:kern w:val="0"/>
          <w:sz w:val="32"/>
          <w:szCs w:val="32"/>
        </w:rPr>
      </w:pPr>
      <w:r>
        <w:rPr>
          <w:rFonts w:eastAsia="方正楷体_GBK"/>
          <w:kern w:val="0"/>
          <w:sz w:val="32"/>
          <w:szCs w:val="32"/>
        </w:rPr>
        <w:t>（三）提升行政规范性文件质量，健全依法行政制度体系</w:t>
      </w:r>
    </w:p>
    <w:p>
      <w:pPr>
        <w:autoSpaceDE w:val="0"/>
        <w:spacing w:line="600" w:lineRule="exact"/>
        <w:ind w:firstLine="640" w:firstLineChars="200"/>
        <w:rPr>
          <w:rFonts w:eastAsia="方正仿宋_GBK"/>
          <w:kern w:val="0"/>
          <w:sz w:val="32"/>
          <w:szCs w:val="32"/>
        </w:rPr>
      </w:pPr>
      <w:r>
        <w:rPr>
          <w:rFonts w:eastAsia="方正仿宋_GBK"/>
          <w:sz w:val="32"/>
          <w:szCs w:val="32"/>
        </w:rPr>
        <w:t>严格执行《万州区行政规范性文件管理办法》（万州府发〔2020〕5号），健全行政规范性文件合法性审核机制，开展评估和监督检查，合法性审查率100%。加强行政规范性文件监督管理，压实科室依法制定行政规范性文件主体责任，</w:t>
      </w:r>
      <w:r>
        <w:rPr>
          <w:rFonts w:eastAsia="方正仿宋_GBK"/>
          <w:kern w:val="0"/>
          <w:sz w:val="32"/>
          <w:szCs w:val="32"/>
        </w:rPr>
        <w:t>健全动态清理与定期处置相结合的行政规范性文件清理机制。</w:t>
      </w:r>
    </w:p>
    <w:p>
      <w:pPr>
        <w:autoSpaceDE w:val="0"/>
        <w:spacing w:line="600" w:lineRule="exact"/>
        <w:ind w:firstLine="640" w:firstLineChars="200"/>
        <w:rPr>
          <w:rFonts w:eastAsia="方正楷体_GBK"/>
          <w:kern w:val="0"/>
          <w:sz w:val="32"/>
          <w:szCs w:val="32"/>
        </w:rPr>
      </w:pPr>
      <w:r>
        <w:rPr>
          <w:rFonts w:eastAsia="方正楷体_GBK"/>
          <w:kern w:val="0"/>
          <w:sz w:val="32"/>
          <w:szCs w:val="32"/>
        </w:rPr>
        <w:t>（四）从源头规范行政决策体系，提升科学化民主化法治化水平</w:t>
      </w:r>
    </w:p>
    <w:p>
      <w:pPr>
        <w:spacing w:line="600" w:lineRule="exact"/>
        <w:ind w:firstLine="640" w:firstLineChars="200"/>
        <w:rPr>
          <w:rFonts w:eastAsia="方正仿宋_GBK"/>
          <w:sz w:val="32"/>
          <w:szCs w:val="32"/>
        </w:rPr>
      </w:pPr>
      <w:r>
        <w:rPr>
          <w:rFonts w:eastAsia="方正仿宋_GBK"/>
          <w:sz w:val="32"/>
          <w:szCs w:val="32"/>
        </w:rPr>
        <w:t>严格落实《重大行政决策程序暂行条例》，严格执行《双河口街道“三重一大”制度》，实行重大行政决策集体讨论制度和重大行政决策公开制度。同时，聘请法律顾问和财务顾问，在依法决策中充分发挥专业作用，推进重大行政决策能力提升。</w:t>
      </w:r>
      <w:r>
        <w:rPr>
          <w:rFonts w:eastAsia="方正仿宋_GBK"/>
          <w:kern w:val="0"/>
          <w:sz w:val="32"/>
          <w:szCs w:val="32"/>
        </w:rPr>
        <w:t>加强领导干部法治教育，严格落实领导干部和国家工作人员法治理论知识考试、旁听庭审等制度，提高领导干部依法行政决策能力。</w:t>
      </w:r>
    </w:p>
    <w:p>
      <w:pPr>
        <w:autoSpaceDE w:val="0"/>
        <w:spacing w:line="600" w:lineRule="exact"/>
        <w:ind w:firstLine="640" w:firstLineChars="200"/>
        <w:rPr>
          <w:rFonts w:eastAsia="方正楷体_GBK"/>
          <w:kern w:val="0"/>
          <w:sz w:val="32"/>
          <w:szCs w:val="32"/>
        </w:rPr>
      </w:pPr>
      <w:r>
        <w:rPr>
          <w:rFonts w:eastAsia="方正楷体_GBK"/>
          <w:kern w:val="0"/>
          <w:sz w:val="32"/>
          <w:szCs w:val="32"/>
        </w:rPr>
        <w:t>（五）以综合行政执法改革为突破口，加快推进行政执法方式重塑变革</w:t>
      </w:r>
    </w:p>
    <w:p>
      <w:pPr>
        <w:autoSpaceDE w:val="0"/>
        <w:spacing w:line="600" w:lineRule="exact"/>
        <w:ind w:firstLine="640" w:firstLineChars="200"/>
        <w:rPr>
          <w:rFonts w:eastAsia="仿宋"/>
          <w:sz w:val="32"/>
          <w:szCs w:val="32"/>
        </w:rPr>
      </w:pPr>
      <w:r>
        <w:rPr>
          <w:rFonts w:eastAsia="方正仿宋_GBK"/>
          <w:kern w:val="0"/>
          <w:sz w:val="32"/>
          <w:szCs w:val="32"/>
        </w:rPr>
        <w:t>一是深化综合执法改革。深化“一支队伍管执法”，充实街道综合行政执法力量，常态化配备6名执法人员，着力构建“法定执法+赋权执法+派驻执法”的综合行政执法模式。建立综合行政执法联席会议制度，</w:t>
      </w:r>
      <w:r>
        <w:rPr>
          <w:rFonts w:hint="eastAsia" w:eastAsia="方正仿宋_GBK"/>
          <w:kern w:val="0"/>
          <w:sz w:val="32"/>
          <w:szCs w:val="32"/>
        </w:rPr>
        <w:t>统筹各执法主体，实行涉企检查“只进一次门，各查多项事”，减轻企业负担</w:t>
      </w:r>
      <w:r>
        <w:rPr>
          <w:rFonts w:eastAsia="方正仿宋_GBK"/>
          <w:kern w:val="0"/>
          <w:sz w:val="32"/>
          <w:szCs w:val="32"/>
        </w:rPr>
        <w:t>。二是完善行政执法程序。全面严格落实行政执法公示、执法全过程记录、重大执法决定法制审核制度。落实“日周月”执法检查要求，在重要时段、重要节点加密执法检查频次，开展安全生产联合行政执</w:t>
      </w:r>
      <w:r>
        <w:rPr>
          <w:rFonts w:eastAsia="仿宋"/>
          <w:sz w:val="32"/>
          <w:szCs w:val="32"/>
        </w:rPr>
        <w:t>法检查21次，常态化检查企业安全生产、农村道路交通安全检查28次。2023年，发现辖区企业安全隐患353起，现场及限期整改353起；送达现场检查记录148份、现场处理决定书4份、责令限期整改指令书97份、整改复查意见书93份、行政处罚决定书17份，罚款8160元。</w:t>
      </w:r>
      <w:r>
        <w:rPr>
          <w:rFonts w:eastAsia="方正仿宋_GBK"/>
          <w:kern w:val="0"/>
          <w:sz w:val="32"/>
          <w:szCs w:val="32"/>
        </w:rPr>
        <w:t>三是加强行政执法监督。扎实推进行政执法协调监督体系建设，加强行政执法监督队伍建设。深入实施行政执法“闭环监督”制度，发挥第三方公众参与监督作用，探索建立“专业化+网格化”行政执法监督员等制度。强化行政执法人员管理，探索开展情景式行政执法培训，提高行政执法能力。</w:t>
      </w:r>
    </w:p>
    <w:p>
      <w:pPr>
        <w:autoSpaceDE w:val="0"/>
        <w:spacing w:line="600" w:lineRule="exact"/>
        <w:ind w:firstLine="640" w:firstLineChars="200"/>
        <w:rPr>
          <w:rFonts w:eastAsia="方正楷体_GBK"/>
          <w:kern w:val="0"/>
          <w:sz w:val="32"/>
          <w:szCs w:val="32"/>
        </w:rPr>
      </w:pPr>
      <w:r>
        <w:rPr>
          <w:rFonts w:eastAsia="方正楷体_GBK"/>
          <w:kern w:val="0"/>
          <w:sz w:val="32"/>
          <w:szCs w:val="32"/>
        </w:rPr>
        <w:t>（六）健全监督制约体系，确保行政权力运行规范透明高效</w:t>
      </w:r>
    </w:p>
    <w:p>
      <w:pPr>
        <w:autoSpaceDE w:val="0"/>
        <w:spacing w:line="600" w:lineRule="exact"/>
        <w:ind w:firstLine="640" w:firstLineChars="200"/>
        <w:rPr>
          <w:rFonts w:eastAsia="方正仿宋_GBK"/>
          <w:sz w:val="32"/>
          <w:szCs w:val="32"/>
        </w:rPr>
      </w:pPr>
      <w:r>
        <w:rPr>
          <w:rFonts w:eastAsia="方正仿宋_GBK"/>
          <w:sz w:val="32"/>
          <w:szCs w:val="32"/>
        </w:rPr>
        <w:t>严格落实重大事项请示报告制度，主动接受街道人大工委、纪工委的法律监督、工作监督和社会各界民主监督。严格依法依规履行责任，围绕“141”体系建设，全面梳理核心业务和权力事项，坚持依法依规履行各项权责，进一步推进政务诚信建设，确保行政权力事项全面、真实、合法、有效。全年未发生行政复议和行政应诉。认真执行党务政务公开制度，及时将政府信息公开年报以及涉及群众切身利益的相关情况在政务公开栏、政府信息平台公布，自觉接受各方面监督。完善街道公共服务大厅政务公开专区，放置各项惠民宣传手册。设置街道信息公示栏，及时更新发布政府信息。督促指导各村居及时在“四务”公开栏中更新发布村居务信息。全年通过政府门户网站、公开公示栏等形式，主动及时公开政府信息336条。</w:t>
      </w:r>
    </w:p>
    <w:p>
      <w:pPr>
        <w:autoSpaceDE w:val="0"/>
        <w:spacing w:line="600" w:lineRule="exact"/>
        <w:ind w:firstLine="640" w:firstLineChars="200"/>
        <w:rPr>
          <w:rFonts w:eastAsia="方正楷体_GBK"/>
          <w:kern w:val="0"/>
          <w:sz w:val="32"/>
          <w:szCs w:val="32"/>
        </w:rPr>
      </w:pPr>
      <w:r>
        <w:rPr>
          <w:rFonts w:eastAsia="方正楷体_GBK"/>
          <w:kern w:val="0"/>
          <w:sz w:val="32"/>
          <w:szCs w:val="32"/>
        </w:rPr>
        <w:t>（七）依法高效化解社会矛盾纠纷，构建社会治理法治化格局</w:t>
      </w:r>
    </w:p>
    <w:p>
      <w:pPr>
        <w:spacing w:line="600" w:lineRule="exact"/>
        <w:rPr>
          <w:rFonts w:eastAsia="方正仿宋_GBK"/>
          <w:sz w:val="32"/>
          <w:szCs w:val="32"/>
        </w:rPr>
      </w:pPr>
      <w:r>
        <w:rPr>
          <w:rFonts w:eastAsia="方正仿宋_GBK"/>
          <w:sz w:val="32"/>
          <w:szCs w:val="32"/>
        </w:rPr>
        <w:t>深入践行“枫桥经验”，扎实开展社会矛盾纠纷化解处置攻坚战、信访突出问题化解攻坚战和主题教育信访突出问题专项整治、“除险清患攻坚季”专项行动，深入开展信访矛盾纠纷排查调处化解工作。矛盾纠纷排查化解工作做到随排查随化解，做到矛盾不积累、不上行，将矛盾化解在基层。认真开展领导干部接访活动，确保每日有一名领导干部到信访接待室接访群众，深入开展大下访活动，了解民情、维护民利，切实将问题解决在基层，消除在萌芽状态。全年</w:t>
      </w:r>
      <w:r>
        <w:rPr>
          <w:rFonts w:eastAsia="方正仿宋_GBK"/>
          <w:kern w:val="44"/>
          <w:sz w:val="32"/>
          <w:szCs w:val="32"/>
        </w:rPr>
        <w:t>共排查矛盾纠纷374件，化解完结353件，化解率94.4%。</w:t>
      </w:r>
      <w:r>
        <w:rPr>
          <w:rFonts w:eastAsia="方正仿宋_GBK"/>
          <w:sz w:val="32"/>
          <w:szCs w:val="32"/>
        </w:rPr>
        <w:t>印发《关于进一步做好信访矛盾排查化解管控工作的通知》、《双河口街道开展矛盾纠纷排查专项行动实施方案》、《双河口街道信访稳定工作长效机制》，在辖区不间断开展矛盾纠纷排查化解工作，及时消除矛盾纠纷引发的风险隐患，切实提升信访工作法治化效能。</w:t>
      </w:r>
    </w:p>
    <w:p>
      <w:pPr>
        <w:spacing w:line="600" w:lineRule="exact"/>
        <w:ind w:firstLine="640" w:firstLineChars="200"/>
        <w:rPr>
          <w:rFonts w:eastAsia="方正黑体_GBK"/>
          <w:color w:val="000000"/>
          <w:kern w:val="0"/>
          <w:sz w:val="32"/>
          <w:szCs w:val="32"/>
        </w:rPr>
      </w:pPr>
      <w:r>
        <w:rPr>
          <w:rFonts w:eastAsia="方正黑体_GBK"/>
          <w:color w:val="000000"/>
          <w:kern w:val="0"/>
          <w:sz w:val="32"/>
          <w:szCs w:val="32"/>
        </w:rPr>
        <w:t>二、2023年党政主要负责人履行推进法治建设第一责任人职责，加强法治政府建设的有关情况</w:t>
      </w:r>
    </w:p>
    <w:p>
      <w:pPr>
        <w:spacing w:line="600" w:lineRule="exact"/>
        <w:ind w:firstLine="640" w:firstLineChars="200"/>
        <w:rPr>
          <w:rFonts w:eastAsia="方正仿宋_GBK"/>
          <w:sz w:val="32"/>
          <w:szCs w:val="32"/>
        </w:rPr>
      </w:pPr>
      <w:r>
        <w:rPr>
          <w:rFonts w:eastAsia="方正仿宋_GBK"/>
          <w:sz w:val="32"/>
          <w:szCs w:val="32"/>
        </w:rPr>
        <w:t>街道党政主要负责人严格履行推进法治建设第一责任人职责，认真贯彻落实党中央、国务院关于法治政府建设的决策部署，将建设法治政府摆在工作的重要位置来抓。</w:t>
      </w:r>
    </w:p>
    <w:p>
      <w:pPr>
        <w:spacing w:line="600" w:lineRule="exact"/>
        <w:rPr>
          <w:rFonts w:eastAsia="方正仿宋_GBK"/>
          <w:sz w:val="32"/>
          <w:szCs w:val="32"/>
        </w:rPr>
      </w:pPr>
      <w:r>
        <w:rPr>
          <w:rFonts w:eastAsia="方正楷体_GBK"/>
          <w:sz w:val="32"/>
          <w:szCs w:val="32"/>
        </w:rPr>
        <w:t>一是带头学法普法。</w:t>
      </w:r>
      <w:r>
        <w:rPr>
          <w:rFonts w:eastAsia="方正仿宋_GBK"/>
          <w:sz w:val="32"/>
          <w:szCs w:val="32"/>
        </w:rPr>
        <w:t>利用党工委理论学习中心组、“学习强国”学习平台、普法专题讲座等形式，深入学习习近平总书记关于全面依法治国和全面从严治党的重要论述、党内监督条例等党纪国法。组织村（社区）书记、机关干部到巫山下庄村开展廉政教育暨乡村振兴学习活动1次，观看警示教育片2次，上法治党课5次，开展“以案四说”促“以案四改”警示教育5次。积极参加法治理论考试，上报庭审旁听心得体会1篇。</w:t>
      </w:r>
    </w:p>
    <w:p>
      <w:pPr>
        <w:autoSpaceDE w:val="0"/>
        <w:spacing w:line="600" w:lineRule="exact"/>
        <w:ind w:firstLine="640" w:firstLineChars="200"/>
        <w:rPr>
          <w:rFonts w:eastAsia="方正仿宋_GBK"/>
          <w:sz w:val="32"/>
          <w:szCs w:val="32"/>
        </w:rPr>
      </w:pPr>
      <w:r>
        <w:rPr>
          <w:rFonts w:eastAsia="方正楷体_GBK"/>
          <w:sz w:val="32"/>
          <w:szCs w:val="32"/>
        </w:rPr>
        <w:t>二是完善机制体制。</w:t>
      </w:r>
      <w:r>
        <w:rPr>
          <w:rFonts w:eastAsia="方正仿宋_GBK"/>
          <w:sz w:val="32"/>
          <w:szCs w:val="32"/>
        </w:rPr>
        <w:t>围绕党建统领“885”，理顺街道“141”工作体系，构建街道、村社上下贯通、协同互动的基层治理指挥中心，整合科室业务职能，设置专业岗位，按照“V模型”方法，梳理核心业务12个，上报“生存验证”一件事场景，明确多跨协同事项8个，畅通条抓块统运行机制。织密缝细网格，动态调整为15个片区，59个居民网格、10个专属网格、30个院落。统筹退役军人专岗、党员骨干、公益性岗位、夜巡人员，配齐配强“5+3+N”网格队伍。拓展 “N”的架构，打造“红丝带”志愿服务品牌，开展“三官一律”进社区，在19个三无小区建立58个自治小组，全面提升基层自治能力和水平。</w:t>
      </w:r>
    </w:p>
    <w:p>
      <w:pPr>
        <w:spacing w:line="600" w:lineRule="exact"/>
        <w:rPr>
          <w:rFonts w:eastAsia="方正楷体_GBK"/>
          <w:sz w:val="32"/>
          <w:szCs w:val="32"/>
        </w:rPr>
      </w:pPr>
      <w:r>
        <w:rPr>
          <w:rFonts w:eastAsia="方正楷体_GBK"/>
          <w:sz w:val="32"/>
          <w:szCs w:val="32"/>
        </w:rPr>
        <w:t>三是全面贯彻落实。</w:t>
      </w:r>
      <w:r>
        <w:rPr>
          <w:rFonts w:eastAsia="方正仿宋_GBK"/>
          <w:sz w:val="32"/>
          <w:szCs w:val="32"/>
        </w:rPr>
        <w:t>注重发挥党工委“总揽全局、协调各方”的核心作用，支持人大、政府依法履职、开展工作、主动作为。坚持“三重一大”民主决策，凡重大问题决策一律提交班子会议研究讨论，推动行政决策民主化、科学化。强化政府领域法治建设，注重科学决策、民主决策、依法决策，对重大行政决策事项严格把关，集体讨论决定。重点时段、重要节点召开专题会议，研究部署阶段性法治工作，切实增强法治工作责任感、紧迫感，着力提升依法行政工作水平。</w:t>
      </w:r>
    </w:p>
    <w:p>
      <w:pPr>
        <w:spacing w:line="600" w:lineRule="exact"/>
        <w:ind w:firstLine="640" w:firstLineChars="200"/>
        <w:rPr>
          <w:rFonts w:eastAsia="方正黑体_GBK"/>
          <w:color w:val="000000"/>
          <w:kern w:val="0"/>
          <w:sz w:val="32"/>
          <w:szCs w:val="32"/>
        </w:rPr>
      </w:pPr>
      <w:r>
        <w:rPr>
          <w:rFonts w:eastAsia="方正黑体_GBK"/>
          <w:color w:val="000000"/>
          <w:kern w:val="0"/>
          <w:sz w:val="32"/>
          <w:szCs w:val="32"/>
        </w:rPr>
        <w:t>三、2023年推进法治政府建设存在的不足和原因</w:t>
      </w:r>
    </w:p>
    <w:p>
      <w:pPr>
        <w:spacing w:line="600" w:lineRule="exact"/>
        <w:ind w:firstLine="640" w:firstLineChars="200"/>
        <w:rPr>
          <w:rFonts w:eastAsia="方正仿宋_GBK"/>
          <w:sz w:val="32"/>
          <w:szCs w:val="32"/>
        </w:rPr>
      </w:pPr>
      <w:r>
        <w:rPr>
          <w:rFonts w:eastAsia="方正仿宋_GBK"/>
          <w:sz w:val="32"/>
          <w:szCs w:val="32"/>
        </w:rPr>
        <w:t>2023年度，虽然街道在开展法治政府建设工作中取得了一定的成绩，但仍存在以下主要问题：一是法治政府建设的认识有待提高。个别机关干部对法治政府建设的认识不到位，多注重日常事务性工作，对法治理论学习不持续、不深入。二是执法队伍的专业性有待提高。随着上级部门行政执法权</w:t>
      </w:r>
      <w:r>
        <w:rPr>
          <w:rFonts w:hint="eastAsia" w:eastAsia="方正仿宋_GBK"/>
          <w:sz w:val="32"/>
          <w:szCs w:val="32"/>
          <w:lang w:eastAsia="zh-CN"/>
        </w:rPr>
        <w:t>力</w:t>
      </w:r>
      <w:r>
        <w:rPr>
          <w:rFonts w:eastAsia="方正仿宋_GBK"/>
          <w:sz w:val="32"/>
          <w:szCs w:val="32"/>
        </w:rPr>
        <w:t>不断下放，对基层执法人员的法治意识、法律知识、执法能力相关要求不断增强。三是全民法治氛围的营造有待提高。法律法规、方针政策的宣传宣讲形式比较单一，居民群众法治意识还有待提高。</w:t>
      </w:r>
    </w:p>
    <w:p>
      <w:pPr>
        <w:spacing w:line="600" w:lineRule="exact"/>
        <w:ind w:firstLine="640" w:firstLineChars="200"/>
        <w:rPr>
          <w:rFonts w:eastAsia="方正黑体_GBK"/>
          <w:sz w:val="32"/>
          <w:szCs w:val="32"/>
        </w:rPr>
      </w:pPr>
      <w:r>
        <w:rPr>
          <w:rFonts w:eastAsia="方正黑体_GBK"/>
          <w:sz w:val="32"/>
          <w:szCs w:val="32"/>
        </w:rPr>
        <w:t>四、2024年推进法治政府建设的主要安排</w:t>
      </w:r>
    </w:p>
    <w:p>
      <w:pPr>
        <w:spacing w:line="600" w:lineRule="exact"/>
        <w:ind w:firstLine="640" w:firstLineChars="200"/>
        <w:rPr>
          <w:rFonts w:eastAsia="方正仿宋_GBK"/>
          <w:sz w:val="32"/>
          <w:szCs w:val="32"/>
        </w:rPr>
      </w:pPr>
      <w:r>
        <w:rPr>
          <w:rFonts w:eastAsia="方正楷体_GBK"/>
          <w:sz w:val="32"/>
          <w:szCs w:val="32"/>
        </w:rPr>
        <w:t>一是强化统筹协调，推进“一门执法”。</w:t>
      </w:r>
      <w:r>
        <w:rPr>
          <w:rFonts w:eastAsia="方正仿宋_GBK"/>
          <w:sz w:val="32"/>
          <w:szCs w:val="32"/>
        </w:rPr>
        <w:t>按照“一支队伍管执法”的要求，统筹“法定执法+赋权执法+委托执法”综合行政执法清单，将综合行政执法纳入“一中心四板块一网格”基层智治体系“平安法治板块”多跨协同，推动综合执法人员下沉</w:t>
      </w:r>
      <w:bookmarkStart w:id="0" w:name="_GoBack"/>
      <w:bookmarkEnd w:id="0"/>
      <w:r>
        <w:rPr>
          <w:rFonts w:eastAsia="方正仿宋_GBK"/>
          <w:sz w:val="32"/>
          <w:szCs w:val="32"/>
        </w:rPr>
        <w:t>到网格，构建第一时间发现、第一时间反馈、第一时间处置的闭环监管体系。</w:t>
      </w:r>
    </w:p>
    <w:p>
      <w:pPr>
        <w:spacing w:line="600" w:lineRule="exact"/>
        <w:rPr>
          <w:rFonts w:eastAsia="方正仿宋_GBK"/>
          <w:sz w:val="32"/>
          <w:szCs w:val="32"/>
        </w:rPr>
      </w:pPr>
      <w:r>
        <w:rPr>
          <w:rFonts w:eastAsia="方正楷体_GBK"/>
          <w:sz w:val="32"/>
          <w:szCs w:val="32"/>
        </w:rPr>
        <w:t xml:space="preserve">    二是强化学习培训，增强执法能力。</w:t>
      </w:r>
      <w:r>
        <w:rPr>
          <w:rFonts w:eastAsia="方正仿宋_GBK"/>
          <w:sz w:val="32"/>
          <w:szCs w:val="32"/>
        </w:rPr>
        <w:t>健全行政执法培训制度，通过法治专题讲座、法律学习考试、行政执法培训等形式，加强机关干部职工，特别是行政执法人员学习教育，全面提高全体职工的法治水平。</w:t>
      </w:r>
    </w:p>
    <w:p>
      <w:pPr>
        <w:spacing w:line="600" w:lineRule="exact"/>
        <w:rPr>
          <w:rFonts w:eastAsia="方正仿宋_GBK"/>
          <w:sz w:val="32"/>
          <w:szCs w:val="32"/>
        </w:rPr>
      </w:pPr>
      <w:r>
        <w:rPr>
          <w:rFonts w:eastAsia="方正楷体_GBK"/>
          <w:sz w:val="32"/>
          <w:szCs w:val="32"/>
        </w:rPr>
        <w:t xml:space="preserve">    三是强化执法监督，促进执法公正。</w:t>
      </w:r>
      <w:r>
        <w:rPr>
          <w:rFonts w:eastAsia="方正仿宋_GBK"/>
          <w:sz w:val="32"/>
          <w:szCs w:val="32"/>
        </w:rPr>
        <w:t>坚持和发展新时代“枫桥经验”，深入践行“浦江经验”，进一步完善“141”基层治理运行机制，全面推行“五长制”， 加强预防性制度建设，完善社会矛盾纠纷多元预防调处化解综合机制。深入推进信访法治化试点建设，打好信访突出问题化解三年攻坚战，深化信访工作“五个法治化”试点。加强社会治安防控体系建设，维护社会治安良好秩序，建立健全安全生产责任和管理制度体系、隐患风险防控体系，用法治守护人民群众生命财产安全。严格规范公正文明执法，推进监管执法数字化建设，切实保障企业群众合法权益。</w:t>
      </w:r>
    </w:p>
    <w:p>
      <w:pPr>
        <w:spacing w:line="600" w:lineRule="exact"/>
        <w:ind w:firstLine="640"/>
      </w:pPr>
      <w:r>
        <w:rPr>
          <w:rFonts w:eastAsia="方正楷体_GBK"/>
          <w:sz w:val="32"/>
          <w:szCs w:val="32"/>
        </w:rPr>
        <w:t>四是强化氛围营造，提升法治意识。</w:t>
      </w:r>
      <w:r>
        <w:rPr>
          <w:rFonts w:eastAsia="方正仿宋_GBK"/>
          <w:sz w:val="32"/>
          <w:szCs w:val="32"/>
        </w:rPr>
        <w:t>扎实推进全国法治政府建设示范区创建，深入推进“八五”普法，持续深化政务公开，强化政务诚信建设，高质量完成第五次全国经济普查。通过院坝会、“三会一课”、新时代文明实践所站点等平台，利用微信群、宣传标语、专栏手册等形式，开展法治宣传活动，进一步提高党员干部、人民群众法律素质，增强全社会尊重法律、遵守法律的观念和意识。</w:t>
      </w:r>
    </w:p>
    <w:p>
      <w:pPr>
        <w:spacing w:line="600" w:lineRule="exact"/>
        <w:jc w:val="right"/>
        <w:rPr>
          <w:rFonts w:eastAsia="方正仿宋_GBK"/>
          <w:sz w:val="32"/>
          <w:szCs w:val="32"/>
        </w:rPr>
      </w:pPr>
      <w:r>
        <w:rPr>
          <w:rFonts w:eastAsia="方正仿宋_GBK"/>
          <w:sz w:val="32"/>
          <w:szCs w:val="32"/>
        </w:rPr>
        <w:t>重庆市万州区双河口街道办事处</w:t>
      </w:r>
    </w:p>
    <w:p>
      <w:pPr>
        <w:spacing w:line="600" w:lineRule="exact"/>
        <w:ind w:firstLine="3840" w:firstLineChars="1200"/>
        <w:jc w:val="center"/>
        <w:rPr>
          <w:rFonts w:eastAsia="方正仿宋_GBK"/>
          <w:sz w:val="32"/>
          <w:szCs w:val="32"/>
        </w:rPr>
      </w:pPr>
      <w:r>
        <w:rPr>
          <w:rFonts w:hint="eastAsia" w:eastAsia="方正仿宋_GBK"/>
          <w:sz w:val="32"/>
          <w:szCs w:val="32"/>
          <w:lang w:val="en-US" w:eastAsia="zh-CN"/>
        </w:rPr>
        <w:t xml:space="preserve">     </w:t>
      </w:r>
      <w:r>
        <w:rPr>
          <w:rFonts w:eastAsia="方正仿宋_GBK"/>
          <w:sz w:val="32"/>
          <w:szCs w:val="32"/>
        </w:rPr>
        <w:t>2024年2月</w:t>
      </w:r>
      <w:r>
        <w:rPr>
          <w:rFonts w:hint="eastAsia" w:eastAsia="方正仿宋_GBK"/>
          <w:sz w:val="32"/>
          <w:szCs w:val="32"/>
        </w:rPr>
        <w:t>29</w:t>
      </w:r>
      <w:r>
        <w:rPr>
          <w:rFonts w:eastAsia="方正仿宋_GBK"/>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IwNDc4ZGYxNjI0Yzc3ZTk0ZWVlM2JmMTFlZDE0MDMifQ=="/>
  </w:docVars>
  <w:rsids>
    <w:rsidRoot w:val="63F96283"/>
    <w:rsid w:val="0015437F"/>
    <w:rsid w:val="00953DD2"/>
    <w:rsid w:val="00AC3FD3"/>
    <w:rsid w:val="00CD7AD7"/>
    <w:rsid w:val="0DC62A3C"/>
    <w:rsid w:val="3BF7AD59"/>
    <w:rsid w:val="63F96283"/>
    <w:rsid w:val="7FEB58A9"/>
    <w:rsid w:val="F97400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双河口街道</Company>
  <Pages>10</Pages>
  <Words>4397</Words>
  <Characters>264</Characters>
  <Lines>2</Lines>
  <Paragraphs>9</Paragraphs>
  <TotalTime>5</TotalTime>
  <ScaleCrop>false</ScaleCrop>
  <LinksUpToDate>false</LinksUpToDate>
  <CharactersWithSpaces>4652</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2024-03-01T02:03:00Z</dcterms:created>
  <dc:creator>Administrator</dc:creator>
  <cp:lastModifiedBy>shk20230614</cp:lastModifiedBy>
  <dcterms:modified xsi:type="dcterms:W3CDTF">2024-02-29T16:24:03Z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17D911C0198949CDACDFD4EFAC06E5AC_11</vt:lpwstr>
  </property>
</Properties>
</file>