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重庆市万州区牌楼街道办事处</w:t>
      </w: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2020年部门决算情况说明</w:t>
      </w:r>
    </w:p>
    <w:p>
      <w:pPr>
        <w:spacing w:line="600" w:lineRule="exact"/>
      </w:pPr>
    </w:p>
    <w:p>
      <w:pPr>
        <w:pStyle w:val="8"/>
        <w:tabs>
          <w:tab w:val="center" w:pos="4153"/>
          <w:tab w:val="left" w:pos="7275"/>
        </w:tabs>
        <w:spacing w:line="600" w:lineRule="exact"/>
        <w:ind w:firstLine="640"/>
        <w:outlineLvl w:val="0"/>
        <w:rPr>
          <w:rFonts w:eastAsia="方正黑体_GBK"/>
          <w:szCs w:val="32"/>
        </w:rPr>
      </w:pPr>
      <w:r>
        <w:rPr>
          <w:rFonts w:eastAsia="方正黑体_GBK"/>
          <w:szCs w:val="32"/>
        </w:rPr>
        <w:t>一、单位基本情况</w:t>
      </w:r>
    </w:p>
    <w:p>
      <w:pPr>
        <w:pStyle w:val="4"/>
        <w:spacing w:before="0" w:beforeAutospacing="0" w:after="0" w:afterAutospacing="0" w:line="600" w:lineRule="exact"/>
        <w:rPr>
          <w:rStyle w:val="7"/>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（一）职能职责</w:t>
      </w:r>
    </w:p>
    <w:p>
      <w:pPr>
        <w:pStyle w:val="4"/>
        <w:spacing w:before="0" w:beforeAutospacing="0" w:after="0" w:afterAutospacing="0" w:line="600" w:lineRule="exact"/>
        <w:ind w:firstLine="640" w:firstLineChars="200"/>
        <w:rPr>
          <w:rStyle w:val="7"/>
          <w:rFonts w:ascii="方正仿宋_GBK" w:hAnsi="方正仿宋_GBK" w:cs="方正仿宋_GBK"/>
          <w:b w:val="0"/>
          <w:sz w:val="32"/>
          <w:szCs w:val="32"/>
        </w:rPr>
      </w:pPr>
      <w:r>
        <w:rPr>
          <w:rStyle w:val="7"/>
          <w:rFonts w:hint="eastAsia" w:ascii="方正仿宋_GBK" w:hAnsi="方正仿宋_GBK" w:cs="方正仿宋_GBK"/>
          <w:b w:val="0"/>
          <w:sz w:val="32"/>
          <w:szCs w:val="32"/>
        </w:rPr>
        <w:t>贯彻执行党的路线方针政策和国家的法律法规，深学笃用习近平新时代中国特色社会主义思想，坚持以人民为中心的发展思想，充分发挥街道党工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w:t>
      </w:r>
    </w:p>
    <w:p>
      <w:pPr>
        <w:pStyle w:val="4"/>
        <w:spacing w:before="0" w:beforeAutospacing="0" w:after="0" w:afterAutospacing="0"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pStyle w:val="4"/>
        <w:spacing w:before="0" w:beforeAutospacing="0" w:after="0" w:afterAutospacing="0" w:line="600" w:lineRule="exact"/>
        <w:ind w:firstLine="640" w:firstLineChars="200"/>
        <w:rPr>
          <w:rFonts w:ascii="方正仿宋_GBK" w:hAnsi="方正仿宋_GBK" w:cs="方正仿宋_GBK"/>
          <w:sz w:val="32"/>
          <w:szCs w:val="32"/>
        </w:rPr>
      </w:pPr>
      <w:r>
        <w:rPr>
          <w:rStyle w:val="7"/>
          <w:rFonts w:hint="eastAsia" w:ascii="方正仿宋_GBK" w:hAnsi="方正仿宋_GBK" w:cs="方正仿宋_GBK"/>
          <w:b w:val="0"/>
          <w:sz w:val="32"/>
          <w:szCs w:val="32"/>
        </w:rPr>
        <w:t>我办行政机构有１个行政部门和5个事业单位（牌楼街道社区服务中心、牌楼街道社区文化服务中心、牌楼街道劳动就业和社会保障服务所，牌楼街道退役军人服务站、牌楼街道综合行政执法大队）。核定本级单位人员编制为93人，其中：行政编制42人，机关后勤服务人员编制4人，事业编制47人。单位人员情况为：在职人员82人，其中：行政39人，行政工勤4人，参公6人，事业33人。本单位无下级预算单位。</w:t>
      </w:r>
    </w:p>
    <w:p>
      <w:pPr>
        <w:spacing w:line="600" w:lineRule="exact"/>
        <w:ind w:firstLine="640" w:firstLineChars="200"/>
        <w:outlineLvl w:val="0"/>
        <w:rPr>
          <w:rFonts w:ascii="方正黑体_GBK" w:hAnsi="方正黑体_GBK" w:eastAsia="方正黑体_GBK" w:cs="方正黑体_GBK"/>
          <w:kern w:val="0"/>
          <w:szCs w:val="32"/>
        </w:rPr>
      </w:pPr>
      <w:r>
        <w:rPr>
          <w:rFonts w:hint="eastAsia" w:ascii="方正黑体_GBK" w:hAnsi="方正黑体_GBK" w:eastAsia="方正黑体_GBK" w:cs="方正黑体_GBK"/>
          <w:szCs w:val="32"/>
        </w:rPr>
        <w:t>二、部门决算情况说明</w:t>
      </w:r>
    </w:p>
    <w:p>
      <w:pPr>
        <w:pStyle w:val="4"/>
        <w:spacing w:before="0" w:beforeAutospacing="0" w:after="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pStyle w:val="4"/>
        <w:spacing w:before="0" w:beforeAutospacing="0" w:after="0" w:afterAutospacing="0" w:line="600" w:lineRule="exact"/>
        <w:ind w:firstLine="640" w:firstLineChars="200"/>
        <w:jc w:val="both"/>
        <w:rPr>
          <w:rFonts w:ascii="方正仿宋_GBK" w:hAnsi="方正仿宋_GBK" w:cs="方正仿宋_GBK"/>
          <w:sz w:val="32"/>
          <w:szCs w:val="32"/>
        </w:rPr>
      </w:pPr>
      <w:r>
        <w:rPr>
          <w:rFonts w:hint="eastAsia" w:ascii="方正仿宋_GBK" w:hAnsi="方正仿宋_GBK" w:cs="方正仿宋_GBK"/>
          <w:sz w:val="32"/>
          <w:szCs w:val="32"/>
        </w:rPr>
        <w:t>本部门2020年度收入总计6304.81万元，支出总计6304.81万元。与2019年决算数相比，收支增加188.25万元，主要原因是追加基金预算及财政一般公共预算项目款项。</w:t>
      </w:r>
    </w:p>
    <w:p>
      <w:pPr>
        <w:pStyle w:val="4"/>
        <w:spacing w:before="0" w:beforeAutospacing="0" w:after="0" w:afterAutospacing="0" w:line="600" w:lineRule="exact"/>
        <w:ind w:firstLine="320" w:firstLineChars="100"/>
        <w:jc w:val="both"/>
        <w:rPr>
          <w:rFonts w:ascii="方正仿宋_GBK" w:hAnsi="方正仿宋_GBK" w:cs="方正仿宋_GBK"/>
          <w:sz w:val="32"/>
          <w:szCs w:val="32"/>
        </w:rPr>
      </w:pPr>
      <w:r>
        <w:rPr>
          <w:rFonts w:hint="eastAsia" w:ascii="方正仿宋_GBK" w:hAnsi="方正仿宋_GBK" w:cs="方正仿宋_GBK"/>
          <w:sz w:val="32"/>
          <w:szCs w:val="32"/>
        </w:rPr>
        <w:t>  本部门2020年度收入合计6304.81万元，其中：财政拨款收入6136.37万元，占97%；其他收入168.44万元，占3%。 </w:t>
      </w:r>
    </w:p>
    <w:p>
      <w:pPr>
        <w:pStyle w:val="4"/>
        <w:spacing w:before="0" w:beforeAutospacing="0" w:after="0" w:afterAutospacing="0" w:line="600" w:lineRule="exact"/>
        <w:ind w:firstLine="320" w:firstLineChars="100"/>
        <w:jc w:val="both"/>
        <w:rPr>
          <w:rFonts w:ascii="方正仿宋_GBK" w:hAnsi="方正仿宋_GBK" w:cs="方正仿宋_GBK"/>
          <w:sz w:val="32"/>
          <w:szCs w:val="32"/>
        </w:rPr>
      </w:pPr>
      <w:r>
        <w:rPr>
          <w:rFonts w:hint="eastAsia" w:ascii="方正仿宋_GBK" w:hAnsi="方正仿宋_GBK" w:cs="方正仿宋_GBK"/>
          <w:sz w:val="32"/>
          <w:szCs w:val="32"/>
        </w:rPr>
        <w:t>本部门2020年度支出合计6304.81万元，其中：基本支出2268.81万元，占36%；项目支出4036万元，占64%。</w:t>
      </w:r>
    </w:p>
    <w:p>
      <w:pPr>
        <w:pStyle w:val="4"/>
        <w:spacing w:before="0" w:beforeAutospacing="0" w:after="0" w:afterAutospacing="0" w:line="600" w:lineRule="exact"/>
        <w:ind w:firstLine="320" w:firstLineChars="100"/>
        <w:jc w:val="both"/>
        <w:rPr>
          <w:rFonts w:ascii="方正仿宋_GBK" w:hAnsi="方正仿宋_GBK" w:cs="方正仿宋_GBK"/>
          <w:sz w:val="32"/>
          <w:szCs w:val="32"/>
        </w:rPr>
      </w:pPr>
      <w:r>
        <w:rPr>
          <w:rFonts w:hint="eastAsia" w:ascii="方正仿宋_GBK" w:hAnsi="方正仿宋_GBK" w:cs="方正仿宋_GBK"/>
          <w:sz w:val="32"/>
          <w:szCs w:val="32"/>
        </w:rPr>
        <w:t>  本部门2020年度年末结转和结余0.00万元，较上年无变化。</w:t>
      </w:r>
    </w:p>
    <w:p>
      <w:pPr>
        <w:pStyle w:val="4"/>
        <w:spacing w:before="0" w:beforeAutospacing="0" w:after="0" w:afterAutospacing="0" w:line="600" w:lineRule="exact"/>
        <w:ind w:firstLine="321" w:firstLineChars="100"/>
        <w:jc w:val="both"/>
        <w:rPr>
          <w:rFonts w:ascii="方正楷体_GBK" w:hAnsi="方正楷体_GBK" w:eastAsia="方正楷体_GBK" w:cs="方正楷体_GBK"/>
          <w:sz w:val="32"/>
          <w:szCs w:val="32"/>
        </w:rPr>
      </w:pPr>
      <w:r>
        <w:rPr>
          <w:rStyle w:val="7"/>
          <w:rFonts w:hint="eastAsia" w:ascii="方正仿宋_GBK" w:hAnsi="方正仿宋_GBK" w:cs="方正仿宋_GBK"/>
          <w:sz w:val="32"/>
          <w:szCs w:val="32"/>
        </w:rPr>
        <w:t xml:space="preserve">  </w:t>
      </w:r>
      <w:r>
        <w:rPr>
          <w:rFonts w:hint="eastAsia" w:ascii="方正楷体_GBK" w:hAnsi="方正楷体_GBK" w:eastAsia="方正楷体_GBK" w:cs="方正楷体_GBK"/>
          <w:sz w:val="32"/>
          <w:szCs w:val="32"/>
        </w:rPr>
        <w:t>（二）财政拨款收入支出决算总体情况说明</w:t>
      </w:r>
    </w:p>
    <w:p>
      <w:pPr>
        <w:pStyle w:val="4"/>
        <w:spacing w:before="0" w:beforeAutospacing="0" w:after="0" w:afterAutospacing="0" w:line="600" w:lineRule="exact"/>
        <w:ind w:firstLine="320" w:firstLineChars="100"/>
        <w:jc w:val="both"/>
        <w:rPr>
          <w:rFonts w:ascii="方正仿宋_GBK" w:hAnsi="方正仿宋_GBK" w:cs="方正仿宋_GBK"/>
          <w:sz w:val="32"/>
          <w:szCs w:val="32"/>
        </w:rPr>
      </w:pPr>
      <w:r>
        <w:rPr>
          <w:rFonts w:hint="eastAsia" w:ascii="方正仿宋_GBK" w:hAnsi="方正仿宋_GBK" w:cs="方正仿宋_GBK"/>
          <w:sz w:val="32"/>
          <w:szCs w:val="32"/>
        </w:rPr>
        <w:t xml:space="preserve"> 本部门2020年度财政拨款收入支出6136.37万元，较上年决算数增加119.81万元，增长19%。较年初预算数增加2300.27万元，增长32.76%。主要原因基金预算追加1345.68万元、一般公共预算项目追加954.59万元)。</w:t>
      </w:r>
    </w:p>
    <w:p>
      <w:pPr>
        <w:pStyle w:val="4"/>
        <w:spacing w:before="0" w:beforeAutospacing="0" w:after="0" w:afterAutospacing="0" w:line="600" w:lineRule="exact"/>
        <w:ind w:firstLine="320" w:firstLineChars="100"/>
        <w:jc w:val="both"/>
        <w:rPr>
          <w:rFonts w:ascii="方正仿宋_GBK" w:hAnsi="方正仿宋_GBK" w:cs="方正仿宋_GBK"/>
          <w:sz w:val="32"/>
          <w:szCs w:val="32"/>
        </w:rPr>
      </w:pPr>
      <w:r>
        <w:rPr>
          <w:rFonts w:hint="eastAsia" w:ascii="方正仿宋_GBK" w:hAnsi="方正仿宋_GBK" w:cs="方正仿宋_GBK"/>
          <w:sz w:val="32"/>
          <w:szCs w:val="32"/>
        </w:rPr>
        <w:t>本部门2020年度财政拨款支出主要用于以下方面：一般公共服务支出1648.52万元，较年初预算数增加80.06万元，主要原因是追加2019年应休未休年假、目标绩效奖励、一次性奖励和基础绩效结算；文化体育与传媒支出76.13万元，较年初预算数增加16.13万元，主要原因是追加2019年应休未休年假、目标绩效奖励和基础绩效结算、追加“三馆一站”免费开放专项资金；社会保障与就业支出1958.7万元，较年初预算数增加750.33万元，主要原因是追加2019年应休未休年假、健康休养费、目标绩效奖励和基础绩效结算、追加社区干部补贴及组织运转经费、追加义务兵优待金、优抚人员生活补助；医疗卫生与计划生育支出153.92万元，较年初预算数增加73.83万元，主要原因是追加新冠病毒防控经费、追加精神病人监护人奖励金；节能环保支出525万元，年初无预算，主要原因是追加清扫保洁费、市容环境运行维护及整治费；城乡社区支出291.33万元，较年初预算数减少165.18万元，主要原因是实际支出时列入了节能环保支出功能科目；农林水支出1262.91万元，较年初预算数增加962.91万元，主要原因是追加三峡后续工作项目专项资金；住房保障支出131万元，年初预算数减少31.576万元，主要原因是住房公积金基数减少。无国有资本经营预算财政拨款收入支出。</w:t>
      </w:r>
    </w:p>
    <w:p>
      <w:pPr>
        <w:spacing w:line="600" w:lineRule="exact"/>
        <w:ind w:firstLine="640" w:firstLineChars="200"/>
        <w:outlineLvl w:val="0"/>
        <w:rPr>
          <w:rFonts w:ascii="方正黑体_GBK" w:hAnsi="方正黑体_GBK" w:eastAsia="方正黑体_GBK" w:cs="方正黑体_GBK"/>
          <w:szCs w:val="32"/>
        </w:rPr>
      </w:pPr>
      <w:r>
        <w:rPr>
          <w:rFonts w:hint="eastAsia" w:ascii="方正黑体_GBK" w:hAnsi="方正黑体_GBK" w:eastAsia="方正黑体_GBK" w:cs="方正黑体_GBK"/>
          <w:szCs w:val="32"/>
        </w:rPr>
        <w:t xml:space="preserve">三、“三公”经费情况说明 </w:t>
      </w:r>
    </w:p>
    <w:p>
      <w:pPr>
        <w:spacing w:line="600" w:lineRule="exact"/>
        <w:ind w:firstLine="640" w:firstLineChars="200"/>
        <w:rPr>
          <w:rFonts w:ascii="方正仿宋_GBK" w:hAnsi="方正仿宋_GBK" w:cs="方正仿宋_GBK"/>
          <w:kern w:val="0"/>
          <w:szCs w:val="32"/>
        </w:rPr>
      </w:pPr>
      <w:r>
        <w:rPr>
          <w:rFonts w:hint="eastAsia" w:ascii="方正楷体_GBK" w:hAnsi="方正楷体_GBK" w:eastAsia="方正楷体_GBK" w:cs="方正楷体_GBK"/>
          <w:kern w:val="0"/>
          <w:szCs w:val="32"/>
        </w:rPr>
        <w:t>（一）“三公”经费支出情况。</w:t>
      </w:r>
      <w:r>
        <w:rPr>
          <w:rFonts w:hint="eastAsia" w:ascii="方正仿宋_GBK" w:hAnsi="方正仿宋_GBK" w:cs="方正仿宋_GBK"/>
          <w:kern w:val="0"/>
          <w:szCs w:val="32"/>
        </w:rPr>
        <w:t>对“三公”经费支出总额及分项数额与年初预算数、上年支出数进行对比，说明差异情况和增减变动原因。 2020年度本部门“三公”经费支出共计23.41万元，较上年支出数减少19.65万元，主要原因一是认真贯彻落实中央</w:t>
      </w:r>
      <w:bookmarkStart w:id="0" w:name="_GoBack"/>
      <w:bookmarkEnd w:id="0"/>
      <w:r>
        <w:rPr>
          <w:rFonts w:hint="eastAsia" w:ascii="方正仿宋_GBK" w:hAnsi="方正仿宋_GBK" w:cs="方正仿宋_GBK"/>
          <w:kern w:val="0"/>
          <w:szCs w:val="32"/>
        </w:rPr>
        <w:t>八项规定精神和厉行节约要求，按照只减不增的要求从严控制三公经费，全年际支出较预算和决算均有所下降。二是严格落实公车使用规定，严禁公车私用，定点维修加油，公车运行维护成本大幅下降。三是强化公务接待支出管理，严格遵守公务接待开支范围和开支标准，严格控制陪餐人数，公务接待费大幅下降。四是进一步规范因公出国（境）活动，全年无单位人员因公出国。</w:t>
      </w:r>
    </w:p>
    <w:p>
      <w:pPr>
        <w:spacing w:line="600" w:lineRule="exact"/>
        <w:ind w:firstLine="640" w:firstLineChars="200"/>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（二）“三公”经费分项支出情况。</w:t>
      </w:r>
    </w:p>
    <w:p>
      <w:pPr>
        <w:spacing w:line="600" w:lineRule="exact"/>
        <w:ind w:firstLine="640" w:firstLineChars="200"/>
        <w:rPr>
          <w:rFonts w:ascii="方正黑体_GBK" w:hAnsi="方正黑体_GBK" w:eastAsia="方正黑体_GBK" w:cs="方正黑体_GBK"/>
          <w:szCs w:val="32"/>
        </w:rPr>
      </w:pPr>
      <w:r>
        <w:rPr>
          <w:rFonts w:hint="eastAsia" w:ascii="方正仿宋_GBK" w:hAnsi="方正仿宋_GBK" w:cs="方正仿宋_GBK"/>
          <w:kern w:val="0"/>
          <w:szCs w:val="32"/>
        </w:rPr>
        <w:t>2020年度本部门因公出国（境）费用0.00万元，主要是全年无单位人员因公出国</w:t>
      </w:r>
      <w:r>
        <w:rPr>
          <w:rFonts w:hint="eastAsia" w:ascii="方正仿宋_GBK" w:hAnsi="方正仿宋_GBK" w:cs="方正仿宋_GBK"/>
          <w:szCs w:val="32"/>
        </w:rPr>
        <w:t>。</w:t>
      </w:r>
      <w:r>
        <w:rPr>
          <w:rFonts w:hint="eastAsia" w:ascii="方正仿宋_GBK" w:hAnsi="方正仿宋_GBK" w:cs="方正仿宋_GBK"/>
          <w:kern w:val="0"/>
          <w:szCs w:val="32"/>
        </w:rPr>
        <w:t>公务车购置费0.00万元，主要是全年无新增公务车。公务车运行维护费12.22万元，主要用于因公开会、机要文件交换、城管检查、综治接访等工作所需车辆的燃料费、维修费、过桥过路费、保险费等，费用支出减少主要原因是进一步严控公务用车制度，严格按制度用车。公务接待费11.19万元，主要用于综治接访、维稳支出、城管考核、城管巡查、其他单位来办网格化学习接待支出，费用支出较上年支出数减少17.48万元，主要原因是实行八项规定，严格按街道制度执行。</w:t>
      </w:r>
      <w:r>
        <w:rPr>
          <w:rFonts w:hint="eastAsia" w:ascii="方正仿宋_GBK" w:hAnsi="方正仿宋_GBK" w:cs="方正仿宋_GBK"/>
          <w:kern w:val="0"/>
          <w:szCs w:val="32"/>
        </w:rPr>
        <w:br w:type="textWrapping"/>
      </w:r>
      <w:r>
        <w:rPr>
          <w:rFonts w:hint="eastAsia" w:ascii="方正楷体_GBK" w:hAnsi="方正楷体_GBK" w:eastAsia="方正楷体_GBK" w:cs="方正楷体_GBK"/>
          <w:kern w:val="0"/>
          <w:szCs w:val="32"/>
        </w:rPr>
        <w:t xml:space="preserve">   （三）“三公”经费实物量情况。</w:t>
      </w:r>
      <w:r>
        <w:rPr>
          <w:rFonts w:hint="eastAsia" w:ascii="方正仿宋_GBK" w:hAnsi="方正仿宋_GBK" w:cs="方正仿宋_GBK"/>
          <w:szCs w:val="32"/>
        </w:rPr>
        <w:br w:type="textWrapping"/>
      </w:r>
      <w:r>
        <w:rPr>
          <w:rFonts w:hint="eastAsia" w:ascii="方正仿宋_GBK" w:hAnsi="方正仿宋_GBK" w:cs="方正仿宋_GBK"/>
          <w:szCs w:val="32"/>
        </w:rPr>
        <w:t> </w:t>
      </w:r>
      <w:r>
        <w:rPr>
          <w:rFonts w:hint="eastAsia" w:ascii="方正仿宋_GBK" w:hAnsi="方正仿宋_GBK" w:cs="方正仿宋_GBK"/>
          <w:kern w:val="0"/>
          <w:szCs w:val="32"/>
        </w:rPr>
        <w:t xml:space="preserve">   2020年本部门因公出国（境）共计0个团组，0人；公务用车购置0辆，公务车保有量为4辆；国内公务接待400批次，2800人，其中：国内外事接待 0批次，0人；国（境）外公务接待0批次，0人。2020年本部门人均接待费40元，车均购置费0.00万元，车均维护费3.06万元。</w:t>
      </w:r>
      <w:r>
        <w:rPr>
          <w:rFonts w:hint="eastAsia" w:ascii="方正仿宋_GBK" w:hAnsi="方正仿宋_GBK" w:cs="方正仿宋_GBK"/>
          <w:kern w:val="0"/>
          <w:szCs w:val="32"/>
        </w:rPr>
        <w:br w:type="textWrapping"/>
      </w:r>
      <w:r>
        <w:rPr>
          <w:rFonts w:hint="eastAsia" w:ascii="方正黑体_GBK" w:hAnsi="方正黑体_GBK" w:eastAsia="方正黑体_GBK" w:cs="方正黑体_GBK"/>
          <w:szCs w:val="32"/>
        </w:rPr>
        <w:t>四、其他需要说明的事项</w:t>
      </w:r>
    </w:p>
    <w:p>
      <w:pPr>
        <w:pStyle w:val="4"/>
        <w:spacing w:before="0" w:beforeAutospacing="0" w:after="0" w:afterAutospacing="0" w:line="600" w:lineRule="exact"/>
        <w:ind w:firstLine="642"/>
        <w:rPr>
          <w:rFonts w:ascii="方正仿宋_GBK" w:hAnsi="方正仿宋_GBK" w:cs="方正仿宋_GBK"/>
          <w:sz w:val="32"/>
          <w:szCs w:val="32"/>
        </w:rPr>
      </w:pPr>
      <w:r>
        <w:rPr>
          <w:rFonts w:hint="eastAsia" w:ascii="方正楷体_GBK" w:hAnsi="方正楷体_GBK" w:eastAsia="方正楷体_GBK" w:cs="方正楷体_GBK"/>
          <w:sz w:val="32"/>
          <w:szCs w:val="32"/>
        </w:rPr>
        <w:t>（一）机关运行经费情况说明。</w:t>
      </w:r>
      <w:r>
        <w:rPr>
          <w:rFonts w:hint="eastAsia" w:ascii="方正仿宋_GBK" w:hAnsi="方正仿宋_GBK" w:cs="方正仿宋_GBK"/>
          <w:sz w:val="32"/>
          <w:szCs w:val="32"/>
        </w:rPr>
        <w:t>2020年本部门机关运行经费支出468.92万元，机关运行经费主要用于办公费、印刷费、差旅费、会议费、公务车运行维护费、信息网络购置更新费等。机关运行经费较2019年增加57.67万元，增长14%，主要原因是新冠肺炎防疫防控购买物资、物价上涨及人员新增导致办公费用增加。</w:t>
      </w:r>
    </w:p>
    <w:p>
      <w:pPr>
        <w:pStyle w:val="4"/>
        <w:spacing w:before="0" w:beforeAutospacing="0" w:after="0" w:afterAutospacing="0" w:line="600" w:lineRule="exact"/>
        <w:rPr>
          <w:rFonts w:ascii="方正仿宋_GBK" w:hAnsi="方正仿宋_GBK" w:cs="方正仿宋_GBK"/>
          <w:sz w:val="32"/>
          <w:szCs w:val="32"/>
        </w:rPr>
      </w:pPr>
      <w:r>
        <w:rPr>
          <w:rFonts w:hint="eastAsia" w:ascii="方正仿宋_GBK" w:hAnsi="方正仿宋_GBK" w:cs="方正仿宋_GBK"/>
          <w:sz w:val="32"/>
          <w:szCs w:val="32"/>
        </w:rPr>
        <w:t>本年度会议支出5.5万元，较上年决算数减少17.05万元，培训费本年度支出2.1万元，较上年度决算数减少18.04万元，主要原因是机关严格控制会议和培训次数，非必要会议和培训一律不再举办和参加，导致费用减少。</w:t>
      </w:r>
      <w:r>
        <w:rPr>
          <w:rFonts w:hint="eastAsia" w:ascii="方正仿宋_GBK" w:hAnsi="方正仿宋_GBK" w:cs="方正仿宋_GBK"/>
          <w:sz w:val="32"/>
          <w:szCs w:val="32"/>
        </w:rPr>
        <w:br w:type="textWrapping"/>
      </w:r>
      <w:r>
        <w:rPr>
          <w:rFonts w:hint="eastAsia" w:ascii="方正仿宋_GBK" w:hAnsi="方正仿宋_GBK" w:cs="方正仿宋_GBK"/>
          <w:sz w:val="32"/>
          <w:szCs w:val="32"/>
        </w:rPr>
        <w:t> </w:t>
      </w:r>
      <w:r>
        <w:rPr>
          <w:rStyle w:val="7"/>
          <w:rFonts w:hint="eastAsia" w:ascii="方正仿宋_GBK" w:hAnsi="方正仿宋_GBK" w:cs="方正仿宋_GBK"/>
          <w:sz w:val="32"/>
          <w:szCs w:val="32"/>
        </w:rPr>
        <w:t xml:space="preserve">   </w:t>
      </w:r>
      <w:r>
        <w:rPr>
          <w:rFonts w:hint="eastAsia" w:ascii="方正楷体_GBK" w:hAnsi="方正楷体_GBK" w:eastAsia="方正楷体_GBK" w:cs="方正楷体_GBK"/>
          <w:sz w:val="32"/>
          <w:szCs w:val="32"/>
        </w:rPr>
        <w:t>（二）国有资产占用情况说明。</w:t>
      </w:r>
      <w:r>
        <w:rPr>
          <w:rFonts w:hint="eastAsia" w:ascii="方正仿宋_GBK" w:hAnsi="方正仿宋_GBK" w:cs="方正仿宋_GBK"/>
          <w:sz w:val="32"/>
          <w:szCs w:val="32"/>
        </w:rPr>
        <w:t>截至2020年12月31日，本部门共有车辆4辆，其中，部级领导干部用车0辆、一般公务用车4辆、一般执法执勤用车0辆、特种专业技术用车0辆、其他用车0辆。</w:t>
      </w:r>
      <w:r>
        <w:rPr>
          <w:rFonts w:hint="eastAsia" w:ascii="方正仿宋_GBK" w:hAnsi="方正仿宋_GBK" w:cs="方正仿宋_GBK"/>
          <w:sz w:val="32"/>
          <w:szCs w:val="32"/>
        </w:rPr>
        <w:br w:type="textWrapping"/>
      </w:r>
      <w:r>
        <w:rPr>
          <w:rFonts w:hint="eastAsia" w:ascii="方正仿宋_GBK" w:hAnsi="方正仿宋_GBK" w:cs="方正仿宋_GBK"/>
          <w:sz w:val="32"/>
          <w:szCs w:val="32"/>
        </w:rPr>
        <w:t> </w:t>
      </w:r>
      <w:r>
        <w:rPr>
          <w:rStyle w:val="7"/>
          <w:rFonts w:hint="eastAsia" w:ascii="方正仿宋_GBK" w:hAnsi="方正仿宋_GBK" w:cs="方正仿宋_GBK"/>
          <w:sz w:val="32"/>
          <w:szCs w:val="32"/>
        </w:rPr>
        <w:t xml:space="preserve">   </w:t>
      </w:r>
      <w:r>
        <w:rPr>
          <w:rFonts w:hint="eastAsia" w:ascii="方正楷体_GBK" w:hAnsi="方正楷体_GBK" w:eastAsia="方正楷体_GBK" w:cs="方正楷体_GBK"/>
          <w:sz w:val="32"/>
          <w:szCs w:val="32"/>
        </w:rPr>
        <w:t>（三）政府采购支出情况说明。</w:t>
      </w:r>
      <w:r>
        <w:rPr>
          <w:rFonts w:hint="eastAsia" w:ascii="方正仿宋_GBK" w:hAnsi="方正仿宋_GBK" w:cs="方正仿宋_GBK"/>
          <w:sz w:val="32"/>
          <w:szCs w:val="32"/>
        </w:rPr>
        <w:t>2020年本部门政府采购支出总额0.00万元，其中：政府采购货物支出0.00万元、政府采购工程支出0.00万元、政府采购服务支出0.00万元。</w:t>
      </w:r>
    </w:p>
    <w:p>
      <w:pPr>
        <w:spacing w:line="600" w:lineRule="exact"/>
        <w:ind w:firstLine="640" w:firstLineChars="200"/>
        <w:outlineLvl w:val="0"/>
        <w:rPr>
          <w:rFonts w:ascii="方正黑体_GBK" w:hAnsi="方正黑体_GBK" w:eastAsia="方正黑体_GBK" w:cs="方正黑体_GBK"/>
          <w:kern w:val="0"/>
          <w:szCs w:val="32"/>
        </w:rPr>
      </w:pPr>
      <w:r>
        <w:rPr>
          <w:rFonts w:hint="eastAsia" w:ascii="方正黑体_GBK" w:hAnsi="方正黑体_GBK" w:eastAsia="方正黑体_GBK" w:cs="方正黑体_GBK"/>
          <w:kern w:val="0"/>
          <w:szCs w:val="32"/>
        </w:rPr>
        <w:t>五、预算绩效管理情况说明</w:t>
      </w:r>
    </w:p>
    <w:p>
      <w:pPr>
        <w:pStyle w:val="8"/>
        <w:tabs>
          <w:tab w:val="center" w:pos="4153"/>
          <w:tab w:val="left" w:pos="7275"/>
        </w:tabs>
        <w:spacing w:line="600" w:lineRule="exact"/>
        <w:ind w:firstLine="640"/>
        <w:outlineLvl w:val="1"/>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（一）预算绩效管理工作开展情况</w:t>
      </w:r>
    </w:p>
    <w:p>
      <w:pPr>
        <w:pStyle w:val="8"/>
        <w:tabs>
          <w:tab w:val="center" w:pos="4153"/>
          <w:tab w:val="left" w:pos="7275"/>
        </w:tabs>
        <w:spacing w:line="600" w:lineRule="exact"/>
        <w:ind w:firstLine="640"/>
        <w:rPr>
          <w:rFonts w:ascii="方正仿宋_GBK" w:hAnsi="方正仿宋_GBK" w:cs="方正仿宋_GBK"/>
          <w:kern w:val="0"/>
          <w:szCs w:val="32"/>
        </w:rPr>
      </w:pPr>
      <w:r>
        <w:rPr>
          <w:rFonts w:hint="eastAsia" w:ascii="方正仿宋_GBK" w:hAnsi="方正仿宋_GBK" w:cs="方正仿宋_GBK"/>
          <w:kern w:val="0"/>
          <w:szCs w:val="32"/>
        </w:rPr>
        <w:t>根据预算绩效管理要求，我单位对15个项目开展了绩效自评，其中，以填报绩效自评表形式开展自评3项，涉及资金240.7万元从评价情况来看，基本能实现年初绩效目标，执行进度比较合理，未造成资金闲置或浪费。</w:t>
      </w:r>
    </w:p>
    <w:p>
      <w:pPr>
        <w:pStyle w:val="8"/>
        <w:tabs>
          <w:tab w:val="center" w:pos="4153"/>
          <w:tab w:val="left" w:pos="7275"/>
        </w:tabs>
        <w:spacing w:line="600" w:lineRule="exact"/>
        <w:ind w:firstLine="640"/>
        <w:outlineLvl w:val="1"/>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（二）绩效自评结果</w:t>
      </w:r>
    </w:p>
    <w:p>
      <w:pPr>
        <w:pStyle w:val="8"/>
        <w:tabs>
          <w:tab w:val="center" w:pos="4153"/>
          <w:tab w:val="left" w:pos="7275"/>
        </w:tabs>
        <w:spacing w:line="600" w:lineRule="exact"/>
        <w:ind w:firstLine="640"/>
        <w:rPr>
          <w:rFonts w:ascii="方正仿宋_GBK" w:hAnsi="方正仿宋_GBK" w:cs="方正仿宋_GBK"/>
          <w:kern w:val="0"/>
          <w:szCs w:val="32"/>
        </w:rPr>
      </w:pPr>
    </w:p>
    <w:p>
      <w:pPr>
        <w:spacing w:line="600" w:lineRule="exact"/>
        <w:rPr>
          <w:rFonts w:ascii="方正仿宋_GBK" w:hAnsi="方正仿宋_GBK" w:cs="方正仿宋_GBK"/>
          <w:kern w:val="0"/>
          <w:szCs w:val="32"/>
        </w:rPr>
      </w:pPr>
      <w:r>
        <w:rPr>
          <w:rFonts w:hint="eastAsia" w:ascii="方正仿宋_GBK" w:hAnsi="方正仿宋_GBK" w:cs="方正仿宋_GBK"/>
          <w:kern w:val="0"/>
          <w:szCs w:val="32"/>
        </w:rPr>
        <w:br w:type="page"/>
      </w:r>
    </w:p>
    <w:tbl>
      <w:tblPr>
        <w:tblStyle w:val="5"/>
        <w:tblW w:w="9531" w:type="dxa"/>
        <w:jc w:val="center"/>
        <w:tblLayout w:type="fixed"/>
        <w:tblCellMar>
          <w:top w:w="0" w:type="dxa"/>
          <w:left w:w="108" w:type="dxa"/>
          <w:bottom w:w="0" w:type="dxa"/>
          <w:right w:w="108" w:type="dxa"/>
        </w:tblCellMar>
      </w:tblPr>
      <w:tblGrid>
        <w:gridCol w:w="853"/>
        <w:gridCol w:w="853"/>
        <w:gridCol w:w="587"/>
        <w:gridCol w:w="587"/>
        <w:gridCol w:w="587"/>
        <w:gridCol w:w="587"/>
        <w:gridCol w:w="1120"/>
        <w:gridCol w:w="997"/>
        <w:gridCol w:w="1120"/>
        <w:gridCol w:w="1120"/>
        <w:gridCol w:w="1120"/>
      </w:tblGrid>
      <w:tr>
        <w:tblPrEx>
          <w:tblCellMar>
            <w:top w:w="0" w:type="dxa"/>
            <w:left w:w="108" w:type="dxa"/>
            <w:bottom w:w="0" w:type="dxa"/>
            <w:right w:w="108" w:type="dxa"/>
          </w:tblCellMar>
        </w:tblPrEx>
        <w:trPr>
          <w:trHeight w:val="601" w:hRule="atLeast"/>
          <w:jc w:val="center"/>
        </w:trPr>
        <w:tc>
          <w:tcPr>
            <w:tcW w:w="9531" w:type="dxa"/>
            <w:gridSpan w:val="11"/>
            <w:tcBorders>
              <w:top w:val="nil"/>
              <w:left w:val="nil"/>
              <w:bottom w:val="nil"/>
              <w:right w:val="nil"/>
            </w:tcBorders>
            <w:shd w:val="clear" w:color="auto" w:fill="auto"/>
            <w:vAlign w:val="center"/>
          </w:tcPr>
          <w:p>
            <w:pPr>
              <w:widowControl/>
              <w:spacing w:line="240" w:lineRule="auto"/>
              <w:jc w:val="center"/>
              <w:rPr>
                <w:rFonts w:eastAsia="方正小标宋_GBK"/>
                <w:kern w:val="0"/>
                <w:sz w:val="36"/>
                <w:szCs w:val="36"/>
              </w:rPr>
            </w:pPr>
            <w:r>
              <w:rPr>
                <w:rFonts w:eastAsia="方正小标宋_GBK"/>
                <w:kern w:val="0"/>
                <w:sz w:val="36"/>
                <w:szCs w:val="36"/>
              </w:rPr>
              <w:t>一般性项目绩效自评表样</w:t>
            </w:r>
          </w:p>
        </w:tc>
      </w:tr>
      <w:tr>
        <w:tblPrEx>
          <w:tblCellMar>
            <w:top w:w="0" w:type="dxa"/>
            <w:left w:w="108" w:type="dxa"/>
            <w:bottom w:w="0" w:type="dxa"/>
            <w:right w:w="108" w:type="dxa"/>
          </w:tblCellMar>
        </w:tblPrEx>
        <w:trPr>
          <w:trHeight w:val="60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项目名称</w:t>
            </w: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rFonts w:hint="eastAsia"/>
                <w:kern w:val="0"/>
                <w:sz w:val="18"/>
                <w:szCs w:val="18"/>
              </w:rPr>
              <w:t>自然灾害防治体系建设</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项目编码</w:t>
            </w:r>
          </w:p>
        </w:tc>
        <w:tc>
          <w:tcPr>
            <w:tcW w:w="117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自评总分</w:t>
            </w:r>
          </w:p>
          <w:p>
            <w:pPr>
              <w:widowControl/>
              <w:spacing w:line="240" w:lineRule="auto"/>
              <w:jc w:val="center"/>
              <w:rPr>
                <w:kern w:val="0"/>
                <w:sz w:val="18"/>
                <w:szCs w:val="18"/>
              </w:rPr>
            </w:pPr>
            <w:r>
              <w:rPr>
                <w:kern w:val="0"/>
                <w:sz w:val="18"/>
                <w:szCs w:val="18"/>
              </w:rPr>
              <w:t>（分）</w:t>
            </w:r>
          </w:p>
        </w:tc>
        <w:tc>
          <w:tcPr>
            <w:tcW w:w="435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rFonts w:hint="eastAsia"/>
                <w:kern w:val="0"/>
                <w:sz w:val="18"/>
                <w:szCs w:val="18"/>
              </w:rPr>
              <w:t>97.5</w:t>
            </w:r>
          </w:p>
        </w:tc>
      </w:tr>
      <w:tr>
        <w:tblPrEx>
          <w:tblCellMar>
            <w:top w:w="0" w:type="dxa"/>
            <w:left w:w="108" w:type="dxa"/>
            <w:bottom w:w="0" w:type="dxa"/>
            <w:right w:w="108" w:type="dxa"/>
          </w:tblCellMar>
        </w:tblPrEx>
        <w:trPr>
          <w:trHeight w:val="601"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主管部门</w:t>
            </w: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rFonts w:hint="eastAsia"/>
                <w:kern w:val="0"/>
                <w:sz w:val="18"/>
                <w:szCs w:val="18"/>
              </w:rPr>
              <w:t>区财政局</w:t>
            </w:r>
          </w:p>
        </w:tc>
        <w:tc>
          <w:tcPr>
            <w:tcW w:w="58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财政科室</w:t>
            </w:r>
          </w:p>
        </w:tc>
        <w:tc>
          <w:tcPr>
            <w:tcW w:w="117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rFonts w:hint="eastAsia"/>
                <w:kern w:val="0"/>
                <w:sz w:val="18"/>
                <w:szCs w:val="18"/>
              </w:rPr>
              <w:t>产业发展科</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项目</w:t>
            </w:r>
          </w:p>
          <w:p>
            <w:pPr>
              <w:widowControl/>
              <w:spacing w:line="240" w:lineRule="auto"/>
              <w:jc w:val="center"/>
              <w:rPr>
                <w:kern w:val="0"/>
                <w:sz w:val="18"/>
                <w:szCs w:val="18"/>
              </w:rPr>
            </w:pPr>
            <w:r>
              <w:rPr>
                <w:kern w:val="0"/>
                <w:sz w:val="18"/>
                <w:szCs w:val="18"/>
              </w:rPr>
              <w:t>联系人</w:t>
            </w:r>
          </w:p>
        </w:tc>
        <w:tc>
          <w:tcPr>
            <w:tcW w:w="99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rFonts w:hint="eastAsia"/>
                <w:kern w:val="0"/>
                <w:sz w:val="18"/>
                <w:szCs w:val="18"/>
              </w:rPr>
              <w:t>黄佐洪</w:t>
            </w:r>
            <w:r>
              <w:rPr>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联系电话</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rFonts w:hint="eastAsia"/>
                <w:kern w:val="0"/>
                <w:sz w:val="18"/>
                <w:szCs w:val="18"/>
              </w:rPr>
              <w:t>18996578280</w:t>
            </w:r>
            <w:r>
              <w:rPr>
                <w:kern w:val="0"/>
                <w:sz w:val="18"/>
                <w:szCs w:val="18"/>
              </w:rPr>
              <w:t>　</w:t>
            </w:r>
          </w:p>
        </w:tc>
      </w:tr>
      <w:tr>
        <w:tblPrEx>
          <w:tblCellMar>
            <w:top w:w="0" w:type="dxa"/>
            <w:left w:w="108" w:type="dxa"/>
            <w:bottom w:w="0" w:type="dxa"/>
            <w:right w:w="108" w:type="dxa"/>
          </w:tblCellMar>
        </w:tblPrEx>
        <w:trPr>
          <w:trHeight w:val="601" w:hRule="atLeast"/>
          <w:jc w:val="center"/>
        </w:trPr>
        <w:tc>
          <w:tcPr>
            <w:tcW w:w="8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项目资金（万元）</w:t>
            </w:r>
          </w:p>
        </w:tc>
        <w:tc>
          <w:tcPr>
            <w:tcW w:w="853" w:type="dxa"/>
            <w:tcBorders>
              <w:top w:val="nil"/>
              <w:left w:val="nil"/>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kern w:val="0"/>
                <w:sz w:val="18"/>
                <w:szCs w:val="18"/>
              </w:rPr>
              <w:t>年初预算数</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全年（调整）预算数</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全年执行数</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执行率</w:t>
            </w:r>
          </w:p>
          <w:p>
            <w:pPr>
              <w:widowControl/>
              <w:spacing w:line="240" w:lineRule="auto"/>
              <w:jc w:val="center"/>
              <w:rPr>
                <w:kern w:val="0"/>
                <w:sz w:val="18"/>
                <w:szCs w:val="18"/>
              </w:rPr>
            </w:pPr>
            <w:r>
              <w:rPr>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执行率</w:t>
            </w:r>
          </w:p>
          <w:p>
            <w:pPr>
              <w:widowControl/>
              <w:spacing w:line="240" w:lineRule="auto"/>
              <w:jc w:val="center"/>
              <w:rPr>
                <w:kern w:val="0"/>
                <w:sz w:val="18"/>
                <w:szCs w:val="18"/>
              </w:rPr>
            </w:pPr>
            <w:r>
              <w:rPr>
                <w:kern w:val="0"/>
                <w:sz w:val="18"/>
                <w:szCs w:val="18"/>
              </w:rPr>
              <w:t>权重</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执行率得分</w:t>
            </w:r>
          </w:p>
          <w:p>
            <w:pPr>
              <w:widowControl/>
              <w:spacing w:line="240" w:lineRule="auto"/>
              <w:jc w:val="center"/>
              <w:rPr>
                <w:kern w:val="0"/>
                <w:sz w:val="18"/>
                <w:szCs w:val="18"/>
              </w:rPr>
            </w:pPr>
            <w:r>
              <w:rPr>
                <w:kern w:val="0"/>
                <w:sz w:val="18"/>
                <w:szCs w:val="18"/>
              </w:rPr>
              <w:t>（分）</w:t>
            </w: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kern w:val="0"/>
                <w:sz w:val="18"/>
                <w:szCs w:val="18"/>
              </w:rPr>
            </w:pPr>
          </w:p>
        </w:tc>
        <w:tc>
          <w:tcPr>
            <w:tcW w:w="853" w:type="dxa"/>
            <w:tcBorders>
              <w:top w:val="nil"/>
              <w:left w:val="nil"/>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年度总金额</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rFonts w:hint="eastAsia"/>
                <w:kern w:val="0"/>
                <w:sz w:val="18"/>
                <w:szCs w:val="18"/>
              </w:rPr>
              <w:t>5</w:t>
            </w:r>
            <w:r>
              <w:rPr>
                <w:kern w:val="0"/>
                <w:sz w:val="18"/>
                <w:szCs w:val="18"/>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rFonts w:hint="eastAsia"/>
                <w:kern w:val="0"/>
                <w:sz w:val="18"/>
                <w:szCs w:val="18"/>
              </w:rPr>
              <w:t>5</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r>
              <w:rPr>
                <w:rFonts w:hint="eastAsia"/>
                <w:kern w:val="0"/>
                <w:sz w:val="18"/>
                <w:szCs w:val="18"/>
              </w:rPr>
              <w:t>100%</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rFonts w:hint="eastAsia"/>
                <w:kern w:val="0"/>
                <w:sz w:val="18"/>
                <w:szCs w:val="18"/>
              </w:rPr>
              <w:t>10</w:t>
            </w:r>
            <w:r>
              <w:rPr>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rFonts w:hint="eastAsia"/>
                <w:kern w:val="0"/>
                <w:sz w:val="18"/>
                <w:szCs w:val="18"/>
              </w:rPr>
              <w:t>10</w:t>
            </w:r>
            <w:r>
              <w:rPr>
                <w:kern w:val="0"/>
                <w:sz w:val="18"/>
                <w:szCs w:val="18"/>
              </w:rPr>
              <w:t>　</w:t>
            </w: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kern w:val="0"/>
                <w:sz w:val="18"/>
                <w:szCs w:val="18"/>
              </w:rPr>
            </w:pPr>
          </w:p>
        </w:tc>
        <w:tc>
          <w:tcPr>
            <w:tcW w:w="853" w:type="dxa"/>
            <w:tcBorders>
              <w:top w:val="nil"/>
              <w:left w:val="nil"/>
              <w:bottom w:val="single" w:color="auto" w:sz="4" w:space="0"/>
              <w:right w:val="nil"/>
            </w:tcBorders>
            <w:shd w:val="clear" w:color="auto" w:fill="auto"/>
            <w:vAlign w:val="center"/>
          </w:tcPr>
          <w:p>
            <w:pPr>
              <w:widowControl/>
              <w:spacing w:line="240" w:lineRule="auto"/>
              <w:jc w:val="right"/>
              <w:rPr>
                <w:kern w:val="0"/>
                <w:sz w:val="18"/>
                <w:szCs w:val="18"/>
              </w:rPr>
            </w:pPr>
            <w:r>
              <w:rPr>
                <w:kern w:val="0"/>
                <w:sz w:val="18"/>
                <w:szCs w:val="18"/>
              </w:rPr>
              <w:t>其中：市级支出</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kern w:val="0"/>
                <w:sz w:val="18"/>
                <w:szCs w:val="18"/>
              </w:rPr>
              <w:t>　</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kern w:val="0"/>
                <w:sz w:val="18"/>
                <w:szCs w:val="18"/>
              </w:rPr>
            </w:pPr>
          </w:p>
        </w:tc>
        <w:tc>
          <w:tcPr>
            <w:tcW w:w="853" w:type="dxa"/>
            <w:tcBorders>
              <w:top w:val="nil"/>
              <w:left w:val="nil"/>
              <w:bottom w:val="single" w:color="auto" w:sz="4" w:space="0"/>
              <w:right w:val="nil"/>
            </w:tcBorders>
            <w:shd w:val="clear" w:color="auto" w:fill="auto"/>
            <w:vAlign w:val="center"/>
          </w:tcPr>
          <w:p>
            <w:pPr>
              <w:widowControl/>
              <w:spacing w:line="240" w:lineRule="auto"/>
              <w:jc w:val="right"/>
              <w:rPr>
                <w:kern w:val="0"/>
                <w:sz w:val="18"/>
                <w:szCs w:val="18"/>
              </w:rPr>
            </w:pPr>
            <w:r>
              <w:rPr>
                <w:kern w:val="0"/>
                <w:sz w:val="18"/>
                <w:szCs w:val="18"/>
              </w:rPr>
              <w:t>补助区县</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kern w:val="0"/>
                <w:sz w:val="18"/>
                <w:szCs w:val="18"/>
              </w:rPr>
              <w:t>　</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601" w:hRule="atLeast"/>
          <w:jc w:val="center"/>
        </w:trPr>
        <w:tc>
          <w:tcPr>
            <w:tcW w:w="8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当年绩效目标</w:t>
            </w:r>
          </w:p>
        </w:tc>
        <w:tc>
          <w:tcPr>
            <w:tcW w:w="2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kern w:val="0"/>
                <w:sz w:val="18"/>
                <w:szCs w:val="18"/>
              </w:rPr>
              <w:t>年初绩效目标</w:t>
            </w:r>
          </w:p>
        </w:tc>
        <w:tc>
          <w:tcPr>
            <w:tcW w:w="3291"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kern w:val="0"/>
                <w:sz w:val="18"/>
                <w:szCs w:val="18"/>
              </w:rPr>
              <w:t>全年（调整）绩效目标</w:t>
            </w:r>
          </w:p>
        </w:tc>
        <w:tc>
          <w:tcPr>
            <w:tcW w:w="3360"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kern w:val="0"/>
                <w:sz w:val="18"/>
                <w:szCs w:val="18"/>
              </w:rPr>
              <w:t>全年目标实际完成情况</w:t>
            </w:r>
          </w:p>
        </w:tc>
      </w:tr>
      <w:tr>
        <w:tblPrEx>
          <w:tblCellMar>
            <w:top w:w="0" w:type="dxa"/>
            <w:left w:w="108" w:type="dxa"/>
            <w:bottom w:w="0" w:type="dxa"/>
            <w:right w:w="108" w:type="dxa"/>
          </w:tblCellMar>
        </w:tblPrEx>
        <w:trPr>
          <w:trHeight w:val="1352"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kern w:val="0"/>
                <w:sz w:val="18"/>
                <w:szCs w:val="18"/>
              </w:rPr>
            </w:pPr>
          </w:p>
        </w:tc>
        <w:tc>
          <w:tcPr>
            <w:tcW w:w="2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p>
        </w:tc>
        <w:tc>
          <w:tcPr>
            <w:tcW w:w="3291"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kern w:val="0"/>
                <w:sz w:val="18"/>
                <w:szCs w:val="18"/>
              </w:rPr>
            </w:pPr>
            <w:r>
              <w:rPr>
                <w:rFonts w:hint="eastAsia" w:ascii="方正仿宋_GBK"/>
                <w:color w:val="000000"/>
                <w:sz w:val="18"/>
                <w:szCs w:val="18"/>
              </w:rPr>
              <w:t>通过使用中央补助资金，完成应急备灾能力建设和应急抢险救援装备配备，充分提高地质灾害防治能力和综合管理水平 。</w:t>
            </w:r>
          </w:p>
        </w:tc>
        <w:tc>
          <w:tcPr>
            <w:tcW w:w="3360"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rPr>
                <w:kern w:val="0"/>
                <w:sz w:val="18"/>
                <w:szCs w:val="18"/>
              </w:rPr>
            </w:pPr>
            <w:r>
              <w:rPr>
                <w:rFonts w:hint="eastAsia" w:ascii="方正仿宋_GBK"/>
                <w:color w:val="000000"/>
                <w:sz w:val="18"/>
                <w:szCs w:val="18"/>
              </w:rPr>
              <w:t>完成应急备灾能力建设和应急抢险救援装备配备，充分提高地质灾害防治能力和综合管理水平 ，人民群众生命财产得到有效保护。</w:t>
            </w:r>
          </w:p>
        </w:tc>
      </w:tr>
      <w:tr>
        <w:tblPrEx>
          <w:tblCellMar>
            <w:top w:w="0" w:type="dxa"/>
            <w:left w:w="108" w:type="dxa"/>
            <w:bottom w:w="0" w:type="dxa"/>
            <w:right w:w="108" w:type="dxa"/>
          </w:tblCellMar>
        </w:tblPrEx>
        <w:trPr>
          <w:trHeight w:val="1000" w:hRule="atLeast"/>
          <w:jc w:val="center"/>
        </w:trPr>
        <w:tc>
          <w:tcPr>
            <w:tcW w:w="85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40" w:lineRule="auto"/>
              <w:jc w:val="center"/>
              <w:rPr>
                <w:kern w:val="0"/>
                <w:sz w:val="18"/>
                <w:szCs w:val="18"/>
              </w:rPr>
            </w:pPr>
            <w:r>
              <w:rPr>
                <w:kern w:val="0"/>
                <w:sz w:val="18"/>
                <w:szCs w:val="18"/>
              </w:rPr>
              <w:t>绩效指标</w:t>
            </w:r>
          </w:p>
        </w:tc>
        <w:tc>
          <w:tcPr>
            <w:tcW w:w="853" w:type="dxa"/>
            <w:tcBorders>
              <w:top w:val="nil"/>
              <w:left w:val="nil"/>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指标名称</w:t>
            </w:r>
          </w:p>
        </w:tc>
        <w:tc>
          <w:tcPr>
            <w:tcW w:w="58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计量</w:t>
            </w:r>
          </w:p>
          <w:p>
            <w:pPr>
              <w:widowControl/>
              <w:spacing w:line="240" w:lineRule="auto"/>
              <w:jc w:val="center"/>
              <w:rPr>
                <w:kern w:val="0"/>
                <w:sz w:val="18"/>
                <w:szCs w:val="18"/>
              </w:rPr>
            </w:pPr>
            <w:r>
              <w:rPr>
                <w:kern w:val="0"/>
                <w:sz w:val="18"/>
                <w:szCs w:val="18"/>
              </w:rPr>
              <w:t>单位</w:t>
            </w:r>
          </w:p>
        </w:tc>
        <w:tc>
          <w:tcPr>
            <w:tcW w:w="58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指标</w:t>
            </w:r>
          </w:p>
          <w:p>
            <w:pPr>
              <w:widowControl/>
              <w:spacing w:line="240" w:lineRule="auto"/>
              <w:jc w:val="center"/>
              <w:rPr>
                <w:kern w:val="0"/>
                <w:sz w:val="18"/>
                <w:szCs w:val="18"/>
              </w:rPr>
            </w:pPr>
            <w:r>
              <w:rPr>
                <w:kern w:val="0"/>
                <w:sz w:val="18"/>
                <w:szCs w:val="18"/>
              </w:rPr>
              <w:t>性质</w:t>
            </w:r>
          </w:p>
        </w:tc>
        <w:tc>
          <w:tcPr>
            <w:tcW w:w="58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年初</w:t>
            </w:r>
          </w:p>
          <w:p>
            <w:pPr>
              <w:widowControl/>
              <w:spacing w:line="240" w:lineRule="auto"/>
              <w:jc w:val="center"/>
              <w:rPr>
                <w:kern w:val="0"/>
                <w:sz w:val="18"/>
                <w:szCs w:val="18"/>
              </w:rPr>
            </w:pPr>
            <w:r>
              <w:rPr>
                <w:kern w:val="0"/>
                <w:sz w:val="18"/>
                <w:szCs w:val="18"/>
              </w:rPr>
              <w:t>指标值</w:t>
            </w:r>
          </w:p>
        </w:tc>
        <w:tc>
          <w:tcPr>
            <w:tcW w:w="58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调整</w:t>
            </w:r>
          </w:p>
          <w:p>
            <w:pPr>
              <w:widowControl/>
              <w:spacing w:line="240" w:lineRule="auto"/>
              <w:jc w:val="center"/>
              <w:rPr>
                <w:kern w:val="0"/>
                <w:sz w:val="18"/>
                <w:szCs w:val="18"/>
              </w:rPr>
            </w:pPr>
            <w:r>
              <w:rPr>
                <w:kern w:val="0"/>
                <w:sz w:val="18"/>
                <w:szCs w:val="18"/>
              </w:rPr>
              <w:t>指标值</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全年</w:t>
            </w:r>
          </w:p>
          <w:p>
            <w:pPr>
              <w:widowControl/>
              <w:spacing w:line="240" w:lineRule="auto"/>
              <w:jc w:val="center"/>
              <w:rPr>
                <w:kern w:val="0"/>
                <w:sz w:val="18"/>
                <w:szCs w:val="18"/>
              </w:rPr>
            </w:pPr>
            <w:r>
              <w:rPr>
                <w:kern w:val="0"/>
                <w:sz w:val="18"/>
                <w:szCs w:val="18"/>
              </w:rPr>
              <w:t>完成值</w:t>
            </w:r>
          </w:p>
        </w:tc>
        <w:tc>
          <w:tcPr>
            <w:tcW w:w="99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得分系数</w:t>
            </w:r>
          </w:p>
          <w:p>
            <w:pPr>
              <w:widowControl/>
              <w:spacing w:line="240" w:lineRule="auto"/>
              <w:jc w:val="center"/>
              <w:rPr>
                <w:kern w:val="0"/>
                <w:sz w:val="18"/>
                <w:szCs w:val="18"/>
              </w:rPr>
            </w:pPr>
            <w:r>
              <w:rPr>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指标权重</w:t>
            </w:r>
          </w:p>
          <w:p>
            <w:pPr>
              <w:widowControl/>
              <w:spacing w:line="240" w:lineRule="auto"/>
              <w:jc w:val="center"/>
              <w:rPr>
                <w:kern w:val="0"/>
                <w:sz w:val="18"/>
                <w:szCs w:val="18"/>
              </w:rPr>
            </w:pPr>
            <w:r>
              <w:rPr>
                <w:kern w:val="0"/>
                <w:sz w:val="18"/>
                <w:szCs w:val="18"/>
              </w:rPr>
              <w:t>（分）</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指标得分</w:t>
            </w:r>
          </w:p>
          <w:p>
            <w:pPr>
              <w:widowControl/>
              <w:spacing w:line="240" w:lineRule="auto"/>
              <w:jc w:val="center"/>
              <w:rPr>
                <w:kern w:val="0"/>
                <w:sz w:val="18"/>
                <w:szCs w:val="18"/>
              </w:rPr>
            </w:pPr>
            <w:r>
              <w:rPr>
                <w:kern w:val="0"/>
                <w:sz w:val="18"/>
                <w:szCs w:val="18"/>
              </w:rPr>
              <w:t>（分）</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是否核心</w:t>
            </w:r>
          </w:p>
          <w:p>
            <w:pPr>
              <w:widowControl/>
              <w:spacing w:line="240" w:lineRule="auto"/>
              <w:jc w:val="center"/>
              <w:rPr>
                <w:kern w:val="0"/>
                <w:sz w:val="18"/>
                <w:szCs w:val="18"/>
              </w:rPr>
            </w:pPr>
            <w:r>
              <w:rPr>
                <w:kern w:val="0"/>
                <w:sz w:val="18"/>
                <w:szCs w:val="18"/>
              </w:rPr>
              <w:t>指标</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kern w:val="0"/>
                <w:sz w:val="18"/>
                <w:szCs w:val="18"/>
              </w:rPr>
            </w:pPr>
          </w:p>
        </w:tc>
        <w:tc>
          <w:tcPr>
            <w:tcW w:w="853" w:type="dxa"/>
            <w:tcBorders>
              <w:top w:val="nil"/>
              <w:left w:val="nil"/>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应急抢险装备配备率</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r>
              <w:rPr>
                <w:rFonts w:hint="eastAsia"/>
                <w:kern w:val="0"/>
                <w:sz w:val="18"/>
                <w:szCs w:val="18"/>
              </w:rPr>
              <w:t>%</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ascii="Arial" w:hAnsi="Arial" w:cs="Arial"/>
                <w:kern w:val="0"/>
                <w:sz w:val="18"/>
                <w:szCs w:val="18"/>
              </w:rPr>
              <w:t>≥</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100</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100</w:t>
            </w:r>
            <w:r>
              <w:rPr>
                <w:kern w:val="0"/>
                <w:sz w:val="18"/>
                <w:szCs w:val="18"/>
              </w:rPr>
              <w:t>　</w:t>
            </w:r>
          </w:p>
        </w:tc>
        <w:tc>
          <w:tcPr>
            <w:tcW w:w="99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100</w:t>
            </w:r>
            <w:r>
              <w:rPr>
                <w:kern w:val="0"/>
                <w:sz w:val="18"/>
                <w:szCs w:val="18"/>
              </w:rPr>
              <w:t>　</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r>
              <w:rPr>
                <w:rFonts w:hint="eastAsia"/>
                <w:kern w:val="0"/>
                <w:sz w:val="18"/>
                <w:szCs w:val="18"/>
              </w:rPr>
              <w:t>50</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50</w:t>
            </w: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kern w:val="0"/>
                <w:sz w:val="18"/>
                <w:szCs w:val="18"/>
              </w:rPr>
            </w:pPr>
          </w:p>
        </w:tc>
        <w:tc>
          <w:tcPr>
            <w:tcW w:w="853" w:type="dxa"/>
            <w:tcBorders>
              <w:top w:val="nil"/>
              <w:left w:val="nil"/>
              <w:bottom w:val="single" w:color="auto" w:sz="4" w:space="0"/>
              <w:right w:val="nil"/>
            </w:tcBorders>
            <w:shd w:val="clear" w:color="auto" w:fill="auto"/>
            <w:vAlign w:val="center"/>
          </w:tcPr>
          <w:p>
            <w:pPr>
              <w:widowControl/>
              <w:spacing w:line="240" w:lineRule="auto"/>
              <w:rPr>
                <w:kern w:val="0"/>
                <w:sz w:val="18"/>
                <w:szCs w:val="18"/>
              </w:rPr>
            </w:pPr>
            <w:r>
              <w:rPr>
                <w:rFonts w:hint="eastAsia"/>
                <w:kern w:val="0"/>
                <w:sz w:val="18"/>
                <w:szCs w:val="18"/>
              </w:rPr>
              <w:t>资金到位率</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r>
              <w:rPr>
                <w:rFonts w:hint="eastAsia"/>
                <w:kern w:val="0"/>
                <w:sz w:val="18"/>
                <w:szCs w:val="18"/>
              </w:rPr>
              <w:t>%</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100</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100</w:t>
            </w:r>
            <w:r>
              <w:rPr>
                <w:kern w:val="0"/>
                <w:sz w:val="18"/>
                <w:szCs w:val="18"/>
              </w:rPr>
              <w:t>　</w:t>
            </w:r>
          </w:p>
        </w:tc>
        <w:tc>
          <w:tcPr>
            <w:tcW w:w="99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100</w:t>
            </w:r>
            <w:r>
              <w:rPr>
                <w:kern w:val="0"/>
                <w:sz w:val="18"/>
                <w:szCs w:val="18"/>
              </w:rPr>
              <w:t>　</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20</w:t>
            </w:r>
            <w:r>
              <w:rPr>
                <w:kern w:val="0"/>
                <w:sz w:val="18"/>
                <w:szCs w:val="18"/>
              </w:rPr>
              <w:t>　</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20</w:t>
            </w:r>
            <w:r>
              <w:rPr>
                <w:kern w:val="0"/>
                <w:sz w:val="18"/>
                <w:szCs w:val="18"/>
              </w:rPr>
              <w:t>　</w:t>
            </w: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kern w:val="0"/>
                <w:sz w:val="18"/>
                <w:szCs w:val="18"/>
              </w:rPr>
            </w:pPr>
          </w:p>
        </w:tc>
        <w:tc>
          <w:tcPr>
            <w:tcW w:w="853" w:type="dxa"/>
            <w:tcBorders>
              <w:top w:val="nil"/>
              <w:left w:val="nil"/>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实施区域受益群众满意度</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ascii="Arial" w:hAnsi="Arial" w:cs="Arial"/>
                <w:kern w:val="0"/>
                <w:sz w:val="18"/>
                <w:szCs w:val="18"/>
              </w:rPr>
              <w:t>≥</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80</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80</w:t>
            </w:r>
            <w:r>
              <w:rPr>
                <w:kern w:val="0"/>
                <w:sz w:val="18"/>
                <w:szCs w:val="18"/>
              </w:rPr>
              <w:t>　</w:t>
            </w:r>
          </w:p>
        </w:tc>
        <w:tc>
          <w:tcPr>
            <w:tcW w:w="99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70</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20</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17.5</w:t>
            </w: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kern w:val="0"/>
                <w:sz w:val="18"/>
                <w:szCs w:val="18"/>
              </w:rPr>
            </w:pPr>
          </w:p>
        </w:tc>
        <w:tc>
          <w:tcPr>
            <w:tcW w:w="853" w:type="dxa"/>
            <w:tcBorders>
              <w:top w:val="nil"/>
              <w:left w:val="nil"/>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预算执行率</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ascii="Arial" w:hAnsi="Arial" w:cs="Arial"/>
                <w:kern w:val="0"/>
                <w:sz w:val="18"/>
                <w:szCs w:val="18"/>
              </w:rPr>
              <w:t>≥</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100</w:t>
            </w: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r>
              <w:rPr>
                <w:rFonts w:hint="eastAsia"/>
                <w:kern w:val="0"/>
                <w:sz w:val="18"/>
                <w:szCs w:val="18"/>
              </w:rPr>
              <w:t>100</w:t>
            </w:r>
          </w:p>
        </w:tc>
        <w:tc>
          <w:tcPr>
            <w:tcW w:w="99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100</w:t>
            </w:r>
            <w:r>
              <w:rPr>
                <w:kern w:val="0"/>
                <w:sz w:val="18"/>
                <w:szCs w:val="18"/>
              </w:rPr>
              <w:t>　</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10</w:t>
            </w:r>
            <w:r>
              <w:rPr>
                <w:kern w:val="0"/>
                <w:sz w:val="18"/>
                <w:szCs w:val="18"/>
              </w:rPr>
              <w:t>　</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rFonts w:hint="eastAsia"/>
                <w:kern w:val="0"/>
                <w:sz w:val="18"/>
                <w:szCs w:val="18"/>
              </w:rPr>
              <w:t>10</w:t>
            </w:r>
            <w:r>
              <w:rPr>
                <w:kern w:val="0"/>
                <w:sz w:val="18"/>
                <w:szCs w:val="18"/>
              </w:rPr>
              <w:t>　</w:t>
            </w: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kern w:val="0"/>
                <w:sz w:val="18"/>
                <w:szCs w:val="18"/>
              </w:rPr>
            </w:pPr>
          </w:p>
        </w:tc>
        <w:tc>
          <w:tcPr>
            <w:tcW w:w="853" w:type="dxa"/>
            <w:tcBorders>
              <w:top w:val="nil"/>
              <w:left w:val="nil"/>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58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99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kern w:val="0"/>
                <w:sz w:val="18"/>
                <w:szCs w:val="18"/>
              </w:rPr>
            </w:pPr>
            <w:r>
              <w:rPr>
                <w:kern w:val="0"/>
                <w:sz w:val="18"/>
                <w:szCs w:val="18"/>
              </w:rPr>
              <w:t>　</w:t>
            </w: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755"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sz w:val="18"/>
                <w:szCs w:val="18"/>
              </w:rPr>
            </w:pPr>
            <w:r>
              <w:rPr>
                <w:kern w:val="0"/>
                <w:sz w:val="18"/>
                <w:szCs w:val="18"/>
              </w:rPr>
              <w:t>说明</w:t>
            </w:r>
          </w:p>
        </w:tc>
        <w:tc>
          <w:tcPr>
            <w:tcW w:w="8678"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kern w:val="0"/>
                <w:sz w:val="18"/>
                <w:szCs w:val="18"/>
              </w:rPr>
            </w:pPr>
            <w:r>
              <w:rPr>
                <w:kern w:val="0"/>
                <w:sz w:val="18"/>
                <w:szCs w:val="18"/>
              </w:rPr>
              <w:t>　</w:t>
            </w:r>
            <w:r>
              <w:rPr>
                <w:rFonts w:hint="eastAsia"/>
                <w:kern w:val="0"/>
                <w:sz w:val="18"/>
                <w:szCs w:val="18"/>
              </w:rPr>
              <w:t>按万州财产业【2020】35号文件专项用于应急备灾能力建设和应急抢险救援装备配备。</w:t>
            </w:r>
          </w:p>
        </w:tc>
      </w:tr>
    </w:tbl>
    <w:p>
      <w:pPr>
        <w:pStyle w:val="4"/>
        <w:numPr>
          <w:ilvl w:val="0"/>
          <w:numId w:val="1"/>
        </w:numPr>
        <w:spacing w:before="0" w:beforeAutospacing="0" w:after="0" w:afterAutospacing="0" w:line="600" w:lineRule="exact"/>
        <w:rPr>
          <w:rFonts w:eastAsia="方正黑体_GBK" w:cs="Times New Roman"/>
          <w:sz w:val="32"/>
          <w:szCs w:val="32"/>
        </w:rPr>
      </w:pPr>
      <w:r>
        <w:rPr>
          <w:rStyle w:val="7"/>
          <w:rFonts w:hint="eastAsia" w:ascii="方正黑体_GBK" w:hAnsi="方正黑体_GBK" w:eastAsia="方正黑体_GBK" w:cs="方正黑体_GBK"/>
          <w:b w:val="0"/>
          <w:bCs w:val="0"/>
          <w:sz w:val="32"/>
          <w:szCs w:val="32"/>
        </w:rPr>
        <w:t>专业名词解释。</w:t>
      </w:r>
      <w:r>
        <w:br w:type="textWrapping"/>
      </w:r>
      <w:r>
        <w:t> </w:t>
      </w:r>
      <w:r>
        <w:rPr>
          <w:rStyle w:val="7"/>
          <w:rFonts w:hint="eastAsia" w:ascii="方正楷体_GBK" w:hAnsi="方正楷体_GBK" w:eastAsia="方正楷体_GBK" w:cs="方正楷体_GBK"/>
          <w:b w:val="0"/>
          <w:bCs w:val="0"/>
          <w:sz w:val="32"/>
          <w:szCs w:val="32"/>
        </w:rPr>
        <w:t>  （一）财政拨款收入：</w:t>
      </w:r>
      <w:r>
        <w:rPr>
          <w:rFonts w:hint="eastAsia" w:ascii="方正仿宋_GBK" w:hAnsi="方正仿宋_GBK" w:cs="方正仿宋_GBK"/>
          <w:sz w:val="32"/>
          <w:szCs w:val="32"/>
        </w:rPr>
        <w:t>指本年度从本级财政部门取得的财政拨款，包括一般公共预算财政拨款和政府性基金预算财政拨款。</w:t>
      </w:r>
      <w:r>
        <w:rPr>
          <w:rFonts w:hint="eastAsia" w:ascii="方正仿宋_GBK" w:hAnsi="方正仿宋_GBK" w:cs="方正仿宋_GBK"/>
          <w:sz w:val="32"/>
          <w:szCs w:val="32"/>
        </w:rPr>
        <w:br w:type="textWrapping"/>
      </w:r>
      <w:r>
        <w:rPr>
          <w:rStyle w:val="7"/>
        </w:rPr>
        <w:t> </w:t>
      </w:r>
      <w:r>
        <w:rPr>
          <w:rStyle w:val="7"/>
          <w:rFonts w:hint="eastAsia" w:ascii="方正楷体_GBK" w:hAnsi="方正楷体_GBK" w:eastAsia="方正楷体_GBK" w:cs="方正楷体_GBK"/>
          <w:b w:val="0"/>
          <w:bCs w:val="0"/>
          <w:sz w:val="32"/>
          <w:szCs w:val="32"/>
        </w:rPr>
        <w:t xml:space="preserve"> （二）事业收入：</w:t>
      </w:r>
      <w:r>
        <w:rPr>
          <w:rFonts w:hint="eastAsia" w:ascii="方正仿宋_GBK" w:hAnsi="方正仿宋_GBK" w:cs="方正仿宋_GBK"/>
          <w:sz w:val="32"/>
          <w:szCs w:val="32"/>
        </w:rPr>
        <w:t>指事业单位开展专业业务活动及其辅助活动取得的收入；事业单位收到的财政专户实际核拨的教育收费等资金在此反映。</w:t>
      </w:r>
      <w:r>
        <w:rPr>
          <w:rFonts w:hint="eastAsia" w:ascii="方正仿宋_GBK" w:hAnsi="方正仿宋_GBK" w:cs="方正仿宋_GBK"/>
          <w:sz w:val="32"/>
          <w:szCs w:val="32"/>
        </w:rPr>
        <w:br w:type="textWrapping"/>
      </w:r>
      <w:r>
        <w:rPr>
          <w:rStyle w:val="7"/>
        </w:rPr>
        <w:t xml:space="preserve">  </w:t>
      </w:r>
      <w:r>
        <w:rPr>
          <w:rStyle w:val="7"/>
          <w:rFonts w:hint="eastAsia" w:ascii="方正楷体_GBK" w:hAnsi="方正楷体_GBK" w:eastAsia="方正楷体_GBK" w:cs="方正楷体_GBK"/>
          <w:b w:val="0"/>
          <w:bCs w:val="0"/>
          <w:sz w:val="32"/>
          <w:szCs w:val="32"/>
        </w:rPr>
        <w:t>（三）经营收入：</w:t>
      </w:r>
      <w:r>
        <w:rPr>
          <w:rFonts w:hint="eastAsia" w:ascii="方正仿宋_GBK" w:hAnsi="方正仿宋_GBK" w:cs="方正仿宋_GBK"/>
          <w:sz w:val="32"/>
          <w:szCs w:val="32"/>
        </w:rPr>
        <w:t>指事业单位在专业业务活动及其辅助活动之外开展非独立核算经营活动取得的收入。</w:t>
      </w:r>
      <w:r>
        <w:rPr>
          <w:rFonts w:hint="eastAsia" w:ascii="方正仿宋_GBK" w:hAnsi="方正仿宋_GBK" w:cs="方正仿宋_GBK"/>
          <w:sz w:val="32"/>
          <w:szCs w:val="32"/>
        </w:rPr>
        <w:br w:type="textWrapping"/>
      </w:r>
      <w:r>
        <w:rPr>
          <w:rStyle w:val="7"/>
        </w:rPr>
        <w:t> </w:t>
      </w:r>
      <w:r>
        <w:rPr>
          <w:rStyle w:val="7"/>
          <w:rFonts w:hint="eastAsia"/>
        </w:rPr>
        <w:t xml:space="preserve"> </w:t>
      </w:r>
      <w:r>
        <w:rPr>
          <w:rStyle w:val="7"/>
          <w:rFonts w:hint="eastAsia" w:ascii="方正楷体_GBK" w:hAnsi="方正楷体_GBK" w:eastAsia="方正楷体_GBK" w:cs="方正楷体_GBK"/>
          <w:b w:val="0"/>
          <w:bCs w:val="0"/>
          <w:sz w:val="32"/>
          <w:szCs w:val="32"/>
        </w:rPr>
        <w:t>（四）其他收入：</w:t>
      </w:r>
      <w:r>
        <w:rPr>
          <w:rFonts w:hint="eastAsia" w:ascii="方正仿宋_GBK" w:hAnsi="方正仿宋_GBK" w:cs="方正仿宋_GBK"/>
          <w:sz w:val="32"/>
          <w:szCs w:val="32"/>
        </w:rPr>
        <w:t>指单位取得的除“财政拨款收入”、“事业收入”、“经营收入”等以外的收入，包括未纳入财政预算 或财政专户管理的投资收益、银行存款利息收入、租金收入、捐赠收入，现金盘盈收入、存货盘盈收入、收回已核销的应收及预付款项、无法偿付的应付及预收款项 等。各单位从本级财政部门以外的同级单位取得的经费、从非本级财政部门取得的经费，以及行政单位收到的财政专户管理资金填列在本项内。</w:t>
      </w:r>
      <w:r>
        <w:rPr>
          <w:rFonts w:hint="eastAsia" w:ascii="方正仿宋_GBK" w:hAnsi="方正仿宋_GBK" w:cs="方正仿宋_GBK"/>
          <w:sz w:val="32"/>
          <w:szCs w:val="32"/>
        </w:rPr>
        <w:br w:type="textWrapping"/>
      </w:r>
      <w:r>
        <w:rPr>
          <w:rStyle w:val="7"/>
        </w:rPr>
        <w:t> </w:t>
      </w:r>
      <w:r>
        <w:rPr>
          <w:rStyle w:val="7"/>
          <w:rFonts w:hint="eastAsia" w:ascii="方正楷体_GBK" w:hAnsi="方正楷体_GBK" w:eastAsia="方正楷体_GBK" w:cs="方正楷体_GBK"/>
          <w:b w:val="0"/>
          <w:bCs w:val="0"/>
          <w:sz w:val="32"/>
          <w:szCs w:val="32"/>
        </w:rPr>
        <w:t>（五）用事业基金弥补收支差额：</w:t>
      </w:r>
      <w:r>
        <w:rPr>
          <w:rFonts w:hint="eastAsia" w:ascii="方正仿宋_GBK" w:hAnsi="方正仿宋_GBK" w:cs="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r>
        <w:rPr>
          <w:rFonts w:hint="eastAsia" w:ascii="方正仿宋_GBK" w:hAnsi="方正仿宋_GBK" w:cs="方正仿宋_GBK"/>
          <w:sz w:val="32"/>
          <w:szCs w:val="32"/>
        </w:rPr>
        <w:br w:type="textWrapping"/>
      </w:r>
      <w:r>
        <w:rPr>
          <w:rStyle w:val="7"/>
        </w:rPr>
        <w:t> </w:t>
      </w:r>
      <w:r>
        <w:rPr>
          <w:rStyle w:val="7"/>
          <w:rFonts w:hint="eastAsia" w:ascii="方正楷体_GBK" w:hAnsi="方正楷体_GBK" w:eastAsia="方正楷体_GBK" w:cs="方正楷体_GBK"/>
          <w:b w:val="0"/>
          <w:bCs w:val="0"/>
          <w:sz w:val="32"/>
          <w:szCs w:val="32"/>
        </w:rPr>
        <w:t xml:space="preserve"> （六）年初结转和结余：</w:t>
      </w:r>
      <w:r>
        <w:rPr>
          <w:rFonts w:hint="eastAsia" w:ascii="方正仿宋_GBK" w:hAnsi="方正仿宋_GBK" w:cs="方正仿宋_GBK"/>
          <w:sz w:val="32"/>
          <w:szCs w:val="32"/>
        </w:rPr>
        <w:t>指单位上年结转本年使用的基本支出结转、项目支出结转和结余、经营结余。不包括事业单位净资产项下的事业基金和专用基金。</w:t>
      </w:r>
      <w:r>
        <w:rPr>
          <w:rFonts w:hint="eastAsia" w:ascii="方正仿宋_GBK" w:hAnsi="方正仿宋_GBK" w:cs="方正仿宋_GBK"/>
          <w:sz w:val="32"/>
          <w:szCs w:val="32"/>
        </w:rPr>
        <w:br w:type="textWrapping"/>
      </w:r>
      <w:r>
        <w:rPr>
          <w:rStyle w:val="7"/>
        </w:rPr>
        <w:t xml:space="preserve">  </w:t>
      </w:r>
      <w:r>
        <w:rPr>
          <w:rStyle w:val="7"/>
          <w:rFonts w:hint="eastAsia" w:ascii="方正楷体_GBK" w:hAnsi="方正楷体_GBK" w:eastAsia="方正楷体_GBK" w:cs="方正楷体_GBK"/>
          <w:b w:val="0"/>
          <w:bCs w:val="0"/>
          <w:sz w:val="32"/>
          <w:szCs w:val="32"/>
        </w:rPr>
        <w:t>（七）结余分配：</w:t>
      </w:r>
      <w:r>
        <w:rPr>
          <w:rFonts w:hint="eastAsia" w:ascii="方正仿宋_GBK" w:hAnsi="方正仿宋_GBK" w:cs="方正仿宋_GBK"/>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r>
        <w:rPr>
          <w:rFonts w:hint="eastAsia" w:ascii="方正仿宋_GBK" w:hAnsi="方正仿宋_GBK" w:cs="方正仿宋_GBK"/>
          <w:sz w:val="32"/>
          <w:szCs w:val="32"/>
        </w:rPr>
        <w:br w:type="textWrapping"/>
      </w:r>
      <w:r>
        <w:rPr>
          <w:rStyle w:val="7"/>
        </w:rPr>
        <w:t> </w:t>
      </w:r>
      <w:r>
        <w:rPr>
          <w:rStyle w:val="7"/>
          <w:rFonts w:hint="eastAsia" w:ascii="方正楷体_GBK" w:hAnsi="方正楷体_GBK" w:eastAsia="方正楷体_GBK" w:cs="方正楷体_GBK"/>
          <w:b w:val="0"/>
          <w:bCs w:val="0"/>
          <w:sz w:val="32"/>
          <w:szCs w:val="32"/>
        </w:rPr>
        <w:t>（八）年末结转和结余：</w:t>
      </w:r>
      <w:r>
        <w:rPr>
          <w:rFonts w:hint="eastAsia" w:ascii="方正仿宋_GBK" w:hAnsi="方正仿宋_GBK" w:cs="方正仿宋_GBK"/>
          <w:sz w:val="32"/>
          <w:szCs w:val="32"/>
        </w:rPr>
        <w:t>指单位结转下年的基本支出结转、项目支出结转和结余、经营结余。不包括事业单位净资产项下的事业基金和专用基金。</w:t>
      </w:r>
      <w:r>
        <w:rPr>
          <w:rFonts w:hint="eastAsia" w:ascii="方正仿宋_GBK" w:hAnsi="方正仿宋_GBK" w:cs="方正仿宋_GBK"/>
          <w:sz w:val="32"/>
          <w:szCs w:val="32"/>
        </w:rPr>
        <w:br w:type="textWrapping"/>
      </w:r>
      <w:r>
        <w:rPr>
          <w:rStyle w:val="7"/>
        </w:rPr>
        <w:t xml:space="preserve">  </w:t>
      </w:r>
      <w:r>
        <w:rPr>
          <w:rStyle w:val="7"/>
          <w:rFonts w:hint="eastAsia" w:ascii="方正楷体_GBK" w:hAnsi="方正楷体_GBK" w:eastAsia="方正楷体_GBK" w:cs="方正楷体_GBK"/>
          <w:b w:val="0"/>
          <w:bCs w:val="0"/>
          <w:sz w:val="32"/>
          <w:szCs w:val="32"/>
        </w:rPr>
        <w:t>（九）基本支出：</w:t>
      </w:r>
      <w:r>
        <w:rPr>
          <w:rFonts w:hint="eastAsia" w:ascii="方正仿宋_GBK" w:hAnsi="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r>
        <w:rPr>
          <w:rFonts w:hint="eastAsia" w:ascii="方正仿宋_GBK" w:hAnsi="方正仿宋_GBK" w:cs="方正仿宋_GBK"/>
          <w:sz w:val="32"/>
          <w:szCs w:val="32"/>
        </w:rPr>
        <w:br w:type="textWrapping"/>
      </w:r>
      <w:r>
        <w:rPr>
          <w:rStyle w:val="7"/>
        </w:rPr>
        <w:t> </w:t>
      </w:r>
      <w:r>
        <w:rPr>
          <w:rStyle w:val="7"/>
          <w:rFonts w:hint="eastAsia"/>
        </w:rPr>
        <w:t xml:space="preserve"> </w:t>
      </w:r>
      <w:r>
        <w:rPr>
          <w:rStyle w:val="7"/>
          <w:rFonts w:hint="eastAsia" w:ascii="方正楷体_GBK" w:hAnsi="方正楷体_GBK" w:eastAsia="方正楷体_GBK" w:cs="方正楷体_GBK"/>
          <w:b w:val="0"/>
          <w:bCs w:val="0"/>
          <w:sz w:val="32"/>
          <w:szCs w:val="32"/>
        </w:rPr>
        <w:t>（十）项目支出：</w:t>
      </w:r>
      <w:r>
        <w:rPr>
          <w:rFonts w:hint="eastAsia" w:ascii="方正仿宋_GBK" w:hAnsi="方正仿宋_GBK" w:cs="方正仿宋_GBK"/>
          <w:sz w:val="32"/>
          <w:szCs w:val="32"/>
        </w:rPr>
        <w:t>指在基本支出之外为完成特定行政任务和事业发展目标所发生的支出。</w:t>
      </w:r>
      <w:r>
        <w:rPr>
          <w:rFonts w:hint="eastAsia" w:ascii="方正仿宋_GBK" w:hAnsi="方正仿宋_GBK" w:cs="方正仿宋_GBK"/>
          <w:sz w:val="32"/>
          <w:szCs w:val="32"/>
        </w:rPr>
        <w:br w:type="textWrapping"/>
      </w:r>
      <w:r>
        <w:rPr>
          <w:rStyle w:val="7"/>
        </w:rPr>
        <w:t xml:space="preserve">  </w:t>
      </w:r>
      <w:r>
        <w:rPr>
          <w:rStyle w:val="7"/>
          <w:rFonts w:hint="eastAsia" w:ascii="方正楷体_GBK" w:hAnsi="方正楷体_GBK" w:eastAsia="方正楷体_GBK" w:cs="方正楷体_GBK"/>
          <w:b w:val="0"/>
          <w:bCs w:val="0"/>
          <w:sz w:val="32"/>
          <w:szCs w:val="32"/>
        </w:rPr>
        <w:t>（十一）经营支出：</w:t>
      </w:r>
      <w:r>
        <w:rPr>
          <w:rFonts w:hint="eastAsia" w:ascii="方正仿宋_GBK" w:hAnsi="方正仿宋_GBK" w:cs="方正仿宋_GBK"/>
          <w:sz w:val="32"/>
          <w:szCs w:val="32"/>
        </w:rPr>
        <w:t>指事业单位在专业业务活动及其辅助活动之外开展非独立核算经营活动发生的支出。</w:t>
      </w:r>
      <w:r>
        <w:rPr>
          <w:rFonts w:hint="eastAsia" w:ascii="方正仿宋_GBK" w:hAnsi="方正仿宋_GBK" w:cs="方正仿宋_GBK"/>
          <w:sz w:val="32"/>
          <w:szCs w:val="32"/>
        </w:rPr>
        <w:br w:type="textWrapping"/>
      </w:r>
      <w:r>
        <w:rPr>
          <w:rStyle w:val="7"/>
        </w:rPr>
        <w:t> </w:t>
      </w:r>
      <w:r>
        <w:rPr>
          <w:rStyle w:val="7"/>
          <w:rFonts w:hint="eastAsia" w:ascii="方正楷体_GBK" w:hAnsi="方正楷体_GBK" w:eastAsia="方正楷体_GBK" w:cs="方正楷体_GBK"/>
          <w:b w:val="0"/>
          <w:bCs w:val="0"/>
          <w:sz w:val="32"/>
          <w:szCs w:val="32"/>
        </w:rPr>
        <w:t xml:space="preserve"> （十二）“三公”经费：</w:t>
      </w:r>
      <w:r>
        <w:rPr>
          <w:rFonts w:hint="eastAsia" w:ascii="方正仿宋_GBK" w:hAnsi="方正仿宋_GBK" w:cs="方正仿宋_GBK"/>
          <w:sz w:val="32"/>
          <w:szCs w:val="32"/>
        </w:rPr>
        <w:t>指用一般公共预算财政拨款安排的因公出国（境）费、公务用车购置及运行维护费、公务接待 费。其中，因公出国（境）费反映单位公务出国（境）的国际旅费、国外城市间交通费、住宿费、伙食费、培训费、公杂费等支出；公务用车购置费反映单位公务用 车购置支出（含车辆购置税）；公务用车运行维护费反映单位按规定保留的公务用车燃料费、维修费、过路过桥费、保险费、安全奖励费用等支出；公务接待费反映 单位按规定开支的各类公务接待（含外宾接待）支出。</w:t>
      </w:r>
      <w:r>
        <w:rPr>
          <w:rFonts w:hint="eastAsia" w:ascii="方正仿宋_GBK" w:hAnsi="方正仿宋_GBK" w:cs="方正仿宋_GBK"/>
          <w:sz w:val="32"/>
          <w:szCs w:val="32"/>
        </w:rPr>
        <w:br w:type="textWrapping"/>
      </w:r>
      <w:r>
        <w:rPr>
          <w:rStyle w:val="7"/>
        </w:rPr>
        <w:t> </w:t>
      </w:r>
      <w:r>
        <w:rPr>
          <w:rStyle w:val="7"/>
          <w:rFonts w:hint="eastAsia" w:ascii="方正楷体_GBK" w:hAnsi="方正楷体_GBK" w:eastAsia="方正楷体_GBK" w:cs="方正楷体_GBK"/>
          <w:b w:val="0"/>
          <w:bCs w:val="0"/>
          <w:sz w:val="32"/>
          <w:szCs w:val="32"/>
        </w:rPr>
        <w:t xml:space="preserve"> （十三）机关运行经费：</w:t>
      </w:r>
      <w:r>
        <w:rPr>
          <w:rFonts w:hint="eastAsia" w:ascii="方正仿宋_GBK" w:hAnsi="方正仿宋_GBK" w:cs="方正仿宋_GBK"/>
          <w:sz w:val="32"/>
          <w:szCs w:val="32"/>
        </w:rPr>
        <w:t>为保障行政单位（含参照公务员法管理的事业单位）运行用于购买货物和服务等的各项公用经 费，包括办公及印刷费、邮电费、差旅费、会议费、福利费、日常维护费、专用材料及一般设备购置费、办公用房水电费、办公用房取暖费、办公用房物业管理费、 公务用车运行维护费以及其他费用。</w:t>
      </w:r>
      <w:r>
        <w:rPr>
          <w:rFonts w:hint="eastAsia" w:ascii="方正仿宋_GBK" w:hAnsi="方正仿宋_GBK" w:cs="方正仿宋_GBK"/>
          <w:sz w:val="32"/>
          <w:szCs w:val="32"/>
        </w:rPr>
        <w:br w:type="textWrapping"/>
      </w:r>
      <w:r>
        <w:rPr>
          <w:rStyle w:val="7"/>
        </w:rPr>
        <w:t> </w:t>
      </w:r>
      <w:r>
        <w:rPr>
          <w:rStyle w:val="7"/>
          <w:rFonts w:hint="eastAsia" w:ascii="方正楷体_GBK" w:hAnsi="方正楷体_GBK" w:eastAsia="方正楷体_GBK" w:cs="方正楷体_GBK"/>
          <w:b w:val="0"/>
          <w:bCs w:val="0"/>
          <w:sz w:val="32"/>
          <w:szCs w:val="32"/>
        </w:rPr>
        <w:t>（十四）工资福利支出（支出经济分类科目类级）</w:t>
      </w:r>
      <w:r>
        <w:rPr>
          <w:rFonts w:hint="eastAsia" w:ascii="方正仿宋_GBK" w:hAnsi="方正仿宋_GBK" w:cs="方正仿宋_GBK"/>
          <w:sz w:val="32"/>
          <w:szCs w:val="32"/>
        </w:rPr>
        <w:t>：反映单位开支的在职职工和编制外长期聘用人员的各类劳动报酬，以及为上述人员缴纳的各项社会保险费等。</w:t>
      </w:r>
      <w:r>
        <w:rPr>
          <w:rFonts w:hint="eastAsia" w:ascii="方正仿宋_GBK" w:hAnsi="方正仿宋_GBK" w:cs="方正仿宋_GBK"/>
          <w:sz w:val="32"/>
          <w:szCs w:val="32"/>
        </w:rPr>
        <w:br w:type="textWrapping"/>
      </w:r>
      <w:r>
        <w:rPr>
          <w:rStyle w:val="7"/>
        </w:rPr>
        <w:t> </w:t>
      </w:r>
      <w:r>
        <w:rPr>
          <w:rStyle w:val="7"/>
          <w:rFonts w:hint="eastAsia" w:ascii="方正楷体_GBK" w:hAnsi="方正楷体_GBK" w:eastAsia="方正楷体_GBK" w:cs="方正楷体_GBK"/>
          <w:b w:val="0"/>
          <w:bCs w:val="0"/>
          <w:sz w:val="32"/>
          <w:szCs w:val="32"/>
        </w:rPr>
        <w:t>（十五）商品和服务支出（支出经济分类科目类级）</w:t>
      </w:r>
      <w:r>
        <w:rPr>
          <w:rStyle w:val="7"/>
        </w:rPr>
        <w:t>：</w:t>
      </w:r>
      <w:r>
        <w:rPr>
          <w:rFonts w:hint="eastAsia" w:ascii="方正仿宋_GBK" w:hAnsi="方正仿宋_GBK" w:cs="方正仿宋_GBK"/>
          <w:sz w:val="32"/>
          <w:szCs w:val="32"/>
        </w:rPr>
        <w:t>反映单位购买商品和服务的支出（不包括用于购置固定资产的支出、战略性和应急储备支出）。</w:t>
      </w:r>
      <w:r>
        <w:rPr>
          <w:rFonts w:hint="eastAsia" w:ascii="方正仿宋_GBK" w:hAnsi="方正仿宋_GBK" w:cs="方正仿宋_GBK"/>
          <w:sz w:val="32"/>
          <w:szCs w:val="32"/>
        </w:rPr>
        <w:br w:type="textWrapping"/>
      </w:r>
      <w:r>
        <w:rPr>
          <w:rStyle w:val="7"/>
        </w:rPr>
        <w:t xml:space="preserve">  </w:t>
      </w:r>
      <w:r>
        <w:rPr>
          <w:rStyle w:val="7"/>
          <w:rFonts w:hint="eastAsia" w:ascii="方正楷体_GBK" w:hAnsi="方正楷体_GBK" w:eastAsia="方正楷体_GBK" w:cs="方正楷体_GBK"/>
          <w:b w:val="0"/>
          <w:bCs w:val="0"/>
          <w:sz w:val="32"/>
          <w:szCs w:val="32"/>
        </w:rPr>
        <w:t>（十六）对个人和家庭的补助（支出经济分类科目类级）：</w:t>
      </w:r>
      <w:r>
        <w:rPr>
          <w:rFonts w:hint="eastAsia" w:ascii="方正仿宋_GBK" w:hAnsi="方正仿宋_GBK" w:cs="方正仿宋_GBK"/>
          <w:sz w:val="32"/>
          <w:szCs w:val="32"/>
        </w:rPr>
        <w:t>反映用于对个人和家庭的补助支出。</w:t>
      </w:r>
      <w:r>
        <w:rPr>
          <w:rFonts w:hint="eastAsia" w:ascii="方正仿宋_GBK" w:hAnsi="方正仿宋_GBK" w:cs="方正仿宋_GBK"/>
          <w:sz w:val="32"/>
          <w:szCs w:val="32"/>
        </w:rPr>
        <w:br w:type="textWrapping"/>
      </w:r>
      <w:r>
        <w:rPr>
          <w:rStyle w:val="7"/>
        </w:rPr>
        <w:t xml:space="preserve">  </w:t>
      </w:r>
      <w:r>
        <w:rPr>
          <w:rStyle w:val="7"/>
          <w:rFonts w:hint="eastAsia" w:ascii="方正楷体_GBK" w:hAnsi="方正楷体_GBK" w:eastAsia="方正楷体_GBK" w:cs="方正楷体_GBK"/>
          <w:b w:val="0"/>
          <w:bCs w:val="0"/>
          <w:sz w:val="32"/>
          <w:szCs w:val="32"/>
        </w:rPr>
        <w:t>（十七）其他资本性支出（支出经济分类科目类级）</w:t>
      </w:r>
      <w:r>
        <w:rPr>
          <w:rStyle w:val="7"/>
        </w:rPr>
        <w:t>：</w:t>
      </w:r>
      <w:r>
        <w:rPr>
          <w:rFonts w:hint="eastAsia" w:ascii="方正仿宋_GBK" w:hAnsi="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r>
        <w:rPr>
          <w:rFonts w:hint="eastAsia" w:ascii="方正仿宋_GBK" w:hAnsi="方正仿宋_GBK" w:cs="方正仿宋_GBK"/>
          <w:sz w:val="32"/>
          <w:szCs w:val="32"/>
        </w:rPr>
        <w:br w:type="textWrapping"/>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、决算公开联系方式</w:t>
      </w:r>
      <w:r>
        <w:rPr>
          <w:rFonts w:hint="eastAsia" w:eastAsia="方正黑体_GBK" w:cs="Times New Roman"/>
          <w:sz w:val="32"/>
          <w:szCs w:val="32"/>
        </w:rPr>
        <w:t>及信息反馈渠道</w:t>
      </w:r>
    </w:p>
    <w:p>
      <w:pPr>
        <w:pStyle w:val="4"/>
        <w:spacing w:before="0" w:beforeAutospacing="0" w:after="0" w:afterAutospacing="0" w:line="600" w:lineRule="exact"/>
        <w:ind w:left="240"/>
        <w:rPr>
          <w:rFonts w:ascii="方正仿宋_GBK" w:hAnsi="方正仿宋_GBK" w:cs="方正仿宋_GBK"/>
          <w:sz w:val="32"/>
          <w:szCs w:val="32"/>
        </w:rPr>
      </w:pPr>
      <w:r>
        <w:rPr>
          <w:rFonts w:hint="eastAsia" w:ascii="方正仿宋_GBK" w:hAnsi="方正仿宋_GBK" w:cs="方正仿宋_GBK"/>
          <w:sz w:val="32"/>
          <w:szCs w:val="32"/>
        </w:rPr>
        <w:t>本单位决算公开信息反馈和联系方式：023-58980066。</w:t>
      </w:r>
    </w:p>
    <w:p>
      <w:pPr>
        <w:pStyle w:val="8"/>
        <w:tabs>
          <w:tab w:val="center" w:pos="4153"/>
          <w:tab w:val="left" w:pos="7275"/>
        </w:tabs>
        <w:spacing w:line="600" w:lineRule="exact"/>
        <w:ind w:firstLine="640"/>
        <w:rPr>
          <w:szCs w:val="32"/>
        </w:rPr>
      </w:pPr>
    </w:p>
    <w:sectPr>
      <w:footerReference r:id="rId5" w:type="default"/>
      <w:pgSz w:w="11906" w:h="16838"/>
      <w:pgMar w:top="2098" w:right="1531" w:bottom="1985" w:left="1531" w:header="851" w:footer="147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- 11 -</w:t>
                </w:r>
                <w:r>
                  <w:rPr>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5E48A"/>
    <w:multiLevelType w:val="singleLevel"/>
    <w:tmpl w:val="AE05E48A"/>
    <w:lvl w:ilvl="0" w:tentative="0">
      <w:start w:val="5"/>
      <w:numFmt w:val="chineseCounting"/>
      <w:suff w:val="nothing"/>
      <w:lvlText w:val="%1、"/>
      <w:lvlJc w:val="left"/>
      <w:pPr>
        <w:ind w:left="2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22C582A"/>
    <w:rsid w:val="000A3F78"/>
    <w:rsid w:val="001307CF"/>
    <w:rsid w:val="00376707"/>
    <w:rsid w:val="00432BBC"/>
    <w:rsid w:val="005D4142"/>
    <w:rsid w:val="00626620"/>
    <w:rsid w:val="00B32219"/>
    <w:rsid w:val="00C426AB"/>
    <w:rsid w:val="01806D81"/>
    <w:rsid w:val="01A655EC"/>
    <w:rsid w:val="02356CFC"/>
    <w:rsid w:val="026D3363"/>
    <w:rsid w:val="03483378"/>
    <w:rsid w:val="05826A24"/>
    <w:rsid w:val="06EB5AFF"/>
    <w:rsid w:val="095D70C8"/>
    <w:rsid w:val="09915F59"/>
    <w:rsid w:val="09A447EA"/>
    <w:rsid w:val="09FA0100"/>
    <w:rsid w:val="0A387B45"/>
    <w:rsid w:val="0A90650D"/>
    <w:rsid w:val="0AFD1657"/>
    <w:rsid w:val="0B5D16C8"/>
    <w:rsid w:val="0B6C0CB9"/>
    <w:rsid w:val="0B881444"/>
    <w:rsid w:val="0C3E06B9"/>
    <w:rsid w:val="0CE10BDD"/>
    <w:rsid w:val="0D7A2D6A"/>
    <w:rsid w:val="0D874F2A"/>
    <w:rsid w:val="0DE5385C"/>
    <w:rsid w:val="0E462F36"/>
    <w:rsid w:val="0E7E6AD3"/>
    <w:rsid w:val="0E7F1753"/>
    <w:rsid w:val="108801DA"/>
    <w:rsid w:val="122C582A"/>
    <w:rsid w:val="124C2168"/>
    <w:rsid w:val="126E157F"/>
    <w:rsid w:val="139F3429"/>
    <w:rsid w:val="13A63113"/>
    <w:rsid w:val="1432360E"/>
    <w:rsid w:val="153D3761"/>
    <w:rsid w:val="163F66AE"/>
    <w:rsid w:val="16756CD4"/>
    <w:rsid w:val="168926D3"/>
    <w:rsid w:val="17014E5E"/>
    <w:rsid w:val="190B0C80"/>
    <w:rsid w:val="1A98408E"/>
    <w:rsid w:val="1CBF17AC"/>
    <w:rsid w:val="1F2E4612"/>
    <w:rsid w:val="1F431393"/>
    <w:rsid w:val="1F511E69"/>
    <w:rsid w:val="205F5682"/>
    <w:rsid w:val="21977233"/>
    <w:rsid w:val="238149E5"/>
    <w:rsid w:val="242A4036"/>
    <w:rsid w:val="24925351"/>
    <w:rsid w:val="24B40F4D"/>
    <w:rsid w:val="263063A6"/>
    <w:rsid w:val="26551CA9"/>
    <w:rsid w:val="278A035A"/>
    <w:rsid w:val="27C71639"/>
    <w:rsid w:val="28041890"/>
    <w:rsid w:val="281833E1"/>
    <w:rsid w:val="28DF1690"/>
    <w:rsid w:val="2B5E0BD3"/>
    <w:rsid w:val="2B6B657A"/>
    <w:rsid w:val="2BBF06FD"/>
    <w:rsid w:val="2BC937CF"/>
    <w:rsid w:val="2C270A39"/>
    <w:rsid w:val="2C7129FC"/>
    <w:rsid w:val="2CB94EB2"/>
    <w:rsid w:val="2D2E2D7E"/>
    <w:rsid w:val="2FBE167A"/>
    <w:rsid w:val="31697128"/>
    <w:rsid w:val="31C57554"/>
    <w:rsid w:val="33391C8E"/>
    <w:rsid w:val="345A76DF"/>
    <w:rsid w:val="352F4AAB"/>
    <w:rsid w:val="356D2148"/>
    <w:rsid w:val="364E327C"/>
    <w:rsid w:val="36776800"/>
    <w:rsid w:val="378F009A"/>
    <w:rsid w:val="3985333E"/>
    <w:rsid w:val="39D6258F"/>
    <w:rsid w:val="3A691188"/>
    <w:rsid w:val="3A7E4AE2"/>
    <w:rsid w:val="3AAE5809"/>
    <w:rsid w:val="3ADC7039"/>
    <w:rsid w:val="3B0153E6"/>
    <w:rsid w:val="3B1A6EB9"/>
    <w:rsid w:val="3B670912"/>
    <w:rsid w:val="3BE56E26"/>
    <w:rsid w:val="3C642EFC"/>
    <w:rsid w:val="3C66310B"/>
    <w:rsid w:val="3C783E72"/>
    <w:rsid w:val="3D1D7069"/>
    <w:rsid w:val="3D87699E"/>
    <w:rsid w:val="3EA326DE"/>
    <w:rsid w:val="3EF6139C"/>
    <w:rsid w:val="40953EA7"/>
    <w:rsid w:val="411314FB"/>
    <w:rsid w:val="41C856DD"/>
    <w:rsid w:val="430054D8"/>
    <w:rsid w:val="43892913"/>
    <w:rsid w:val="44906F53"/>
    <w:rsid w:val="44BA1F1D"/>
    <w:rsid w:val="455326A3"/>
    <w:rsid w:val="46596C11"/>
    <w:rsid w:val="46D6525F"/>
    <w:rsid w:val="476B3399"/>
    <w:rsid w:val="47C06BB9"/>
    <w:rsid w:val="47CE5B03"/>
    <w:rsid w:val="48406B08"/>
    <w:rsid w:val="486438D3"/>
    <w:rsid w:val="48861842"/>
    <w:rsid w:val="496E3698"/>
    <w:rsid w:val="496F10DE"/>
    <w:rsid w:val="4A537CAD"/>
    <w:rsid w:val="4AC8460B"/>
    <w:rsid w:val="4CD07BC6"/>
    <w:rsid w:val="4D4F49FC"/>
    <w:rsid w:val="4E195C47"/>
    <w:rsid w:val="4F283F30"/>
    <w:rsid w:val="4FF97CDD"/>
    <w:rsid w:val="506F3616"/>
    <w:rsid w:val="511F756A"/>
    <w:rsid w:val="515875B0"/>
    <w:rsid w:val="52421C31"/>
    <w:rsid w:val="5269247A"/>
    <w:rsid w:val="529E4EE7"/>
    <w:rsid w:val="52A427B6"/>
    <w:rsid w:val="52F25B90"/>
    <w:rsid w:val="53670BC4"/>
    <w:rsid w:val="53D447AB"/>
    <w:rsid w:val="540D7BCE"/>
    <w:rsid w:val="56172954"/>
    <w:rsid w:val="56D9076F"/>
    <w:rsid w:val="57131783"/>
    <w:rsid w:val="57AB1518"/>
    <w:rsid w:val="58450EAE"/>
    <w:rsid w:val="58563A03"/>
    <w:rsid w:val="58981CB2"/>
    <w:rsid w:val="595128EA"/>
    <w:rsid w:val="59D94699"/>
    <w:rsid w:val="5A5E128E"/>
    <w:rsid w:val="5B992DA7"/>
    <w:rsid w:val="5C2C50A0"/>
    <w:rsid w:val="5CBD02B1"/>
    <w:rsid w:val="5D6D7DCC"/>
    <w:rsid w:val="5D8E0E1D"/>
    <w:rsid w:val="5D9C59A0"/>
    <w:rsid w:val="60333493"/>
    <w:rsid w:val="604D2A30"/>
    <w:rsid w:val="606D10AD"/>
    <w:rsid w:val="60DC245A"/>
    <w:rsid w:val="610F2FF6"/>
    <w:rsid w:val="61935AF5"/>
    <w:rsid w:val="628D5173"/>
    <w:rsid w:val="62F74F9E"/>
    <w:rsid w:val="634203B0"/>
    <w:rsid w:val="634C6ABE"/>
    <w:rsid w:val="636F5754"/>
    <w:rsid w:val="63744B02"/>
    <w:rsid w:val="64017505"/>
    <w:rsid w:val="64492EB3"/>
    <w:rsid w:val="64794AE6"/>
    <w:rsid w:val="64C2339D"/>
    <w:rsid w:val="64EA2652"/>
    <w:rsid w:val="657633A5"/>
    <w:rsid w:val="66DA3C2B"/>
    <w:rsid w:val="67163CB8"/>
    <w:rsid w:val="688A6957"/>
    <w:rsid w:val="68A206D6"/>
    <w:rsid w:val="68EE6070"/>
    <w:rsid w:val="691A1FA9"/>
    <w:rsid w:val="69247AB6"/>
    <w:rsid w:val="69DA3F19"/>
    <w:rsid w:val="6B3A39D4"/>
    <w:rsid w:val="6B865E2E"/>
    <w:rsid w:val="6BAD4CEC"/>
    <w:rsid w:val="6DDA6878"/>
    <w:rsid w:val="6E6B0B15"/>
    <w:rsid w:val="6E94145A"/>
    <w:rsid w:val="6EC259AA"/>
    <w:rsid w:val="70085DA4"/>
    <w:rsid w:val="70760E92"/>
    <w:rsid w:val="71004A80"/>
    <w:rsid w:val="72065C93"/>
    <w:rsid w:val="74460460"/>
    <w:rsid w:val="755E52AA"/>
    <w:rsid w:val="75772B29"/>
    <w:rsid w:val="75BC7B77"/>
    <w:rsid w:val="76C06EFB"/>
    <w:rsid w:val="771D5F27"/>
    <w:rsid w:val="776611C7"/>
    <w:rsid w:val="776A0DAA"/>
    <w:rsid w:val="778C0EA9"/>
    <w:rsid w:val="791A0FC5"/>
    <w:rsid w:val="79CE244C"/>
    <w:rsid w:val="79DF2FD0"/>
    <w:rsid w:val="7B341E31"/>
    <w:rsid w:val="7B4E5914"/>
    <w:rsid w:val="7B83471E"/>
    <w:rsid w:val="7C967920"/>
    <w:rsid w:val="7CEC105B"/>
    <w:rsid w:val="7D8064B5"/>
    <w:rsid w:val="7E894654"/>
    <w:rsid w:val="7FC85298"/>
    <w:rsid w:val="CAFB09E8"/>
    <w:rsid w:val="D2EF312F"/>
    <w:rsid w:val="F9FA7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paragraph" w:customStyle="1" w:styleId="8">
    <w:name w:val="列出段落1"/>
    <w:basedOn w:val="1"/>
    <w:qFormat/>
    <w:uiPriority w:val="34"/>
    <w:pPr>
      <w:ind w:firstLine="420" w:firstLineChars="200"/>
    </w:pPr>
  </w:style>
  <w:style w:type="character" w:customStyle="1" w:styleId="9">
    <w:name w:val="font4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区财政局</Company>
  <Pages>12</Pages>
  <Words>4469</Words>
  <Characters>722</Characters>
  <Lines>6</Lines>
  <Paragraphs>10</Paragraphs>
  <TotalTime>4</TotalTime>
  <ScaleCrop>false</ScaleCrop>
  <LinksUpToDate>false</LinksUpToDate>
  <CharactersWithSpaces>5181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2021-10-08T15:06:00Z</dcterms:created>
  <dc:creator>acer</dc:creator>
  <cp:lastModifiedBy>user</cp:lastModifiedBy>
  <cp:lastPrinted>2021-10-08T15:07:00Z</cp:lastPrinted>
  <dcterms:modified xsi:type="dcterms:W3CDTF">2022-01-21T14:34:19Z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D882A4D612174D888A5051DD893ABE65</vt:lpwstr>
  </property>
</Properties>
</file>