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default" w:ascii="Times New Roman" w:hAnsi="Times New Roman" w:eastAsia="方正小标宋_GBK" w:cs="Times New Roman"/>
          <w:b w:val="0"/>
          <w:bCs/>
          <w:sz w:val="44"/>
          <w:szCs w:val="44"/>
        </w:rPr>
      </w:pPr>
      <w:bookmarkStart w:id="0" w:name="_GoBack"/>
      <w:r>
        <w:rPr>
          <w:rFonts w:hint="default" w:ascii="Times New Roman" w:hAnsi="Times New Roman" w:eastAsia="方正小标宋_GBK" w:cs="Times New Roman"/>
          <w:b w:val="0"/>
          <w:bCs/>
        </w:rPr>
        <w:t>重庆市万州区罗田镇退役军人服务站</w:t>
      </w:r>
      <w:r>
        <w:rPr>
          <w:rFonts w:hint="default" w:ascii="Times New Roman" w:hAnsi="Times New Roman" w:eastAsia="方正小标宋_GBK" w:cs="Times New Roman"/>
          <w:b w:val="0"/>
          <w:bCs/>
          <w:lang w:eastAsia="zh-CN"/>
        </w:rPr>
        <w:t>2024</w:t>
      </w:r>
      <w:r>
        <w:rPr>
          <w:rFonts w:hint="default" w:ascii="Times New Roman" w:hAnsi="Times New Roman" w:eastAsia="方正小标宋_GBK" w:cs="Times New Roman"/>
          <w:b w:val="0"/>
          <w:bCs/>
        </w:rPr>
        <w:t>年单位预算情况说明</w:t>
      </w:r>
    </w:p>
    <w:bookmarkEnd w:id="0"/>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承担退役军人的关系转接、联络接待、困难帮扶、信息采集、情况反映、立功喜报、悬挂光荣牌和“八一”、春节等节日以及重大变故走访慰问等具体事务等工作</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设置事业站所</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个，机构规格为正科级</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二、单位收支总体情况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年年初预算数60.17万元，其中：一般公共预算拨款60.17万元，政府性基金预算拨款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年年初预算数60.17万元，其中：</w:t>
      </w:r>
      <w:r>
        <w:rPr>
          <w:rFonts w:hint="default" w:ascii="Times New Roman" w:hAnsi="Times New Roman" w:eastAsia="方正仿宋_GBK" w:cs="Times New Roman"/>
          <w:sz w:val="32"/>
          <w:lang w:eastAsia="zh-CN"/>
        </w:rPr>
        <w:t>社会保障和就业支出</w:t>
      </w:r>
      <w:r>
        <w:rPr>
          <w:rFonts w:hint="default" w:ascii="Times New Roman" w:hAnsi="Times New Roman" w:eastAsia="方正仿宋_GBK" w:cs="Times New Roman"/>
          <w:sz w:val="32"/>
          <w:lang w:val="en-US" w:eastAsia="zh-CN"/>
        </w:rPr>
        <w:t>53.98万元，卫生健康支出3.67万元，住房保障支出2.52万元</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三、单位预算情况说明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一般公共预算财政拨款收入60.17万元，一般公共预算财政拨款支出60.17万元。其中：基本支出60.17万元，主要用于保障在职人员工资福利及社会保险缴费，退休人员补助等，保障单位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（一）机关运行经费</w:t>
      </w:r>
      <w:r>
        <w:rPr>
          <w:rFonts w:hint="default" w:ascii="Times New Roman" w:hAnsi="Times New Roman" w:eastAsia="方正仿宋_GBK" w:cs="Times New Roman"/>
          <w:sz w:val="32"/>
        </w:rPr>
        <w:t>。</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rPr>
        <w:t>。本单位政府采购预算总额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Times New Roman"/>
          <w:sz w:val="32"/>
        </w:rPr>
        <w:t>。</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年项目支出均实行了绩效目标管理，涉及一般公共预算财政拨款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（四）国有资产占有使用情况</w:t>
      </w:r>
      <w:r>
        <w:rPr>
          <w:rFonts w:hint="default" w:ascii="Times New Roman" w:hAnsi="Times New Roman" w:eastAsia="方正仿宋_GBK" w:cs="Times New Roman"/>
          <w:color w:val="000000"/>
          <w:sz w:val="32"/>
        </w:rPr>
        <w:t>。</w:t>
      </w:r>
      <w:r>
        <w:rPr>
          <w:rFonts w:hint="eastAsia" w:eastAsia="方正仿宋_GBK" w:cs="Times New Roman"/>
          <w:color w:val="000000"/>
          <w:sz w:val="32"/>
          <w:lang w:eastAsia="zh-CN"/>
        </w:rPr>
        <w:t>截至2023年</w:t>
      </w:r>
      <w:r>
        <w:rPr>
          <w:rFonts w:hint="default" w:ascii="Times New Roman" w:hAnsi="Times New Roman" w:eastAsia="方正仿宋_GBK" w:cs="Times New Roman"/>
          <w:color w:val="000000"/>
          <w:sz w:val="32"/>
        </w:rPr>
        <w:t>12月，本单位共有车辆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（以下为常见专业名词解释，单位应根据实际情况进行解释和增减。）</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（二）其他收入</w:t>
      </w:r>
      <w:r>
        <w:rPr>
          <w:rFonts w:hint="default" w:ascii="Times New Roman" w:hAnsi="Times New Roman" w:eastAsia="方正仿宋_GBK" w:cs="Times New Roman"/>
          <w:sz w:val="32"/>
          <w:szCs w:val="32"/>
        </w:rPr>
        <w:t>：指单位取得的除“财政拨款收入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经营收入”等以外的收入。</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lang w:eastAsia="zh-CN"/>
        </w:rPr>
        <w:t>单位</w:t>
      </w:r>
      <w:r>
        <w:rPr>
          <w:rFonts w:hint="default" w:ascii="Times New Roman" w:hAnsi="Times New Roman" w:eastAsia="方正仿宋_GBK" w:cs="Times New Roman"/>
          <w:b/>
          <w:sz w:val="32"/>
        </w:rPr>
        <w:t>预算公开联系人：</w:t>
      </w:r>
      <w:r>
        <w:rPr>
          <w:rFonts w:hint="default" w:ascii="Times New Roman" w:hAnsi="Times New Roman" w:eastAsia="方正仿宋_GBK" w:cs="Times New Roman"/>
          <w:b/>
          <w:sz w:val="32"/>
          <w:lang w:eastAsia="zh-CN"/>
        </w:rPr>
        <w:t>蒲俊忠</w:t>
      </w:r>
      <w:r>
        <w:rPr>
          <w:rFonts w:hint="default" w:ascii="Times New Roman" w:hAnsi="Times New Roman" w:eastAsia="方正仿宋_GBK" w:cs="Times New Roman"/>
          <w:b/>
          <w:sz w:val="32"/>
        </w:rPr>
        <w:t xml:space="preserve">  </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rPr>
        <w:t>联系方式：023-</w:t>
      </w:r>
      <w:r>
        <w:rPr>
          <w:rFonts w:hint="default" w:ascii="Times New Roman" w:hAnsi="Times New Roman" w:eastAsia="方正仿宋_GBK" w:cs="Times New Roman"/>
          <w:b/>
          <w:sz w:val="32"/>
          <w:lang w:val="en-US" w:eastAsia="zh-CN"/>
        </w:rPr>
        <w:t>58643021</w:t>
      </w:r>
    </w:p>
    <w:p>
      <w:pPr>
        <w:ind w:firstLine="642" w:firstLineChars="200"/>
        <w:rPr>
          <w:rFonts w:hint="default" w:ascii="Times New Roman" w:hAnsi="Times New Roman" w:eastAsia="方正仿宋_GBK" w:cs="Times New Roman"/>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mViMzM3ODMwODllMGQzZGFkNGY2MGFmOTI1Mzg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0C64"/>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4D9699A"/>
    <w:rsid w:val="150208CB"/>
    <w:rsid w:val="18CC21E2"/>
    <w:rsid w:val="19D75DEA"/>
    <w:rsid w:val="1F2F4F07"/>
    <w:rsid w:val="24C37CD9"/>
    <w:rsid w:val="271E02C1"/>
    <w:rsid w:val="29437A2E"/>
    <w:rsid w:val="2C4717DE"/>
    <w:rsid w:val="30AE03DF"/>
    <w:rsid w:val="36F56BCA"/>
    <w:rsid w:val="39D921F1"/>
    <w:rsid w:val="3A025484"/>
    <w:rsid w:val="3BC5739B"/>
    <w:rsid w:val="3E432AAE"/>
    <w:rsid w:val="3F6F3304"/>
    <w:rsid w:val="40D067EE"/>
    <w:rsid w:val="42543C1B"/>
    <w:rsid w:val="48310C7F"/>
    <w:rsid w:val="4A45253F"/>
    <w:rsid w:val="4C5F34F9"/>
    <w:rsid w:val="52C57B1F"/>
    <w:rsid w:val="53C37CE4"/>
    <w:rsid w:val="53E1497E"/>
    <w:rsid w:val="5D0F5685"/>
    <w:rsid w:val="63BC2C0F"/>
    <w:rsid w:val="67BE1F68"/>
    <w:rsid w:val="744877CF"/>
    <w:rsid w:val="7DC477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unhideWhenUsed/>
    <w:qFormat/>
    <w:uiPriority w:val="0"/>
  </w:style>
  <w:style w:type="character" w:customStyle="1" w:styleId="10">
    <w:name w:val="页眉 Char"/>
    <w:link w:val="5"/>
    <w:qFormat/>
    <w:uiPriority w:val="0"/>
    <w:rPr>
      <w:kern w:val="2"/>
      <w:sz w:val="18"/>
      <w:szCs w:val="18"/>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页脚 字符1"/>
    <w:semiHidden/>
    <w:qFormat/>
    <w:locked/>
    <w:uiPriority w:val="0"/>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4</Pages>
  <Words>1352</Words>
  <Characters>1449</Characters>
  <Lines>13</Lines>
  <Paragraphs>3</Paragraphs>
  <TotalTime>11</TotalTime>
  <ScaleCrop>false</ScaleCrop>
  <LinksUpToDate>false</LinksUpToDate>
  <CharactersWithSpaces>1458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2022-02-09T19:19:00Z</dcterms:created>
  <dc:creator>Administrator</dc:creator>
  <cp:lastModifiedBy>收发文人员</cp:lastModifiedBy>
  <cp:lastPrinted>2023-03-03T17:22:00Z</cp:lastPrinted>
  <dcterms:modified xsi:type="dcterms:W3CDTF">2024-03-12T16:42:46Z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A6955CF1D303402387C8E49823775DA2_13</vt:lpwstr>
  </property>
</Properties>
</file>