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bidi w:val="0"/>
        <w:jc w:val="center"/>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rPr>
        <w:t>重庆市万州区罗田镇劳动就业和社会</w:t>
      </w:r>
      <w:bookmarkStart w:id="0" w:name="_GoBack"/>
      <w:bookmarkEnd w:id="0"/>
      <w:r>
        <w:rPr>
          <w:rFonts w:hint="default" w:ascii="Times New Roman" w:hAnsi="Times New Roman" w:eastAsia="方正小标宋_GBK" w:cs="Times New Roman"/>
          <w:b w:val="0"/>
          <w:bCs/>
        </w:rPr>
        <w:t>保障服务所</w:t>
      </w:r>
      <w:r>
        <w:rPr>
          <w:rFonts w:hint="default" w:ascii="Times New Roman" w:hAnsi="Times New Roman" w:eastAsia="方正小标宋_GBK" w:cs="Times New Roman"/>
          <w:b w:val="0"/>
          <w:bCs/>
          <w:lang w:eastAsia="zh-CN"/>
        </w:rPr>
        <w:t>2024</w:t>
      </w:r>
      <w:r>
        <w:rPr>
          <w:rFonts w:hint="default" w:ascii="Times New Roman" w:hAnsi="Times New Roman" w:eastAsia="方正小标宋_GBK" w:cs="Times New Roman"/>
          <w:b w:val="0"/>
          <w:bCs/>
        </w:rPr>
        <w:t>年单位预算情况说明</w:t>
      </w:r>
    </w:p>
    <w:p>
      <w:pPr>
        <w:spacing w:line="600" w:lineRule="exact"/>
        <w:ind w:firstLine="640" w:firstLineChars="200"/>
        <w:rPr>
          <w:rFonts w:hint="default" w:ascii="Times New Roman" w:hAnsi="Times New Roman" w:eastAsia="方正黑体_GBK" w:cs="Times New Roman"/>
          <w:sz w:val="32"/>
        </w:rPr>
      </w:pPr>
      <w:r>
        <w:rPr>
          <w:rFonts w:hint="default" w:ascii="Times New Roman" w:hAnsi="Times New Roman" w:eastAsia="方正黑体_GBK" w:cs="Times New Roman"/>
          <w:sz w:val="32"/>
        </w:rPr>
        <w:t>一、单位基本情况</w:t>
      </w:r>
    </w:p>
    <w:p>
      <w:pPr>
        <w:spacing w:line="600" w:lineRule="exact"/>
        <w:ind w:firstLine="640" w:firstLineChars="200"/>
        <w:rPr>
          <w:rFonts w:hint="default" w:ascii="Times New Roman" w:hAnsi="Times New Roman" w:eastAsia="方正楷体_GBK" w:cs="Times New Roman"/>
          <w:sz w:val="32"/>
        </w:rPr>
      </w:pPr>
      <w:r>
        <w:rPr>
          <w:rFonts w:hint="default" w:ascii="Times New Roman" w:hAnsi="Times New Roman" w:eastAsia="方正楷体_GBK" w:cs="Times New Roman"/>
          <w:sz w:val="32"/>
        </w:rPr>
        <w:t>（一）职能职责</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rPr>
        <w:t>承担劳动和社会保障、就业、再就业及农村富余劳动力转移工作；下岗失业人员的就业指导、培训、介绍以及流动人口的就业服务管理；负责低保对象的审核；负责优抚救济、社会互助等。</w:t>
      </w:r>
    </w:p>
    <w:p>
      <w:pPr>
        <w:spacing w:line="600" w:lineRule="exact"/>
        <w:ind w:firstLine="640" w:firstLineChars="200"/>
        <w:rPr>
          <w:rFonts w:hint="default" w:ascii="Times New Roman" w:hAnsi="Times New Roman" w:eastAsia="方正楷体_GBK" w:cs="Times New Roman"/>
          <w:sz w:val="32"/>
        </w:rPr>
      </w:pPr>
      <w:r>
        <w:rPr>
          <w:rFonts w:hint="default" w:ascii="Times New Roman" w:hAnsi="Times New Roman" w:eastAsia="方正楷体_GBK" w:cs="Times New Roman"/>
          <w:sz w:val="32"/>
        </w:rPr>
        <w:t>（二）单位构成</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szCs w:val="32"/>
        </w:rPr>
        <w:t>设置事业站所</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个，机构规格为正科级</w:t>
      </w:r>
      <w:r>
        <w:rPr>
          <w:rFonts w:hint="default" w:ascii="Times New Roman" w:hAnsi="Times New Roman" w:eastAsia="方正仿宋_GBK" w:cs="Times New Roman"/>
          <w:sz w:val="32"/>
        </w:rPr>
        <w:t>。</w:t>
      </w:r>
    </w:p>
    <w:p>
      <w:pPr>
        <w:spacing w:line="600" w:lineRule="exact"/>
        <w:ind w:firstLine="640" w:firstLineChars="200"/>
        <w:rPr>
          <w:rFonts w:hint="default" w:ascii="Times New Roman" w:hAnsi="Times New Roman" w:eastAsia="方正黑体_GBK" w:cs="Times New Roman"/>
          <w:sz w:val="32"/>
        </w:rPr>
      </w:pPr>
      <w:r>
        <w:rPr>
          <w:rFonts w:hint="default" w:ascii="Times New Roman" w:hAnsi="Times New Roman" w:eastAsia="方正黑体_GBK" w:cs="Times New Roman"/>
          <w:sz w:val="32"/>
        </w:rPr>
        <w:t>二、单位收支总体情况</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（一）收入预算</w:t>
      </w:r>
      <w:r>
        <w:rPr>
          <w:rFonts w:hint="default" w:ascii="Times New Roman" w:hAnsi="Times New Roman" w:eastAsia="方正仿宋_GBK" w:cs="Times New Roman"/>
          <w:sz w:val="32"/>
        </w:rPr>
        <w:t>：</w:t>
      </w:r>
      <w:r>
        <w:rPr>
          <w:rFonts w:hint="default" w:ascii="Times New Roman" w:hAnsi="Times New Roman" w:eastAsia="方正仿宋_GBK" w:cs="Times New Roman"/>
          <w:sz w:val="32"/>
          <w:lang w:eastAsia="zh-CN"/>
        </w:rPr>
        <w:t>2024</w:t>
      </w:r>
      <w:r>
        <w:rPr>
          <w:rFonts w:hint="default" w:ascii="Times New Roman" w:hAnsi="Times New Roman" w:eastAsia="方正仿宋_GBK" w:cs="Times New Roman"/>
          <w:sz w:val="32"/>
        </w:rPr>
        <w:t>年年初预算数91.52万元，其中：一般公共预算拨款91.52万元，政府性基金预算拨款</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万元，国有资本经营预算收入</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万元，事业收入</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万元，事业单位经营收入</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 xml:space="preserve">万元，其他收入 </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w:t>
      </w:r>
      <w:r>
        <w:rPr>
          <w:rFonts w:hint="default" w:ascii="Times New Roman" w:hAnsi="Times New Roman" w:eastAsia="方正仿宋_GBK" w:cs="Times New Roman"/>
          <w:sz w:val="32"/>
          <w:lang w:eastAsia="zh-CN"/>
        </w:rPr>
        <w:t>因</w:t>
      </w:r>
      <w:r>
        <w:rPr>
          <w:rFonts w:hint="default" w:ascii="Times New Roman" w:hAnsi="Times New Roman" w:eastAsia="方正仿宋_GBK" w:cs="Times New Roman"/>
          <w:sz w:val="32"/>
          <w:lang w:val="en-US" w:eastAsia="zh-CN"/>
        </w:rPr>
        <w:t>2023年部门是编制的整体预算，2024年预算采取分二级单位的形式编制部门预算和单位预算，故不能作对比</w:t>
      </w:r>
      <w:r>
        <w:rPr>
          <w:rFonts w:hint="default" w:ascii="Times New Roman" w:hAnsi="Times New Roman" w:eastAsia="方正仿宋_GBK" w:cs="Times New Roman"/>
          <w:sz w:val="32"/>
        </w:rPr>
        <w:t>。</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（二）支出预算</w:t>
      </w:r>
      <w:r>
        <w:rPr>
          <w:rFonts w:hint="default" w:ascii="Times New Roman" w:hAnsi="Times New Roman" w:eastAsia="方正仿宋_GBK" w:cs="Times New Roman"/>
          <w:sz w:val="32"/>
        </w:rPr>
        <w:t>：</w:t>
      </w:r>
      <w:r>
        <w:rPr>
          <w:rFonts w:hint="default" w:ascii="Times New Roman" w:hAnsi="Times New Roman" w:eastAsia="方正仿宋_GBK" w:cs="Times New Roman"/>
          <w:sz w:val="32"/>
          <w:lang w:eastAsia="zh-CN"/>
        </w:rPr>
        <w:t>2024</w:t>
      </w:r>
      <w:r>
        <w:rPr>
          <w:rFonts w:hint="default" w:ascii="Times New Roman" w:hAnsi="Times New Roman" w:eastAsia="方正仿宋_GBK" w:cs="Times New Roman"/>
          <w:sz w:val="32"/>
        </w:rPr>
        <w:t>年年初预算数91.52万元，其中：</w:t>
      </w:r>
      <w:r>
        <w:rPr>
          <w:rFonts w:hint="default" w:ascii="Times New Roman" w:hAnsi="Times New Roman" w:eastAsia="方正仿宋_GBK" w:cs="Times New Roman"/>
          <w:sz w:val="32"/>
          <w:lang w:eastAsia="zh-CN"/>
        </w:rPr>
        <w:t>社会保障和就业支出</w:t>
      </w:r>
      <w:r>
        <w:rPr>
          <w:rFonts w:hint="default" w:ascii="Times New Roman" w:hAnsi="Times New Roman" w:eastAsia="方正仿宋_GBK" w:cs="Times New Roman"/>
          <w:sz w:val="32"/>
          <w:lang w:val="en-US" w:eastAsia="zh-CN"/>
        </w:rPr>
        <w:t>82.46万元，卫生健康支出5.7万元，住房保障支出3.36万元</w:t>
      </w:r>
      <w:r>
        <w:rPr>
          <w:rFonts w:hint="default" w:ascii="Times New Roman" w:hAnsi="Times New Roman" w:eastAsia="方正仿宋_GBK" w:cs="Times New Roman"/>
          <w:sz w:val="32"/>
        </w:rPr>
        <w:t>。</w:t>
      </w:r>
      <w:r>
        <w:rPr>
          <w:rFonts w:hint="default" w:ascii="Times New Roman" w:hAnsi="Times New Roman" w:eastAsia="方正仿宋_GBK" w:cs="Times New Roman"/>
          <w:sz w:val="32"/>
          <w:lang w:eastAsia="zh-CN"/>
        </w:rPr>
        <w:t>因</w:t>
      </w:r>
      <w:r>
        <w:rPr>
          <w:rFonts w:hint="default" w:ascii="Times New Roman" w:hAnsi="Times New Roman" w:eastAsia="方正仿宋_GBK" w:cs="Times New Roman"/>
          <w:sz w:val="32"/>
          <w:lang w:val="en-US" w:eastAsia="zh-CN"/>
        </w:rPr>
        <w:t>2023年部门是编制的整体预算，2024年预算采取分二级单位的形式编制部门预算和单位预算，故不能作对比</w:t>
      </w:r>
      <w:r>
        <w:rPr>
          <w:rFonts w:hint="default" w:ascii="Times New Roman" w:hAnsi="Times New Roman" w:eastAsia="方正仿宋_GBK" w:cs="Times New Roman"/>
          <w:sz w:val="32"/>
        </w:rPr>
        <w:t>。</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黑体_GBK" w:cs="Times New Roman"/>
          <w:sz w:val="32"/>
        </w:rPr>
        <w:t>三、单位预算情况说明</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lang w:eastAsia="zh-CN"/>
        </w:rPr>
        <w:t>2024</w:t>
      </w:r>
      <w:r>
        <w:rPr>
          <w:rFonts w:hint="default" w:ascii="Times New Roman" w:hAnsi="Times New Roman" w:eastAsia="方正仿宋_GBK" w:cs="Times New Roman"/>
          <w:sz w:val="32"/>
        </w:rPr>
        <w:t>年一般公共预算财政拨款收入91.52万元，一般公共预算财政拨款支出91.52万元。其中：基本支出91.52万元，主要用于保障在职人员工资福利及社会保险缴费，退休人员补助等，保障单位正常运转的各项商品服务支出；项目支出</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w:t>
      </w:r>
      <w:r>
        <w:rPr>
          <w:rFonts w:hint="default" w:ascii="Times New Roman" w:hAnsi="Times New Roman" w:eastAsia="方正仿宋_GBK" w:cs="Times New Roman"/>
          <w:sz w:val="32"/>
          <w:lang w:eastAsia="zh-CN"/>
        </w:rPr>
        <w:t>因</w:t>
      </w:r>
      <w:r>
        <w:rPr>
          <w:rFonts w:hint="default" w:ascii="Times New Roman" w:hAnsi="Times New Roman" w:eastAsia="方正仿宋_GBK" w:cs="Times New Roman"/>
          <w:sz w:val="32"/>
          <w:lang w:val="en-US" w:eastAsia="zh-CN"/>
        </w:rPr>
        <w:t>2023年部门是编制的整体预算，2024年预算采取分二级单位的形式编制部门预算和单位预算，故不能作对比</w:t>
      </w:r>
      <w:r>
        <w:rPr>
          <w:rFonts w:hint="default" w:ascii="Times New Roman" w:hAnsi="Times New Roman" w:eastAsia="方正仿宋_GBK" w:cs="Times New Roman"/>
          <w:sz w:val="32"/>
        </w:rPr>
        <w:t>。</w:t>
      </w:r>
    </w:p>
    <w:p>
      <w:pPr>
        <w:spacing w:line="600" w:lineRule="exact"/>
        <w:ind w:firstLine="640" w:firstLineChars="200"/>
        <w:rPr>
          <w:rFonts w:hint="default" w:ascii="Times New Roman" w:hAnsi="Times New Roman" w:eastAsia="方正仿宋_GBK" w:cs="Times New Roman"/>
          <w:sz w:val="32"/>
          <w:lang w:eastAsia="zh-CN"/>
        </w:rPr>
      </w:pPr>
      <w:r>
        <w:rPr>
          <w:rFonts w:hint="default" w:ascii="Times New Roman" w:hAnsi="Times New Roman" w:eastAsia="方正仿宋_GBK" w:cs="Times New Roman"/>
          <w:sz w:val="32"/>
          <w:lang w:eastAsia="zh-CN"/>
        </w:rPr>
        <w:t>2024</w:t>
      </w:r>
      <w:r>
        <w:rPr>
          <w:rFonts w:hint="default" w:ascii="Times New Roman" w:hAnsi="Times New Roman" w:eastAsia="方正仿宋_GBK" w:cs="Times New Roman"/>
          <w:sz w:val="32"/>
        </w:rPr>
        <w:t>年政府性基金预算收入</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w:t>
      </w:r>
      <w:r>
        <w:rPr>
          <w:rFonts w:hint="default" w:ascii="Times New Roman" w:hAnsi="Times New Roman" w:eastAsia="方正仿宋_GBK" w:cs="Times New Roman"/>
          <w:sz w:val="32"/>
          <w:lang w:eastAsia="zh-CN"/>
        </w:rPr>
        <w:t>2024</w:t>
      </w:r>
      <w:r>
        <w:rPr>
          <w:rFonts w:hint="default" w:ascii="Times New Roman" w:hAnsi="Times New Roman" w:eastAsia="方正仿宋_GBK" w:cs="Times New Roman"/>
          <w:sz w:val="32"/>
        </w:rPr>
        <w:t>年无使用政府性基金预算拨款安排的支出</w:t>
      </w:r>
      <w:r>
        <w:rPr>
          <w:rFonts w:hint="default" w:ascii="Times New Roman" w:hAnsi="Times New Roman" w:eastAsia="方正仿宋_GBK" w:cs="Times New Roman"/>
          <w:sz w:val="32"/>
          <w:lang w:eastAsia="zh-CN"/>
        </w:rPr>
        <w:t>。</w:t>
      </w: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黑体_GBK" w:cs="Times New Roman"/>
          <w:sz w:val="32"/>
        </w:rPr>
        <w:t>四、“三公”经费情况说明</w:t>
      </w:r>
    </w:p>
    <w:p>
      <w:pPr>
        <w:spacing w:line="600" w:lineRule="exact"/>
        <w:ind w:firstLine="600"/>
        <w:rPr>
          <w:rFonts w:hint="default" w:ascii="Times New Roman" w:hAnsi="Times New Roman" w:eastAsia="方正仿宋_GBK" w:cs="Times New Roman"/>
          <w:sz w:val="32"/>
        </w:rPr>
      </w:pPr>
      <w:r>
        <w:rPr>
          <w:rFonts w:hint="default" w:ascii="Times New Roman" w:hAnsi="Times New Roman" w:eastAsia="方正仿宋_GBK" w:cs="Times New Roman"/>
          <w:sz w:val="32"/>
          <w:lang w:eastAsia="zh-CN"/>
        </w:rPr>
        <w:t>2024</w:t>
      </w:r>
      <w:r>
        <w:rPr>
          <w:rFonts w:hint="default" w:ascii="Times New Roman" w:hAnsi="Times New Roman" w:eastAsia="方正仿宋_GBK" w:cs="Times New Roman"/>
          <w:sz w:val="32"/>
        </w:rPr>
        <w:t>年“三公”经费预算</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w:t>
      </w:r>
    </w:p>
    <w:p>
      <w:pPr>
        <w:spacing w:line="600" w:lineRule="exact"/>
        <w:ind w:firstLine="640" w:firstLineChars="200"/>
        <w:rPr>
          <w:rFonts w:hint="default" w:ascii="Times New Roman" w:hAnsi="Times New Roman" w:eastAsia="方正黑体_GBK" w:cs="Times New Roman"/>
          <w:sz w:val="32"/>
        </w:rPr>
      </w:pPr>
      <w:r>
        <w:rPr>
          <w:rFonts w:hint="default" w:ascii="Times New Roman" w:hAnsi="Times New Roman" w:eastAsia="方正黑体_GBK" w:cs="Times New Roman"/>
          <w:sz w:val="32"/>
        </w:rPr>
        <w:t>五、其他重要事项的情况说明</w:t>
      </w:r>
    </w:p>
    <w:p>
      <w:pPr>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（一）机关运行经费</w:t>
      </w:r>
      <w:r>
        <w:rPr>
          <w:rFonts w:hint="default" w:ascii="Times New Roman" w:hAnsi="Times New Roman" w:eastAsia="方正仿宋_GBK" w:cs="Times New Roman"/>
          <w:sz w:val="32"/>
        </w:rPr>
        <w:t>。</w:t>
      </w:r>
    </w:p>
    <w:p>
      <w:pPr>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rPr>
        <w:t>我单位不在机关运行经费统计范围之内。</w:t>
      </w:r>
    </w:p>
    <w:p>
      <w:pPr>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（二）政府采购情况</w:t>
      </w:r>
      <w:r>
        <w:rPr>
          <w:rFonts w:hint="default" w:ascii="Times New Roman" w:hAnsi="Times New Roman" w:eastAsia="方正仿宋_GBK" w:cs="Times New Roman"/>
          <w:sz w:val="32"/>
        </w:rPr>
        <w:t>。本单位政府采购预算总额</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万元：政府采购货物预算</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万元、政府采购工程预算</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万元、政府采购服务预算</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万元；其中一般公共预算拨款政府采购</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万元：政府采购货物预算</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元、政府采购工程预算</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万元、政府采购服务预算</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w:t>
      </w:r>
    </w:p>
    <w:p>
      <w:pPr>
        <w:ind w:firstLine="640" w:firstLineChars="200"/>
        <w:rPr>
          <w:rFonts w:hint="default" w:ascii="Times New Roman" w:hAnsi="Times New Roman" w:eastAsia="方正仿宋_GBK" w:cs="Times New Roman"/>
          <w:color w:val="000000"/>
          <w:sz w:val="32"/>
        </w:rPr>
      </w:pPr>
      <w:r>
        <w:rPr>
          <w:rFonts w:hint="default" w:ascii="Times New Roman" w:hAnsi="Times New Roman" w:eastAsia="方正楷体_GBK" w:cs="Times New Roman"/>
          <w:sz w:val="32"/>
        </w:rPr>
        <w:t>（三）绩效目标设置情况</w:t>
      </w:r>
      <w:r>
        <w:rPr>
          <w:rFonts w:hint="default" w:ascii="Times New Roman" w:hAnsi="Times New Roman" w:eastAsia="方正仿宋_GBK" w:cs="Times New Roman"/>
          <w:sz w:val="32"/>
        </w:rPr>
        <w:t>。</w:t>
      </w:r>
      <w:r>
        <w:rPr>
          <w:rFonts w:hint="default" w:ascii="Times New Roman" w:hAnsi="Times New Roman" w:eastAsia="方正仿宋_GBK" w:cs="Times New Roman"/>
          <w:color w:val="000000"/>
          <w:sz w:val="32"/>
          <w:lang w:eastAsia="zh-CN"/>
        </w:rPr>
        <w:t>2024</w:t>
      </w:r>
      <w:r>
        <w:rPr>
          <w:rFonts w:hint="default" w:ascii="Times New Roman" w:hAnsi="Times New Roman" w:eastAsia="方正仿宋_GBK" w:cs="Times New Roman"/>
          <w:color w:val="000000"/>
          <w:sz w:val="32"/>
        </w:rPr>
        <w:t>年项目支出均实行了绩效目标管理，涉及一般公共预算财政拨款</w:t>
      </w:r>
      <w:r>
        <w:rPr>
          <w:rFonts w:hint="default" w:ascii="Times New Roman" w:hAnsi="Times New Roman" w:eastAsia="方正仿宋_GBK" w:cs="Times New Roman"/>
          <w:color w:val="000000"/>
          <w:sz w:val="32"/>
          <w:lang w:val="en-US" w:eastAsia="zh-CN"/>
        </w:rPr>
        <w:t>0</w:t>
      </w:r>
      <w:r>
        <w:rPr>
          <w:rFonts w:hint="default" w:ascii="Times New Roman" w:hAnsi="Times New Roman" w:eastAsia="方正仿宋_GBK" w:cs="Times New Roman"/>
          <w:color w:val="000000"/>
          <w:sz w:val="32"/>
        </w:rPr>
        <w:t>万元。</w:t>
      </w:r>
    </w:p>
    <w:p>
      <w:pPr>
        <w:ind w:firstLine="640" w:firstLineChars="200"/>
        <w:rPr>
          <w:rFonts w:hint="default" w:ascii="Times New Roman" w:hAnsi="Times New Roman" w:eastAsia="方正仿宋_GBK" w:cs="Times New Roman"/>
          <w:color w:val="000000"/>
          <w:sz w:val="32"/>
        </w:rPr>
      </w:pPr>
      <w:r>
        <w:rPr>
          <w:rFonts w:hint="default" w:ascii="Times New Roman" w:hAnsi="Times New Roman" w:eastAsia="方正楷体_GBK" w:cs="Times New Roman"/>
          <w:sz w:val="32"/>
        </w:rPr>
        <w:t>（四）国有资产占有使用情况</w:t>
      </w:r>
      <w:r>
        <w:rPr>
          <w:rFonts w:hint="default" w:ascii="Times New Roman" w:hAnsi="Times New Roman" w:eastAsia="方正仿宋_GBK" w:cs="Times New Roman"/>
          <w:color w:val="000000"/>
          <w:sz w:val="32"/>
        </w:rPr>
        <w:t>。</w:t>
      </w:r>
      <w:r>
        <w:rPr>
          <w:rFonts w:hint="eastAsia" w:eastAsia="方正仿宋_GBK" w:cs="Times New Roman"/>
          <w:color w:val="000000"/>
          <w:sz w:val="32"/>
          <w:lang w:eastAsia="zh-CN"/>
        </w:rPr>
        <w:t>截至2023年</w:t>
      </w:r>
      <w:r>
        <w:rPr>
          <w:rFonts w:hint="default" w:ascii="Times New Roman" w:hAnsi="Times New Roman" w:eastAsia="方正仿宋_GBK" w:cs="Times New Roman"/>
          <w:color w:val="000000"/>
          <w:sz w:val="32"/>
        </w:rPr>
        <w:t>12月，本单位共有车辆</w:t>
      </w:r>
      <w:r>
        <w:rPr>
          <w:rFonts w:hint="default" w:ascii="Times New Roman" w:hAnsi="Times New Roman" w:eastAsia="方正仿宋_GBK" w:cs="Times New Roman"/>
          <w:color w:val="000000"/>
          <w:sz w:val="32"/>
          <w:lang w:val="en-US" w:eastAsia="zh-CN"/>
        </w:rPr>
        <w:t>0</w:t>
      </w:r>
      <w:r>
        <w:rPr>
          <w:rFonts w:hint="default" w:ascii="Times New Roman" w:hAnsi="Times New Roman" w:eastAsia="方正仿宋_GBK" w:cs="Times New Roman"/>
          <w:color w:val="000000"/>
          <w:sz w:val="32"/>
        </w:rPr>
        <w:t>辆，其中一般公务用车</w:t>
      </w:r>
      <w:r>
        <w:rPr>
          <w:rFonts w:hint="default" w:ascii="Times New Roman" w:hAnsi="Times New Roman" w:eastAsia="方正仿宋_GBK" w:cs="Times New Roman"/>
          <w:color w:val="000000"/>
          <w:sz w:val="32"/>
          <w:lang w:val="en-US" w:eastAsia="zh-CN"/>
        </w:rPr>
        <w:t>0</w:t>
      </w:r>
      <w:r>
        <w:rPr>
          <w:rFonts w:hint="default" w:ascii="Times New Roman" w:hAnsi="Times New Roman" w:eastAsia="方正仿宋_GBK" w:cs="Times New Roman"/>
          <w:color w:val="000000"/>
          <w:sz w:val="32"/>
        </w:rPr>
        <w:t>辆、执勤执法用车</w:t>
      </w:r>
      <w:r>
        <w:rPr>
          <w:rFonts w:hint="default" w:ascii="Times New Roman" w:hAnsi="Times New Roman" w:eastAsia="方正仿宋_GBK" w:cs="Times New Roman"/>
          <w:color w:val="000000"/>
          <w:sz w:val="32"/>
          <w:lang w:val="en-US" w:eastAsia="zh-CN"/>
        </w:rPr>
        <w:t>0</w:t>
      </w:r>
      <w:r>
        <w:rPr>
          <w:rFonts w:hint="default" w:ascii="Times New Roman" w:hAnsi="Times New Roman" w:eastAsia="方正仿宋_GBK" w:cs="Times New Roman"/>
          <w:color w:val="000000"/>
          <w:sz w:val="32"/>
        </w:rPr>
        <w:t>辆。</w:t>
      </w:r>
      <w:r>
        <w:rPr>
          <w:rFonts w:hint="default" w:ascii="Times New Roman" w:hAnsi="Times New Roman" w:eastAsia="方正仿宋_GBK" w:cs="Times New Roman"/>
          <w:color w:val="000000"/>
          <w:sz w:val="32"/>
          <w:lang w:eastAsia="zh-CN"/>
        </w:rPr>
        <w:t>2024</w:t>
      </w:r>
      <w:r>
        <w:rPr>
          <w:rFonts w:hint="default" w:ascii="Times New Roman" w:hAnsi="Times New Roman" w:eastAsia="方正仿宋_GBK" w:cs="Times New Roman"/>
          <w:color w:val="000000"/>
          <w:sz w:val="32"/>
        </w:rPr>
        <w:t>年一般公共预算安排购置车辆</w:t>
      </w:r>
      <w:r>
        <w:rPr>
          <w:rFonts w:hint="default" w:ascii="Times New Roman" w:hAnsi="Times New Roman" w:eastAsia="方正仿宋_GBK" w:cs="Times New Roman"/>
          <w:color w:val="000000"/>
          <w:sz w:val="32"/>
          <w:lang w:val="en-US" w:eastAsia="zh-CN"/>
        </w:rPr>
        <w:t>0</w:t>
      </w:r>
      <w:r>
        <w:rPr>
          <w:rFonts w:hint="default" w:ascii="Times New Roman" w:hAnsi="Times New Roman" w:eastAsia="方正仿宋_GBK" w:cs="Times New Roman"/>
          <w:color w:val="000000"/>
          <w:sz w:val="32"/>
        </w:rPr>
        <w:t>辆，其中一般公务用车</w:t>
      </w:r>
      <w:r>
        <w:rPr>
          <w:rFonts w:hint="default" w:ascii="Times New Roman" w:hAnsi="Times New Roman" w:eastAsia="方正仿宋_GBK" w:cs="Times New Roman"/>
          <w:color w:val="000000"/>
          <w:sz w:val="32"/>
          <w:lang w:val="en-US" w:eastAsia="zh-CN"/>
        </w:rPr>
        <w:t>0</w:t>
      </w:r>
      <w:r>
        <w:rPr>
          <w:rFonts w:hint="default" w:ascii="Times New Roman" w:hAnsi="Times New Roman" w:eastAsia="方正仿宋_GBK" w:cs="Times New Roman"/>
          <w:color w:val="000000"/>
          <w:sz w:val="32"/>
        </w:rPr>
        <w:t>辆、执勤执法用车</w:t>
      </w:r>
      <w:r>
        <w:rPr>
          <w:rFonts w:hint="default" w:ascii="Times New Roman" w:hAnsi="Times New Roman" w:eastAsia="方正仿宋_GBK" w:cs="Times New Roman"/>
          <w:color w:val="000000"/>
          <w:sz w:val="32"/>
          <w:lang w:val="en-US" w:eastAsia="zh-CN"/>
        </w:rPr>
        <w:t>0</w:t>
      </w:r>
      <w:r>
        <w:rPr>
          <w:rFonts w:hint="default" w:ascii="Times New Roman" w:hAnsi="Times New Roman" w:eastAsia="方正仿宋_GBK" w:cs="Times New Roman"/>
          <w:color w:val="000000"/>
          <w:sz w:val="32"/>
        </w:rPr>
        <w:t>辆。</w:t>
      </w:r>
    </w:p>
    <w:p>
      <w:pPr>
        <w:spacing w:line="600" w:lineRule="exact"/>
        <w:ind w:firstLine="640" w:firstLineChars="200"/>
        <w:rPr>
          <w:rFonts w:hint="default" w:ascii="Times New Roman" w:hAnsi="Times New Roman" w:eastAsia="方正黑体_GBK" w:cs="Times New Roman"/>
          <w:sz w:val="32"/>
        </w:rPr>
      </w:pPr>
      <w:r>
        <w:rPr>
          <w:rFonts w:hint="default" w:ascii="Times New Roman" w:hAnsi="Times New Roman" w:eastAsia="方正黑体_GBK" w:cs="Times New Roman"/>
          <w:sz w:val="32"/>
        </w:rPr>
        <w:t>六、专业性名词解释</w:t>
      </w:r>
    </w:p>
    <w:p>
      <w:pPr>
        <w:pStyle w:val="14"/>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（以下为常见专业名词解释，单位应根据实际情况进行解释和增减。）</w:t>
      </w:r>
    </w:p>
    <w:p>
      <w:pPr>
        <w:pStyle w:val="14"/>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楷体_GBK" w:cs="Times New Roman"/>
          <w:kern w:val="2"/>
          <w:sz w:val="32"/>
          <w:szCs w:val="22"/>
          <w:lang w:val="en-US" w:eastAsia="zh-CN" w:bidi="ar-SA"/>
        </w:rPr>
        <w:t>（一）财政拨款收入</w:t>
      </w:r>
      <w:r>
        <w:rPr>
          <w:rFonts w:hint="default" w:ascii="Times New Roman" w:hAnsi="Times New Roman" w:eastAsia="方正仿宋_GBK" w:cs="Times New Roman"/>
          <w:sz w:val="32"/>
          <w:szCs w:val="32"/>
        </w:rPr>
        <w:t>：指本年度从本级财政部门取得的财政拨款，包括一般公共预算财政拨款和政府性基金预算财政拨款。</w:t>
      </w:r>
    </w:p>
    <w:p>
      <w:pPr>
        <w:pStyle w:val="14"/>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楷体_GBK" w:cs="Times New Roman"/>
          <w:kern w:val="2"/>
          <w:sz w:val="32"/>
          <w:szCs w:val="22"/>
          <w:lang w:val="en-US" w:eastAsia="zh-CN" w:bidi="ar-SA"/>
        </w:rPr>
        <w:t>（二）其他收入</w:t>
      </w:r>
      <w:r>
        <w:rPr>
          <w:rFonts w:hint="default" w:ascii="Times New Roman" w:hAnsi="Times New Roman" w:eastAsia="方正仿宋_GBK" w:cs="Times New Roman"/>
          <w:sz w:val="32"/>
          <w:szCs w:val="32"/>
        </w:rPr>
        <w:t>：指单位取得的除“财政拨款收入</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事业收入</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经营收入”等以外的收入。</w:t>
      </w:r>
    </w:p>
    <w:p>
      <w:pPr>
        <w:pStyle w:val="14"/>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楷体_GBK" w:cs="Times New Roman"/>
          <w:kern w:val="2"/>
          <w:sz w:val="32"/>
          <w:szCs w:val="22"/>
          <w:lang w:val="en-US" w:eastAsia="zh-CN" w:bidi="ar-SA"/>
        </w:rPr>
        <w:t>（三）基本支出</w:t>
      </w:r>
      <w:r>
        <w:rPr>
          <w:rFonts w:hint="default" w:ascii="Times New Roman" w:hAnsi="Times New Roman" w:eastAsia="方正仿宋_GBK" w:cs="Times New Roman"/>
          <w:sz w:val="32"/>
          <w:szCs w:val="32"/>
        </w:rPr>
        <w:t>：指为保障机构正常运转、完成日常工作任务而发生的人员经费和公用经费。</w:t>
      </w:r>
    </w:p>
    <w:p>
      <w:pPr>
        <w:pStyle w:val="14"/>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楷体_GBK" w:cs="Times New Roman"/>
          <w:kern w:val="2"/>
          <w:sz w:val="32"/>
          <w:szCs w:val="22"/>
          <w:lang w:val="en-US" w:eastAsia="zh-CN" w:bidi="ar-SA"/>
        </w:rPr>
        <w:t>（四）项目支出</w:t>
      </w:r>
      <w:r>
        <w:rPr>
          <w:rFonts w:hint="default" w:ascii="Times New Roman" w:hAnsi="Times New Roman" w:eastAsia="方正仿宋_GBK" w:cs="Times New Roman"/>
          <w:sz w:val="32"/>
          <w:szCs w:val="32"/>
        </w:rPr>
        <w:t>：指在基本支出之外为完成特定行政任务和事业发展目标所发生的支出。</w:t>
      </w:r>
    </w:p>
    <w:p>
      <w:pPr>
        <w:ind w:firstLine="640" w:firstLineChars="200"/>
        <w:rPr>
          <w:rFonts w:hint="default" w:ascii="Times New Roman" w:hAnsi="Times New Roman" w:eastAsia="方正仿宋_GBK" w:cs="Times New Roman"/>
          <w:color w:val="000000"/>
          <w:sz w:val="32"/>
        </w:rPr>
      </w:pPr>
      <w:r>
        <w:rPr>
          <w:rFonts w:hint="default" w:ascii="Times New Roman" w:hAnsi="Times New Roman" w:eastAsia="方正楷体_GBK" w:cs="Times New Roman"/>
          <w:sz w:val="32"/>
        </w:rPr>
        <w:t>（五）“三公”经费</w:t>
      </w:r>
      <w:r>
        <w:rPr>
          <w:rFonts w:hint="default"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2" w:firstLineChars="200"/>
        <w:rPr>
          <w:rFonts w:hint="default" w:ascii="Times New Roman" w:hAnsi="Times New Roman" w:eastAsia="方正仿宋_GBK" w:cs="Times New Roman"/>
          <w:b/>
          <w:sz w:val="32"/>
          <w:lang w:val="en-US" w:eastAsia="zh-CN"/>
        </w:rPr>
      </w:pPr>
      <w:r>
        <w:rPr>
          <w:rFonts w:hint="default" w:ascii="Times New Roman" w:hAnsi="Times New Roman" w:eastAsia="方正仿宋_GBK" w:cs="Times New Roman"/>
          <w:b/>
          <w:sz w:val="32"/>
          <w:lang w:eastAsia="zh-CN"/>
        </w:rPr>
        <w:t>单位</w:t>
      </w:r>
      <w:r>
        <w:rPr>
          <w:rFonts w:hint="default" w:ascii="Times New Roman" w:hAnsi="Times New Roman" w:eastAsia="方正仿宋_GBK" w:cs="Times New Roman"/>
          <w:b/>
          <w:sz w:val="32"/>
        </w:rPr>
        <w:t>预算公开联系人：</w:t>
      </w:r>
      <w:r>
        <w:rPr>
          <w:rFonts w:hint="default" w:ascii="Times New Roman" w:hAnsi="Times New Roman" w:eastAsia="方正仿宋_GBK" w:cs="Times New Roman"/>
          <w:b/>
          <w:sz w:val="32"/>
          <w:lang w:eastAsia="zh-CN"/>
        </w:rPr>
        <w:t>蒲俊忠</w:t>
      </w:r>
      <w:r>
        <w:rPr>
          <w:rFonts w:hint="default" w:ascii="Times New Roman" w:hAnsi="Times New Roman" w:eastAsia="方正仿宋_GBK" w:cs="Times New Roman"/>
          <w:b/>
          <w:sz w:val="32"/>
        </w:rPr>
        <w:t xml:space="preserve">  </w:t>
      </w:r>
      <w:r>
        <w:rPr>
          <w:rFonts w:hint="default" w:ascii="Times New Roman" w:hAnsi="Times New Roman" w:eastAsia="方正仿宋_GBK" w:cs="Times New Roman"/>
          <w:b/>
          <w:sz w:val="32"/>
          <w:lang w:val="en-US" w:eastAsia="zh-CN"/>
        </w:rPr>
        <w:t xml:space="preserve">     </w:t>
      </w:r>
      <w:r>
        <w:rPr>
          <w:rFonts w:hint="default" w:ascii="Times New Roman" w:hAnsi="Times New Roman" w:eastAsia="方正仿宋_GBK" w:cs="Times New Roman"/>
          <w:b/>
          <w:sz w:val="32"/>
        </w:rPr>
        <w:t>联系方式：023-</w:t>
      </w:r>
      <w:r>
        <w:rPr>
          <w:rFonts w:hint="default" w:ascii="Times New Roman" w:hAnsi="Times New Roman" w:eastAsia="方正仿宋_GBK" w:cs="Times New Roman"/>
          <w:b/>
          <w:sz w:val="32"/>
          <w:lang w:val="en-US" w:eastAsia="zh-CN"/>
        </w:rPr>
        <w:t>58643021</w:t>
      </w:r>
    </w:p>
    <w:p>
      <w:pPr>
        <w:ind w:firstLine="642" w:firstLineChars="200"/>
        <w:rPr>
          <w:rFonts w:hint="default" w:ascii="Times New Roman" w:hAnsi="Times New Roman" w:eastAsia="方正仿宋_GBK" w:cs="Times New Roman"/>
          <w:b/>
          <w:sz w:val="32"/>
        </w:rPr>
      </w:pPr>
    </w:p>
    <w:sectPr>
      <w:footerReference r:id="rId3" w:type="default"/>
      <w:footerReference r:id="rId4" w:type="even"/>
      <w:pgSz w:w="16838" w:h="11906" w:orient="landscape"/>
      <w:pgMar w:top="1440" w:right="1080" w:bottom="1440" w:left="1080"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eastAsia="方正楷体_GBK"/>
        <w:sz w:val="28"/>
      </w:rPr>
    </w:pPr>
    <w:r>
      <w:rPr>
        <w:rStyle w:val="9"/>
        <w:rFonts w:ascii="Times New Roman" w:hAnsi="Times New Roman" w:eastAsia="方正楷体_GBK"/>
        <w:sz w:val="28"/>
      </w:rPr>
      <w:t>―</w:t>
    </w:r>
    <w:r>
      <w:rPr>
        <w:rFonts w:ascii="Times New Roman" w:hAnsi="Times New Roman" w:eastAsia="方正楷体_GBK"/>
        <w:kern w:val="0"/>
        <w:sz w:val="28"/>
      </w:rPr>
      <w:t xml:space="preserve"> </w:t>
    </w:r>
    <w:r>
      <w:rPr>
        <w:rFonts w:ascii="Times New Roman" w:hAnsi="Times New Roman" w:eastAsia="方正楷体_GBK"/>
        <w:kern w:val="0"/>
        <w:sz w:val="28"/>
      </w:rPr>
      <w:fldChar w:fldCharType="begin"/>
    </w:r>
    <w:r>
      <w:rPr>
        <w:rFonts w:ascii="Times New Roman" w:hAnsi="Times New Roman" w:eastAsia="方正楷体_GBK"/>
        <w:kern w:val="0"/>
        <w:sz w:val="28"/>
      </w:rPr>
      <w:instrText xml:space="preserve"> PAGE </w:instrText>
    </w:r>
    <w:r>
      <w:rPr>
        <w:rFonts w:ascii="Times New Roman" w:hAnsi="Times New Roman" w:eastAsia="方正楷体_GBK"/>
        <w:kern w:val="0"/>
        <w:sz w:val="28"/>
      </w:rPr>
      <w:fldChar w:fldCharType="separate"/>
    </w:r>
    <w:r>
      <w:rPr>
        <w:rFonts w:ascii="Times New Roman" w:hAnsi="Times New Roman" w:eastAsia="方正楷体_GBK"/>
        <w:kern w:val="0"/>
        <w:sz w:val="28"/>
      </w:rPr>
      <w:t>1</w:t>
    </w:r>
    <w:r>
      <w:rPr>
        <w:rFonts w:ascii="Times New Roman" w:hAnsi="Times New Roman" w:eastAsia="方正楷体_GBK"/>
        <w:kern w:val="0"/>
        <w:sz w:val="28"/>
      </w:rPr>
      <w:fldChar w:fldCharType="end"/>
    </w:r>
    <w:r>
      <w:rPr>
        <w:rFonts w:ascii="Times New Roman" w:hAnsi="Times New Roman" w:eastAsia="方正楷体_GBK"/>
        <w:kern w:val="0"/>
        <w:sz w:val="28"/>
      </w:rPr>
      <w:t xml:space="preserve"> </w:t>
    </w:r>
    <w:r>
      <w:rPr>
        <w:rStyle w:val="9"/>
        <w:rFonts w:ascii="Times New Roman" w:hAnsi="Times New Roman" w:eastAsia="方正楷体_GBK"/>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ascii="Times New Roman" w:hAnsi="Times New Roman" w:eastAsia="方正楷体_GBK"/>
        <w:sz w:val="28"/>
      </w:rPr>
    </w:pPr>
    <w:r>
      <w:rPr>
        <w:rStyle w:val="9"/>
        <w:rFonts w:ascii="Times New Roman" w:hAnsi="Times New Roman" w:eastAsia="方正楷体_GBK"/>
        <w:sz w:val="28"/>
      </w:rPr>
      <w:t>―</w:t>
    </w:r>
    <w:r>
      <w:rPr>
        <w:rFonts w:ascii="Times New Roman" w:hAnsi="Times New Roman" w:eastAsia="方正楷体_GBK"/>
        <w:kern w:val="0"/>
        <w:sz w:val="28"/>
      </w:rPr>
      <w:t xml:space="preserve"> </w:t>
    </w:r>
    <w:r>
      <w:rPr>
        <w:rFonts w:ascii="Times New Roman" w:hAnsi="Times New Roman" w:eastAsia="方正楷体_GBK"/>
        <w:kern w:val="0"/>
        <w:sz w:val="28"/>
      </w:rPr>
      <w:fldChar w:fldCharType="begin"/>
    </w:r>
    <w:r>
      <w:rPr>
        <w:rFonts w:ascii="Times New Roman" w:hAnsi="Times New Roman" w:eastAsia="方正楷体_GBK"/>
        <w:kern w:val="0"/>
        <w:sz w:val="28"/>
      </w:rPr>
      <w:instrText xml:space="preserve"> PAGE </w:instrText>
    </w:r>
    <w:r>
      <w:rPr>
        <w:rFonts w:ascii="Times New Roman" w:hAnsi="Times New Roman" w:eastAsia="方正楷体_GBK"/>
        <w:kern w:val="0"/>
        <w:sz w:val="28"/>
      </w:rPr>
      <w:fldChar w:fldCharType="separate"/>
    </w:r>
    <w:r>
      <w:rPr>
        <w:rFonts w:ascii="Times New Roman" w:hAnsi="Times New Roman" w:eastAsia="方正楷体_GBK"/>
        <w:kern w:val="0"/>
        <w:sz w:val="28"/>
      </w:rPr>
      <w:t>4</w:t>
    </w:r>
    <w:r>
      <w:rPr>
        <w:rFonts w:ascii="Times New Roman" w:hAnsi="Times New Roman" w:eastAsia="方正楷体_GBK"/>
        <w:kern w:val="0"/>
        <w:sz w:val="28"/>
      </w:rPr>
      <w:fldChar w:fldCharType="end"/>
    </w:r>
    <w:r>
      <w:rPr>
        <w:rFonts w:ascii="Times New Roman" w:hAnsi="Times New Roman" w:eastAsia="方正楷体_GBK"/>
        <w:kern w:val="0"/>
        <w:sz w:val="28"/>
      </w:rPr>
      <w:t xml:space="preserve"> </w:t>
    </w:r>
    <w:r>
      <w:rPr>
        <w:rStyle w:val="9"/>
        <w:rFonts w:ascii="Times New Roman" w:hAnsi="Times New Roman" w:eastAsia="方正楷体_GBK"/>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hNmViMzM3ODMwODllMGQzZGFkNGY2MGFmOTI1MzgifQ=="/>
  </w:docVars>
  <w:rsids>
    <w:rsidRoot w:val="004F7D1D"/>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A60FC"/>
    <w:rsid w:val="000C3BC5"/>
    <w:rsid w:val="000C594E"/>
    <w:rsid w:val="000C6894"/>
    <w:rsid w:val="000D2E8F"/>
    <w:rsid w:val="000D6437"/>
    <w:rsid w:val="000F1499"/>
    <w:rsid w:val="000F5707"/>
    <w:rsid w:val="0010264D"/>
    <w:rsid w:val="00106A76"/>
    <w:rsid w:val="00125C07"/>
    <w:rsid w:val="0014404E"/>
    <w:rsid w:val="001525DD"/>
    <w:rsid w:val="00161474"/>
    <w:rsid w:val="00165A74"/>
    <w:rsid w:val="00191ADC"/>
    <w:rsid w:val="001957F9"/>
    <w:rsid w:val="001C0A7C"/>
    <w:rsid w:val="001D0CAA"/>
    <w:rsid w:val="001D4937"/>
    <w:rsid w:val="001E1AED"/>
    <w:rsid w:val="001E31D9"/>
    <w:rsid w:val="00202E0A"/>
    <w:rsid w:val="002132E9"/>
    <w:rsid w:val="00213635"/>
    <w:rsid w:val="00226F1D"/>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30024E"/>
    <w:rsid w:val="003019D9"/>
    <w:rsid w:val="00341606"/>
    <w:rsid w:val="00346387"/>
    <w:rsid w:val="0034700C"/>
    <w:rsid w:val="00357A28"/>
    <w:rsid w:val="00367516"/>
    <w:rsid w:val="00375FC9"/>
    <w:rsid w:val="00383298"/>
    <w:rsid w:val="003872D5"/>
    <w:rsid w:val="0039559F"/>
    <w:rsid w:val="003B11A5"/>
    <w:rsid w:val="003B33C4"/>
    <w:rsid w:val="003B36C2"/>
    <w:rsid w:val="003D14F0"/>
    <w:rsid w:val="003D7234"/>
    <w:rsid w:val="003D7504"/>
    <w:rsid w:val="003E4EB6"/>
    <w:rsid w:val="003F6450"/>
    <w:rsid w:val="00430B72"/>
    <w:rsid w:val="00437D88"/>
    <w:rsid w:val="004417DC"/>
    <w:rsid w:val="00445520"/>
    <w:rsid w:val="00462595"/>
    <w:rsid w:val="004756B4"/>
    <w:rsid w:val="00481BAA"/>
    <w:rsid w:val="0049017F"/>
    <w:rsid w:val="00492FB3"/>
    <w:rsid w:val="00496C6A"/>
    <w:rsid w:val="004B1650"/>
    <w:rsid w:val="004C42ED"/>
    <w:rsid w:val="004C60BD"/>
    <w:rsid w:val="004D1E02"/>
    <w:rsid w:val="004E592A"/>
    <w:rsid w:val="004E6E1A"/>
    <w:rsid w:val="004F1853"/>
    <w:rsid w:val="004F7D1D"/>
    <w:rsid w:val="00500B1D"/>
    <w:rsid w:val="00506DF4"/>
    <w:rsid w:val="00507823"/>
    <w:rsid w:val="005174B9"/>
    <w:rsid w:val="00536713"/>
    <w:rsid w:val="00543257"/>
    <w:rsid w:val="00572736"/>
    <w:rsid w:val="00580DDD"/>
    <w:rsid w:val="0058350C"/>
    <w:rsid w:val="00595C24"/>
    <w:rsid w:val="005A1227"/>
    <w:rsid w:val="005A4606"/>
    <w:rsid w:val="005A4AD7"/>
    <w:rsid w:val="005B0F11"/>
    <w:rsid w:val="005C3DD7"/>
    <w:rsid w:val="005E18A6"/>
    <w:rsid w:val="005F1960"/>
    <w:rsid w:val="006115F1"/>
    <w:rsid w:val="00620BCE"/>
    <w:rsid w:val="0066585E"/>
    <w:rsid w:val="006809FA"/>
    <w:rsid w:val="006C01C3"/>
    <w:rsid w:val="006D0C33"/>
    <w:rsid w:val="006D1609"/>
    <w:rsid w:val="006E0BEC"/>
    <w:rsid w:val="006E455F"/>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560C6"/>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2ED0"/>
    <w:rsid w:val="0094655E"/>
    <w:rsid w:val="00946D33"/>
    <w:rsid w:val="009561D9"/>
    <w:rsid w:val="009653AE"/>
    <w:rsid w:val="00972AB0"/>
    <w:rsid w:val="00983001"/>
    <w:rsid w:val="0098712E"/>
    <w:rsid w:val="009B77D4"/>
    <w:rsid w:val="009E6734"/>
    <w:rsid w:val="009F01A9"/>
    <w:rsid w:val="00A05F72"/>
    <w:rsid w:val="00A07288"/>
    <w:rsid w:val="00A174AB"/>
    <w:rsid w:val="00A21DCD"/>
    <w:rsid w:val="00A33F5E"/>
    <w:rsid w:val="00A35F07"/>
    <w:rsid w:val="00A3721F"/>
    <w:rsid w:val="00A45A23"/>
    <w:rsid w:val="00A52D34"/>
    <w:rsid w:val="00A712EA"/>
    <w:rsid w:val="00A8020D"/>
    <w:rsid w:val="00A802E9"/>
    <w:rsid w:val="00A80B6C"/>
    <w:rsid w:val="00AA324B"/>
    <w:rsid w:val="00AB25DF"/>
    <w:rsid w:val="00AC6F85"/>
    <w:rsid w:val="00AE0A20"/>
    <w:rsid w:val="00AE4156"/>
    <w:rsid w:val="00B1352B"/>
    <w:rsid w:val="00B24FA7"/>
    <w:rsid w:val="00B257E3"/>
    <w:rsid w:val="00B54CE7"/>
    <w:rsid w:val="00B558CC"/>
    <w:rsid w:val="00B56688"/>
    <w:rsid w:val="00B65450"/>
    <w:rsid w:val="00B72347"/>
    <w:rsid w:val="00B80C64"/>
    <w:rsid w:val="00B86388"/>
    <w:rsid w:val="00BB3B39"/>
    <w:rsid w:val="00BC2C3D"/>
    <w:rsid w:val="00BD0BB9"/>
    <w:rsid w:val="00BD5FA5"/>
    <w:rsid w:val="00BE573E"/>
    <w:rsid w:val="00BF67E7"/>
    <w:rsid w:val="00C2696C"/>
    <w:rsid w:val="00C427D3"/>
    <w:rsid w:val="00C47446"/>
    <w:rsid w:val="00C5758E"/>
    <w:rsid w:val="00C601F9"/>
    <w:rsid w:val="00C7602D"/>
    <w:rsid w:val="00C827DC"/>
    <w:rsid w:val="00C95346"/>
    <w:rsid w:val="00CA4340"/>
    <w:rsid w:val="00CB0296"/>
    <w:rsid w:val="00CC4A96"/>
    <w:rsid w:val="00CD1C4A"/>
    <w:rsid w:val="00CE1014"/>
    <w:rsid w:val="00CF42ED"/>
    <w:rsid w:val="00D0143D"/>
    <w:rsid w:val="00D10AB7"/>
    <w:rsid w:val="00D160DD"/>
    <w:rsid w:val="00D21CDE"/>
    <w:rsid w:val="00D40ADE"/>
    <w:rsid w:val="00D411DD"/>
    <w:rsid w:val="00D46486"/>
    <w:rsid w:val="00D64C2C"/>
    <w:rsid w:val="00D66063"/>
    <w:rsid w:val="00D77D37"/>
    <w:rsid w:val="00D80BC2"/>
    <w:rsid w:val="00D8620E"/>
    <w:rsid w:val="00DA7788"/>
    <w:rsid w:val="00DA7FE6"/>
    <w:rsid w:val="00DB0EC5"/>
    <w:rsid w:val="00DB4539"/>
    <w:rsid w:val="00DE3685"/>
    <w:rsid w:val="00DE5805"/>
    <w:rsid w:val="00E00D68"/>
    <w:rsid w:val="00E01CEB"/>
    <w:rsid w:val="00E11FB2"/>
    <w:rsid w:val="00E275D0"/>
    <w:rsid w:val="00E40ED1"/>
    <w:rsid w:val="00E4747D"/>
    <w:rsid w:val="00E712B9"/>
    <w:rsid w:val="00E96899"/>
    <w:rsid w:val="00EC09E7"/>
    <w:rsid w:val="00EE21B6"/>
    <w:rsid w:val="00EF1B14"/>
    <w:rsid w:val="00EF782E"/>
    <w:rsid w:val="00EF7D6B"/>
    <w:rsid w:val="00F11A07"/>
    <w:rsid w:val="00F22254"/>
    <w:rsid w:val="00F258CE"/>
    <w:rsid w:val="00F46DD2"/>
    <w:rsid w:val="00F605C0"/>
    <w:rsid w:val="00F649FE"/>
    <w:rsid w:val="00F66710"/>
    <w:rsid w:val="00F84112"/>
    <w:rsid w:val="00F84AC6"/>
    <w:rsid w:val="00F86A3C"/>
    <w:rsid w:val="00F90464"/>
    <w:rsid w:val="00F9492F"/>
    <w:rsid w:val="00FC2169"/>
    <w:rsid w:val="00FC2267"/>
    <w:rsid w:val="00FE12C3"/>
    <w:rsid w:val="00FE28C5"/>
    <w:rsid w:val="00FF0B1F"/>
    <w:rsid w:val="00FF197F"/>
    <w:rsid w:val="14D9699A"/>
    <w:rsid w:val="18CC21E2"/>
    <w:rsid w:val="19D75DEA"/>
    <w:rsid w:val="1DB67B4F"/>
    <w:rsid w:val="1F2F4F07"/>
    <w:rsid w:val="24C37CD9"/>
    <w:rsid w:val="271E02C1"/>
    <w:rsid w:val="30AE03DF"/>
    <w:rsid w:val="36F56BCA"/>
    <w:rsid w:val="3BC5739B"/>
    <w:rsid w:val="42543C1B"/>
    <w:rsid w:val="48310C7F"/>
    <w:rsid w:val="4A45253F"/>
    <w:rsid w:val="4C5F34F9"/>
    <w:rsid w:val="52C57B1F"/>
    <w:rsid w:val="53E1497E"/>
    <w:rsid w:val="63BC2C0F"/>
    <w:rsid w:val="67BE1F68"/>
    <w:rsid w:val="7DC477BF"/>
    <w:rsid w:val="A23F071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page number"/>
    <w:unhideWhenUsed/>
    <w:qFormat/>
    <w:uiPriority w:val="0"/>
  </w:style>
  <w:style w:type="character" w:customStyle="1" w:styleId="10">
    <w:name w:val="页眉 Char"/>
    <w:link w:val="5"/>
    <w:qFormat/>
    <w:uiPriority w:val="0"/>
    <w:rPr>
      <w:kern w:val="2"/>
      <w:sz w:val="18"/>
      <w:szCs w:val="18"/>
    </w:rPr>
  </w:style>
  <w:style w:type="character" w:customStyle="1" w:styleId="11">
    <w:name w:val="批注框文本 Char"/>
    <w:link w:val="3"/>
    <w:qFormat/>
    <w:uiPriority w:val="0"/>
    <w:rPr>
      <w:kern w:val="2"/>
      <w:sz w:val="18"/>
      <w:szCs w:val="18"/>
    </w:rPr>
  </w:style>
  <w:style w:type="character" w:customStyle="1" w:styleId="12">
    <w:name w:val="页脚 Char"/>
    <w:link w:val="4"/>
    <w:qFormat/>
    <w:uiPriority w:val="0"/>
    <w:rPr>
      <w:kern w:val="2"/>
      <w:sz w:val="18"/>
      <w:szCs w:val="18"/>
    </w:rPr>
  </w:style>
  <w:style w:type="character" w:customStyle="1" w:styleId="13">
    <w:name w:val="页脚 字符1"/>
    <w:semiHidden/>
    <w:qFormat/>
    <w:locked/>
    <w:uiPriority w:val="0"/>
    <w:rPr>
      <w:kern w:val="2"/>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Dreamsoft\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Pages>4</Pages>
  <Words>1368</Words>
  <Characters>1461</Characters>
  <Lines>13</Lines>
  <Paragraphs>3</Paragraphs>
  <TotalTime>4</TotalTime>
  <ScaleCrop>false</ScaleCrop>
  <LinksUpToDate>false</LinksUpToDate>
  <CharactersWithSpaces>1469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2022-02-09T19:19:00Z</dcterms:created>
  <dc:creator>Administrator</dc:creator>
  <cp:lastModifiedBy>收发文人员</cp:lastModifiedBy>
  <cp:lastPrinted>2023-03-03T17:22:00Z</cp:lastPrinted>
  <dcterms:modified xsi:type="dcterms:W3CDTF">2024-03-12T16:39:52Z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04182568CCF3466BA36110A1D1BCBF59_13</vt:lpwstr>
  </property>
</Properties>
</file>