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hint="default" w:ascii="Times New Roman" w:hAnsi="Times New Roman" w:eastAsia="方正仿宋_GBK" w:cs="Times New Roman"/>
          <w:sz w:val="32"/>
        </w:rPr>
      </w:pPr>
      <w:bookmarkStart w:id="0" w:name="_GoBack"/>
      <w:bookmarkEnd w:id="0"/>
    </w:p>
    <w:p>
      <w:pPr>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重庆市万州区罗田镇人民政府</w:t>
      </w:r>
      <w:r>
        <w:rPr>
          <w:rFonts w:hint="default" w:ascii="Times New Roman" w:hAnsi="Times New Roman" w:eastAsia="方正小标宋_GBK" w:cs="Times New Roman"/>
          <w:sz w:val="44"/>
          <w:szCs w:val="44"/>
          <w:lang w:eastAsia="zh-CN"/>
        </w:rPr>
        <w:t>2024</w:t>
      </w:r>
      <w:r>
        <w:rPr>
          <w:rFonts w:hint="default" w:ascii="Times New Roman" w:hAnsi="Times New Roman" w:eastAsia="方正小标宋_GBK" w:cs="Times New Roman"/>
          <w:sz w:val="44"/>
          <w:szCs w:val="44"/>
        </w:rPr>
        <w:t>年部门预算情况说明</w:t>
      </w:r>
    </w:p>
    <w:p>
      <w:pPr>
        <w:spacing w:line="578" w:lineRule="exact"/>
        <w:rPr>
          <w:rFonts w:hint="default" w:ascii="Times New Roman" w:hAnsi="Times New Roman" w:eastAsia="方正仿宋_GBK" w:cs="Times New Roman"/>
          <w:sz w:val="32"/>
        </w:rPr>
      </w:pPr>
    </w:p>
    <w:p>
      <w:pPr>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（一）职能职责</w:t>
      </w:r>
      <w:r>
        <w:rPr>
          <w:rFonts w:hint="default" w:ascii="Times New Roman" w:hAnsi="Times New Roman" w:eastAsia="方正仿宋_GBK" w:cs="Times New Roman"/>
          <w:sz w:val="32"/>
        </w:rPr>
        <w:t>。</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r>
        <w:rPr>
          <w:rFonts w:hint="default" w:ascii="Times New Roman" w:hAnsi="Times New Roman" w:eastAsia="方正仿宋_GBK" w:cs="Times New Roman"/>
          <w:sz w:val="32"/>
        </w:rPr>
        <w:t>。</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（二）单位构成</w:t>
      </w:r>
      <w:r>
        <w:rPr>
          <w:rFonts w:hint="default" w:ascii="Times New Roman" w:hAnsi="Times New Roman" w:eastAsia="方正仿宋_GBK" w:cs="Times New Roman"/>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遵循精简、统一、效能原则，设置综合办事机构9个，机构规格为正科级。分别是：党政办公室、党群工作办公室、经济发展办公室（挂统计办公室、农村经营管理办公室、扶贫开发办公室牌子）、民政和社会事务办公室（挂卫生健康办公室牌子）、平安建设办公室、规划建设管理环保办公室、财政办公室、应急管理办公室、综合行政执法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镇人大办公室、纪委、武装部按照有关规定设置，人大办公室配备1名专职工作人员。工会、团委、妇联等群团按章程设置，具体工作由党群工作办公室承担。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设置事业站所6个，机构规格为正科级。分别是：农业服务中心、文化服务中心、劳动就业和社会保障服务所、村镇建设环保服务中心、退役军人服务站、综合行政执法大队。</w:t>
      </w:r>
    </w:p>
    <w:p>
      <w:pPr>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年年初预算数2431.88万元，其中：一般公共预算拨款2360.63万元，政府性基金预算拨款</w:t>
      </w: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万元，其他收入63.25万元；收入较去年减少</w:t>
      </w:r>
      <w:r>
        <w:rPr>
          <w:rFonts w:hint="default" w:ascii="Times New Roman" w:hAnsi="Times New Roman" w:eastAsia="方正仿宋_GBK" w:cs="Times New Roman"/>
          <w:sz w:val="32"/>
          <w:lang w:val="en-US" w:eastAsia="zh-CN"/>
        </w:rPr>
        <w:t>116.56</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eastAsia="zh-CN"/>
        </w:rPr>
        <w:t>一般</w:t>
      </w:r>
      <w:r>
        <w:rPr>
          <w:rFonts w:hint="default" w:ascii="Times New Roman" w:hAnsi="Times New Roman" w:eastAsia="方正仿宋_GBK" w:cs="Times New Roman"/>
          <w:sz w:val="32"/>
        </w:rPr>
        <w:t>公共预算</w:t>
      </w:r>
      <w:r>
        <w:rPr>
          <w:rFonts w:hint="default" w:ascii="Times New Roman" w:hAnsi="Times New Roman" w:eastAsia="方正仿宋_GBK" w:cs="Times New Roman"/>
          <w:sz w:val="32"/>
          <w:lang w:eastAsia="zh-CN"/>
        </w:rPr>
        <w:t>资金</w:t>
      </w:r>
      <w:r>
        <w:rPr>
          <w:rFonts w:hint="default" w:ascii="Times New Roman" w:hAnsi="Times New Roman" w:eastAsia="方正仿宋_GBK" w:cs="Times New Roman"/>
          <w:sz w:val="32"/>
        </w:rPr>
        <w:t>拨款减少</w:t>
      </w:r>
      <w:r>
        <w:rPr>
          <w:rFonts w:hint="default" w:ascii="Times New Roman" w:hAnsi="Times New Roman" w:eastAsia="方正仿宋_GBK" w:cs="Times New Roman"/>
          <w:sz w:val="32"/>
          <w:lang w:val="en-US" w:eastAsia="zh-CN"/>
        </w:rPr>
        <w:t>172.81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w:t>
      </w:r>
      <w:r>
        <w:rPr>
          <w:rFonts w:hint="default" w:ascii="Times New Roman" w:hAnsi="Times New Roman" w:eastAsia="方正仿宋_GBK" w:cs="Times New Roman"/>
          <w:sz w:val="32"/>
          <w:lang w:eastAsia="zh-CN"/>
        </w:rPr>
        <w:t>项目资金</w:t>
      </w:r>
      <w:r>
        <w:rPr>
          <w:rFonts w:hint="default" w:ascii="Times New Roman" w:hAnsi="Times New Roman" w:eastAsia="方正仿宋_GBK" w:cs="Times New Roman"/>
          <w:sz w:val="32"/>
        </w:rPr>
        <w:t>拨款</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7万元</w:t>
      </w:r>
      <w:r>
        <w:rPr>
          <w:rFonts w:hint="default" w:ascii="Times New Roman" w:hAnsi="Times New Roman" w:eastAsia="方正仿宋_GBK" w:cs="Times New Roman"/>
          <w:sz w:val="32"/>
        </w:rPr>
        <w:t>。</w:t>
      </w:r>
    </w:p>
    <w:p>
      <w:pPr>
        <w:spacing w:line="578"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年年初预算数2431.88万元，其中：一般公共服务支出939.14万元，</w:t>
      </w:r>
      <w:r>
        <w:rPr>
          <w:rFonts w:hint="default" w:ascii="Times New Roman" w:hAnsi="Times New Roman" w:eastAsia="方正仿宋_GBK" w:cs="Times New Roman"/>
          <w:sz w:val="32"/>
          <w:lang w:eastAsia="zh-CN"/>
        </w:rPr>
        <w:t>国防支出</w:t>
      </w:r>
      <w:r>
        <w:rPr>
          <w:rFonts w:hint="default" w:ascii="Times New Roman" w:hAnsi="Times New Roman" w:eastAsia="方正仿宋_GBK" w:cs="Times New Roman"/>
          <w:sz w:val="32"/>
          <w:lang w:val="en-US" w:eastAsia="zh-CN"/>
        </w:rPr>
        <w:t>1.00万元，公共安全支出24.2万元，</w:t>
      </w:r>
      <w:r>
        <w:rPr>
          <w:rFonts w:hint="default" w:ascii="Times New Roman" w:hAnsi="Times New Roman" w:eastAsia="方正仿宋_GBK" w:cs="Times New Roman"/>
          <w:sz w:val="32"/>
        </w:rPr>
        <w:t>文化旅游体育与传媒支出</w:t>
      </w:r>
      <w:r>
        <w:rPr>
          <w:rFonts w:hint="default" w:ascii="Times New Roman" w:hAnsi="Times New Roman" w:eastAsia="方正仿宋_GBK" w:cs="Times New Roman"/>
          <w:sz w:val="32"/>
          <w:lang w:val="en-US" w:eastAsia="zh-CN"/>
        </w:rPr>
        <w:t>47.05</w:t>
      </w:r>
      <w:r>
        <w:rPr>
          <w:rFonts w:hint="default" w:ascii="Times New Roman" w:hAnsi="Times New Roman" w:eastAsia="方正仿宋_GBK" w:cs="Times New Roman"/>
          <w:sz w:val="32"/>
        </w:rPr>
        <w:t>万元，社会保障和就业支出</w:t>
      </w:r>
      <w:r>
        <w:rPr>
          <w:rFonts w:hint="default" w:ascii="Times New Roman" w:hAnsi="Times New Roman" w:eastAsia="方正仿宋_GBK" w:cs="Times New Roman"/>
          <w:sz w:val="32"/>
          <w:lang w:val="en-US" w:eastAsia="zh-CN"/>
        </w:rPr>
        <w:t>582.21</w:t>
      </w:r>
      <w:r>
        <w:rPr>
          <w:rFonts w:hint="default" w:ascii="Times New Roman" w:hAnsi="Times New Roman" w:eastAsia="方正仿宋_GBK" w:cs="Times New Roman"/>
          <w:sz w:val="32"/>
        </w:rPr>
        <w:t>万元，卫生健康支出</w:t>
      </w:r>
      <w:r>
        <w:rPr>
          <w:rFonts w:hint="default" w:ascii="Times New Roman" w:hAnsi="Times New Roman" w:eastAsia="方正仿宋_GBK" w:cs="Times New Roman"/>
          <w:sz w:val="32"/>
          <w:lang w:val="en-US" w:eastAsia="zh-CN"/>
        </w:rPr>
        <w:t>93.65</w:t>
      </w:r>
      <w:r>
        <w:rPr>
          <w:rFonts w:hint="default" w:ascii="Times New Roman" w:hAnsi="Times New Roman" w:eastAsia="方正仿宋_GBK" w:cs="Times New Roman"/>
          <w:sz w:val="32"/>
        </w:rPr>
        <w:t>万元，城乡社区支出</w:t>
      </w:r>
      <w:r>
        <w:rPr>
          <w:rFonts w:hint="default" w:ascii="Times New Roman" w:hAnsi="Times New Roman" w:eastAsia="方正仿宋_GBK" w:cs="Times New Roman"/>
          <w:sz w:val="32"/>
          <w:lang w:val="en-US" w:eastAsia="zh-CN"/>
        </w:rPr>
        <w:t>70.67万元，农林水支出529.1万元，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93.86</w:t>
      </w:r>
      <w:r>
        <w:rPr>
          <w:rFonts w:hint="default" w:ascii="Times New Roman" w:hAnsi="Times New Roman" w:eastAsia="方正仿宋_GBK" w:cs="Times New Roman"/>
          <w:sz w:val="32"/>
        </w:rPr>
        <w:t>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灾害防治及应急管理支出</w:t>
      </w:r>
      <w:r>
        <w:rPr>
          <w:rFonts w:hint="default" w:ascii="Times New Roman" w:hAnsi="Times New Roman" w:eastAsia="方正仿宋_GBK" w:cs="Times New Roman"/>
          <w:sz w:val="32"/>
          <w:lang w:val="en-US" w:eastAsia="zh-CN"/>
        </w:rPr>
        <w:t>51.00万元；</w:t>
      </w:r>
      <w:r>
        <w:rPr>
          <w:rFonts w:hint="default" w:ascii="Times New Roman" w:hAnsi="Times New Roman" w:eastAsia="方正仿宋_GBK" w:cs="Times New Roman"/>
          <w:sz w:val="32"/>
        </w:rPr>
        <w:t>支出较去年减少</w:t>
      </w:r>
      <w:r>
        <w:rPr>
          <w:rFonts w:hint="default" w:ascii="Times New Roman" w:hAnsi="Times New Roman" w:eastAsia="方正仿宋_GBK" w:cs="Times New Roman"/>
          <w:sz w:val="32"/>
          <w:lang w:val="en-US" w:eastAsia="zh-CN"/>
        </w:rPr>
        <w:t>116.56</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highlight w:val="none"/>
        </w:rPr>
        <w:t>主要是基本支出增加</w:t>
      </w:r>
      <w:r>
        <w:rPr>
          <w:rFonts w:hint="default" w:ascii="Times New Roman" w:hAnsi="Times New Roman" w:eastAsia="方正仿宋_GBK" w:cs="Times New Roman"/>
          <w:sz w:val="32"/>
          <w:highlight w:val="none"/>
          <w:lang w:val="en-US" w:eastAsia="zh-CN"/>
        </w:rPr>
        <w:t>147.87</w:t>
      </w:r>
      <w:r>
        <w:rPr>
          <w:rFonts w:hint="default" w:ascii="Times New Roman" w:hAnsi="Times New Roman" w:eastAsia="方正仿宋_GBK" w:cs="Times New Roman"/>
          <w:sz w:val="32"/>
          <w:highlight w:val="none"/>
        </w:rPr>
        <w:t>万元，项目支出</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264.43</w:t>
      </w:r>
      <w:r>
        <w:rPr>
          <w:rFonts w:hint="default" w:ascii="Times New Roman" w:hAnsi="Times New Roman" w:eastAsia="方正仿宋_GBK" w:cs="Times New Roman"/>
          <w:sz w:val="32"/>
          <w:highlight w:val="none"/>
        </w:rPr>
        <w:t>万元。</w:t>
      </w:r>
    </w:p>
    <w:p>
      <w:pPr>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年一般公共预算财政拨款收入2360.63万元，一般公共预算财政拨款支出2360.63万元，比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172.81</w:t>
      </w:r>
      <w:r>
        <w:rPr>
          <w:rFonts w:hint="default" w:ascii="Times New Roman" w:hAnsi="Times New Roman" w:eastAsia="方正仿宋_GBK" w:cs="Times New Roman"/>
          <w:sz w:val="32"/>
        </w:rPr>
        <w:t>万元。其中：基本支出1686.03万元，比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年增加</w:t>
      </w:r>
      <w:r>
        <w:rPr>
          <w:rFonts w:hint="default" w:ascii="Times New Roman" w:hAnsi="Times New Roman" w:eastAsia="方正仿宋_GBK" w:cs="Times New Roman"/>
          <w:sz w:val="32"/>
          <w:lang w:val="en-US" w:eastAsia="zh-CN"/>
        </w:rPr>
        <w:t>147.87</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人员经费及公用经费预算都有上升</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基本支出</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本单位</w:t>
      </w:r>
      <w:r>
        <w:rPr>
          <w:rFonts w:hint="default" w:ascii="Times New Roman" w:hAnsi="Times New Roman" w:eastAsia="方正仿宋_GBK" w:cs="Times New Roman"/>
          <w:sz w:val="32"/>
        </w:rPr>
        <w:t>在职人员工资福利及社会保险缴费、退休人员补助等，保障部门正常运转的各项商品服务支出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项目支出674.6万元，比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320.68</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预算项目的减少</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eastAsia="zh-CN"/>
        </w:rPr>
        <w:t>村（社区）管理、民兵训练及征兵、安全综治、社会保障等</w:t>
      </w:r>
      <w:r>
        <w:rPr>
          <w:rFonts w:hint="default" w:ascii="Times New Roman" w:hAnsi="Times New Roman" w:eastAsia="方正仿宋_GBK" w:cs="Times New Roman"/>
          <w:sz w:val="32"/>
        </w:rPr>
        <w:t>重点工作。</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万元，政府性基金预算支出</w:t>
      </w:r>
      <w:r>
        <w:rPr>
          <w:rFonts w:hint="default"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基金收入来源减少</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eastAsia="zh-CN"/>
        </w:rPr>
        <w:t>污水处理。</w:t>
      </w:r>
    </w:p>
    <w:p>
      <w:pPr>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四、“三公”经费情况说明</w:t>
      </w:r>
    </w:p>
    <w:p>
      <w:pPr>
        <w:spacing w:line="578"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17.2</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12.3</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与上年持平</w:t>
      </w:r>
      <w:r>
        <w:rPr>
          <w:rFonts w:hint="default" w:ascii="Times New Roman" w:hAnsi="Times New Roman" w:eastAsia="方正仿宋_GBK" w:cs="Times New Roman"/>
          <w:sz w:val="32"/>
        </w:rPr>
        <w:t>，主要原因是</w:t>
      </w:r>
      <w:r>
        <w:rPr>
          <w:rFonts w:hint="default" w:ascii="Times New Roman" w:hAnsi="Times New Roman" w:eastAsia="方正仿宋_GBK" w:cs="Times New Roman"/>
          <w:sz w:val="32"/>
          <w:lang w:eastAsia="zh-CN"/>
        </w:rPr>
        <w:t>无因公出国业务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14.2</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3.5</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减少了接待计划</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2023</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8.8</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大幅压缩公车运行费用</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与上年持平</w:t>
      </w:r>
      <w:r>
        <w:rPr>
          <w:rFonts w:hint="default" w:ascii="Times New Roman" w:hAnsi="Times New Roman" w:eastAsia="方正仿宋_GBK" w:cs="Times New Roman"/>
          <w:sz w:val="32"/>
        </w:rPr>
        <w:t>；主要原因是</w:t>
      </w:r>
      <w:r>
        <w:rPr>
          <w:rFonts w:hint="default" w:ascii="Times New Roman" w:hAnsi="Times New Roman" w:eastAsia="方正仿宋_GBK" w:cs="Times New Roman"/>
          <w:sz w:val="32"/>
          <w:lang w:eastAsia="zh-CN"/>
        </w:rPr>
        <w:t>无公务用车购置计划。</w:t>
      </w:r>
    </w:p>
    <w:p>
      <w:pPr>
        <w:spacing w:line="578"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年一般公共预算财政拨款运行经费</w:t>
      </w:r>
      <w:r>
        <w:rPr>
          <w:rFonts w:hint="default" w:ascii="Times New Roman" w:hAnsi="Times New Roman" w:eastAsia="方正仿宋_GBK" w:cs="Times New Roman"/>
          <w:sz w:val="32"/>
          <w:lang w:val="en-US" w:eastAsia="zh-CN"/>
        </w:rPr>
        <w:t>95.17</w:t>
      </w:r>
      <w:r>
        <w:rPr>
          <w:rFonts w:hint="default" w:ascii="Times New Roman" w:hAnsi="Times New Roman" w:eastAsia="方正仿宋_GBK" w:cs="Times New Roman"/>
          <w:sz w:val="32"/>
        </w:rPr>
        <w:t>万元，比上年减少</w:t>
      </w:r>
      <w:r>
        <w:rPr>
          <w:rFonts w:hint="default" w:ascii="Times New Roman" w:hAnsi="Times New Roman" w:eastAsia="方正仿宋_GBK" w:cs="Times New Roman"/>
          <w:sz w:val="32"/>
          <w:lang w:val="en-US" w:eastAsia="zh-CN"/>
        </w:rPr>
        <w:t>65.51</w:t>
      </w:r>
      <w:r>
        <w:rPr>
          <w:rFonts w:hint="default" w:ascii="Times New Roman" w:hAnsi="Times New Roman" w:eastAsia="方正仿宋_GBK" w:cs="Times New Roman"/>
          <w:sz w:val="32"/>
        </w:rPr>
        <w:t>万元，主要原因为</w:t>
      </w:r>
      <w:r>
        <w:rPr>
          <w:rFonts w:hint="default" w:ascii="Times New Roman" w:hAnsi="Times New Roman" w:eastAsia="方正仿宋_GBK" w:cs="Times New Roman"/>
          <w:sz w:val="32"/>
          <w:lang w:eastAsia="zh-CN"/>
        </w:rPr>
        <w:t>本年度分单位进行核算，压缩公用经费，厉行节约</w:t>
      </w:r>
      <w:r>
        <w:rPr>
          <w:rFonts w:hint="default" w:ascii="Times New Roman" w:hAnsi="Times New Roman" w:eastAsia="方正仿宋_GBK" w:cs="Times New Roman"/>
          <w:sz w:val="32"/>
        </w:rPr>
        <w:t>；主要用于办公费、印刷费、邮电费、水电费、物管费、差旅费、会议费、培训费及其他商品和服务支出等。</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年项目支出均实行了绩效目标管理，涉及一般公共预算财政拨款674.6万元。</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截至2023年</w:t>
      </w:r>
      <w:r>
        <w:rPr>
          <w:rFonts w:hint="default" w:ascii="Times New Roman" w:hAnsi="Times New Roman" w:eastAsia="方正仿宋_GBK" w:cs="Times New Roman"/>
          <w:sz w:val="32"/>
        </w:rPr>
        <w:t>12月，所属各预算单位共有车辆</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辆，其中一般公务用车</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辆、执勤执法用车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年一般公共预算安排购置车辆</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辆，其中一般公务用车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辆、执勤执法用车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六、专业性名词解释</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：指本年度从本级财政部门取得的财政拨款，包括一般公共预算财政拨款和政府性基金预算财政拨款。</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事业收入</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经营收入”等以外的收入。</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部门</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spacing w:line="578" w:lineRule="exact"/>
        <w:ind w:firstLine="640" w:firstLineChars="200"/>
        <w:rPr>
          <w:rFonts w:hint="default" w:ascii="Times New Roman" w:hAnsi="Times New Roman" w:eastAsia="方正仿宋_GBK" w:cs="Times New Roman"/>
          <w:sz w:val="32"/>
        </w:rPr>
      </w:pPr>
    </w:p>
    <w:sectPr>
      <w:footerReference r:id="rId3" w:type="default"/>
      <w:footerReference r:id="rId4" w:type="even"/>
      <w:pgSz w:w="16838" w:h="11906" w:orient="landscape"/>
      <w:pgMar w:top="1440" w:right="1080" w:bottom="1440" w:left="1080"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25C07"/>
    <w:rsid w:val="0014404E"/>
    <w:rsid w:val="001525DD"/>
    <w:rsid w:val="00161474"/>
    <w:rsid w:val="00165A74"/>
    <w:rsid w:val="0019526F"/>
    <w:rsid w:val="001957F9"/>
    <w:rsid w:val="001C0A7C"/>
    <w:rsid w:val="001C2D94"/>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87B34"/>
    <w:rsid w:val="0049017F"/>
    <w:rsid w:val="00492FB3"/>
    <w:rsid w:val="004B1650"/>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E18A6"/>
    <w:rsid w:val="005F1960"/>
    <w:rsid w:val="006115F1"/>
    <w:rsid w:val="00620BCE"/>
    <w:rsid w:val="006275C9"/>
    <w:rsid w:val="006342F3"/>
    <w:rsid w:val="0066585E"/>
    <w:rsid w:val="006809FA"/>
    <w:rsid w:val="006C01C3"/>
    <w:rsid w:val="006C76E6"/>
    <w:rsid w:val="006D0C33"/>
    <w:rsid w:val="006D1609"/>
    <w:rsid w:val="006E0BEC"/>
    <w:rsid w:val="006E455F"/>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52D34"/>
    <w:rsid w:val="00A61D96"/>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646B9"/>
    <w:rsid w:val="00B65450"/>
    <w:rsid w:val="00B72347"/>
    <w:rsid w:val="00B86388"/>
    <w:rsid w:val="00BA1AA9"/>
    <w:rsid w:val="00BB3B39"/>
    <w:rsid w:val="00BC2C3D"/>
    <w:rsid w:val="00BD5FA5"/>
    <w:rsid w:val="00BE55DB"/>
    <w:rsid w:val="00BE573E"/>
    <w:rsid w:val="00BF67E7"/>
    <w:rsid w:val="00C22B7C"/>
    <w:rsid w:val="00C2696C"/>
    <w:rsid w:val="00C26CFA"/>
    <w:rsid w:val="00C427D3"/>
    <w:rsid w:val="00C47446"/>
    <w:rsid w:val="00C5758E"/>
    <w:rsid w:val="00C601F9"/>
    <w:rsid w:val="00C7602D"/>
    <w:rsid w:val="00C827DC"/>
    <w:rsid w:val="00C95346"/>
    <w:rsid w:val="00CA4340"/>
    <w:rsid w:val="00CB0296"/>
    <w:rsid w:val="00CC4A96"/>
    <w:rsid w:val="00CD1C4A"/>
    <w:rsid w:val="00CE1014"/>
    <w:rsid w:val="00CF42ED"/>
    <w:rsid w:val="00CF5C2E"/>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D379B"/>
    <w:rsid w:val="00DE3685"/>
    <w:rsid w:val="00DE5805"/>
    <w:rsid w:val="00E00D68"/>
    <w:rsid w:val="00E01CEB"/>
    <w:rsid w:val="00E11FB2"/>
    <w:rsid w:val="00E275D0"/>
    <w:rsid w:val="00E405BB"/>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2169"/>
    <w:rsid w:val="00FC2267"/>
    <w:rsid w:val="00FE12C3"/>
    <w:rsid w:val="00FE28C5"/>
    <w:rsid w:val="06F506DB"/>
    <w:rsid w:val="12BE1A66"/>
    <w:rsid w:val="167B666A"/>
    <w:rsid w:val="18CC21E2"/>
    <w:rsid w:val="19D75DEA"/>
    <w:rsid w:val="1BBE15EF"/>
    <w:rsid w:val="21857647"/>
    <w:rsid w:val="280672AF"/>
    <w:rsid w:val="2A216A9F"/>
    <w:rsid w:val="2C7F1F19"/>
    <w:rsid w:val="373273D2"/>
    <w:rsid w:val="3BC5739B"/>
    <w:rsid w:val="3E504056"/>
    <w:rsid w:val="40A5148E"/>
    <w:rsid w:val="48310C7F"/>
    <w:rsid w:val="531E3429"/>
    <w:rsid w:val="59F73F7F"/>
    <w:rsid w:val="5E36101A"/>
    <w:rsid w:val="5E8519DA"/>
    <w:rsid w:val="65FC33BF"/>
    <w:rsid w:val="67764C6B"/>
    <w:rsid w:val="739E54A5"/>
    <w:rsid w:val="755020A7"/>
    <w:rsid w:val="787E4057"/>
    <w:rsid w:val="ACFF7A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批注框文本 Char"/>
    <w:link w:val="2"/>
    <w:qFormat/>
    <w:uiPriority w:val="0"/>
    <w:rPr>
      <w:kern w:val="2"/>
      <w:sz w:val="18"/>
      <w:szCs w:val="18"/>
    </w:rPr>
  </w:style>
  <w:style w:type="character" w:customStyle="1" w:styleId="12">
    <w:name w:val="页脚 字符1"/>
    <w:qFormat/>
    <w:uiPriority w:val="99"/>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Pages>
  <Words>2153</Words>
  <Characters>2366</Characters>
  <Lines>13</Lines>
  <Paragraphs>3</Paragraphs>
  <TotalTime>53</TotalTime>
  <ScaleCrop>false</ScaleCrop>
  <LinksUpToDate>false</LinksUpToDate>
  <CharactersWithSpaces>2373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2022-01-26T19:29:00Z</dcterms:created>
  <dc:creator>Administrator</dc:creator>
  <cp:lastModifiedBy>收发文人员</cp:lastModifiedBy>
  <cp:lastPrinted>2023-03-03T17:19:00Z</cp:lastPrinted>
  <dcterms:modified xsi:type="dcterms:W3CDTF">2024-03-12T16:38:02Z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C6A19D57A1FF4444A8AC8530324F05BF_13</vt:lpwstr>
  </property>
</Properties>
</file>