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firstLineChars="350"/>
        <w:rPr>
          <w:rFonts w:hint="eastAsia" w:asciiTheme="minorEastAsia" w:hAnsiTheme="minorEastAsia"/>
          <w:sz w:val="32"/>
          <w:szCs w:val="32"/>
        </w:rPr>
      </w:pPr>
    </w:p>
    <w:p>
      <w:pPr>
        <w:keepNext w:val="0"/>
        <w:keepLines w:val="0"/>
        <w:widowControl w:val="0"/>
        <w:suppressLineNumbers w:val="0"/>
        <w:spacing w:before="0" w:beforeAutospacing="0" w:after="0" w:afterAutospacing="0"/>
        <w:ind w:right="0"/>
        <w:jc w:val="center"/>
        <w:rPr>
          <w:rFonts w:eastAsia="仿宋_GB2312"/>
          <w:sz w:val="64"/>
          <w:szCs w:val="64"/>
          <w:lang w:val="en-US"/>
        </w:rPr>
      </w:pPr>
      <w:r>
        <w:rPr>
          <w:rFonts w:hint="default" w:ascii="Times New Roman" w:hAnsi="Times New Roman" w:eastAsia="方正大标宋简体" w:cs="Times New Roman"/>
          <w:w w:val="33"/>
          <w:kern w:val="2"/>
          <w:sz w:val="150"/>
          <w:szCs w:val="150"/>
          <w:lang w:val="en-US" w:eastAsia="zh-CN" w:bidi="ar"/>
        </w:rPr>
        <w:pict>
          <v:shape id="_x0000_i1025" o:spt="136" type="#_x0000_t136" style="height:53.25pt;width:415.5pt;" fillcolor="#FF0000" filled="t" stroked="t" coordsize="21600,21600">
            <v:path/>
            <v:fill on="t" focussize="0,0"/>
            <v:stroke weight="0pt" color="#FF0000"/>
            <v:imagedata o:title=""/>
            <o:lock v:ext="edit"/>
            <v:textpath on="t" fitshape="t" fitpath="t" trim="t" xscale="f" string="重庆市万州区梨树乡人民政府" style="font-family:方正小标宋_GBK;font-size:36pt;v-text-align:center;"/>
            <w10:wrap type="none"/>
            <w10:anchorlock/>
          </v:shape>
        </w:pict>
      </w:r>
    </w:p>
    <w:p>
      <w:pPr>
        <w:keepNext w:val="0"/>
        <w:keepLines w:val="0"/>
        <w:widowControl w:val="0"/>
        <w:suppressLineNumbers w:val="0"/>
        <w:spacing w:before="0" w:beforeAutospacing="0" w:after="0" w:afterAutospacing="0" w:line="520" w:lineRule="exact"/>
        <w:ind w:left="0" w:right="0"/>
        <w:jc w:val="center"/>
        <w:rPr>
          <w:rFonts w:hint="eastAsia" w:ascii="Times New Roman" w:hAnsi="Times New Roman" w:eastAsia="仿宋_GB2312" w:cs="Times New Roman"/>
          <w:kern w:val="2"/>
          <w:sz w:val="32"/>
          <w:szCs w:val="21"/>
          <w:lang w:val="en-US" w:eastAsia="zh-CN" w:bidi="ar"/>
        </w:rPr>
      </w:pPr>
    </w:p>
    <w:p>
      <w:pPr>
        <w:keepNext w:val="0"/>
        <w:keepLines w:val="0"/>
        <w:widowControl w:val="0"/>
        <w:suppressLineNumbers w:val="0"/>
        <w:spacing w:before="0" w:beforeAutospacing="0" w:after="0" w:afterAutospacing="0" w:line="520" w:lineRule="exact"/>
        <w:ind w:left="0" w:right="0"/>
        <w:jc w:val="center"/>
        <w:rPr>
          <w:sz w:val="32"/>
          <w:szCs w:val="24"/>
          <w:lang w:val="en-US"/>
        </w:rPr>
      </w:pPr>
      <w:r>
        <w:rPr>
          <w:rFonts w:hint="eastAsia" w:ascii="Times New Roman" w:hAnsi="Times New Roman" w:eastAsia="仿宋_GB2312" w:cs="Times New Roman"/>
          <w:kern w:val="2"/>
          <w:sz w:val="32"/>
          <w:szCs w:val="21"/>
          <w:lang w:val="en-US" w:eastAsia="zh-CN" w:bidi="ar"/>
        </w:rPr>
        <w:t>梨树府发〔</w:t>
      </w:r>
      <w:r>
        <w:rPr>
          <w:rFonts w:hint="default" w:ascii="Times New Roman" w:hAnsi="Times New Roman" w:eastAsia="仿宋_GB2312" w:cs="Times New Roman"/>
          <w:kern w:val="2"/>
          <w:sz w:val="32"/>
          <w:szCs w:val="21"/>
          <w:lang w:val="en-US" w:eastAsia="zh-CN" w:bidi="ar"/>
        </w:rPr>
        <w:t>2021</w:t>
      </w:r>
      <w:r>
        <w:rPr>
          <w:rFonts w:hint="eastAsia" w:ascii="Times New Roman" w:hAnsi="Times New Roman" w:eastAsia="仿宋_GB2312" w:cs="Times New Roman"/>
          <w:kern w:val="2"/>
          <w:sz w:val="32"/>
          <w:szCs w:val="21"/>
          <w:lang w:val="en-US" w:eastAsia="zh-CN" w:bidi="ar"/>
        </w:rPr>
        <w:t>〕30号</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kern w:val="2"/>
          <w:sz w:val="32"/>
          <w:szCs w:val="24"/>
          <w:lang w:val="en-US" w:eastAsia="zh-CN" w:bidi="ar"/>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133952" behindDoc="0" locked="0" layoutInCell="1" allowOverlap="1">
                <wp:simplePos x="0" y="0"/>
                <wp:positionH relativeFrom="column">
                  <wp:posOffset>-161925</wp:posOffset>
                </wp:positionH>
                <wp:positionV relativeFrom="paragraph">
                  <wp:posOffset>144780</wp:posOffset>
                </wp:positionV>
                <wp:extent cx="6021705" cy="0"/>
                <wp:effectExtent l="0" t="12700" r="17145" b="15875"/>
                <wp:wrapNone/>
                <wp:docPr id="2" name="直线 2"/>
                <wp:cNvGraphicFramePr/>
                <a:graphic xmlns:a="http://schemas.openxmlformats.org/drawingml/2006/main">
                  <a:graphicData uri="http://schemas.microsoft.com/office/word/2010/wordprocessingShape">
                    <wps:wsp>
                      <wps:cNvCnPr/>
                      <wps:spPr>
                        <a:xfrm>
                          <a:off x="0" y="0"/>
                          <a:ext cx="602170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75pt;margin-top:11.4pt;height:0pt;width:474.15pt;z-index:251133952;mso-width-relative:page;mso-height-relative:page;" filled="f" stroked="t" coordsize="21600,21600" o:gfxdata="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y2RK1QAAAAkBAAAPAAAAAAAAAAEAIAAAACIAAABk&#10;cnMvZG93bnJldi54bWxQSwECFAAUAAAACACHTuJAVbvwQdABAACOAwAADgAAAAAAAAABACAAAAAk&#10;AQAAZHJzL2Uyb0RvYy54bWxQSwUGAAAAAAYABgBZAQAAZgUAAAAA&#10;">
                <v:fill on="f" focussize="0,0"/>
                <v:stroke weight="2pt" color="#FF0000" joinstyle="round"/>
                <v:imagedata o:title=""/>
                <o:lock v:ext="edit" aspectratio="f"/>
              </v:line>
            </w:pict>
          </mc:Fallback>
        </mc:AlternateContent>
      </w:r>
      <w:r>
        <w:rPr>
          <w:rFonts w:hint="default" w:ascii="Times New Roman" w:hAnsi="Times New Roman" w:eastAsia="宋体" w:cs="Times New Roman"/>
          <w:kern w:val="2"/>
          <w:sz w:val="32"/>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32"/>
          <w:szCs w:val="2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ascii="方正小标宋_GBK" w:hAnsi="方正小标宋_GBK" w:eastAsia="方正小标宋_GBK" w:cs="方正小标宋_GBK"/>
          <w:color w:val="000000"/>
          <w:sz w:val="43"/>
          <w:szCs w:val="43"/>
          <w:shd w:val="clear" w:fill="FFFFFF"/>
        </w:rPr>
        <w:t>重庆市万州区梨树乡人民政府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方正小标宋_GBK" w:hAnsi="方正小标宋_GBK" w:eastAsia="方正小标宋_GBK" w:cs="方正小标宋_GBK"/>
          <w:color w:val="000000"/>
          <w:sz w:val="43"/>
          <w:szCs w:val="43"/>
          <w:shd w:val="clear" w:fill="FFFFFF"/>
        </w:rPr>
        <w:t>关于转发《关于</w:t>
      </w:r>
      <w:r>
        <w:rPr>
          <w:rFonts w:hint="eastAsia" w:ascii="方正小标宋_GBK" w:hAnsi="方正小标宋_GBK" w:eastAsia="方正小标宋_GBK" w:cs="方正小标宋_GBK"/>
          <w:sz w:val="43"/>
          <w:szCs w:val="43"/>
        </w:rPr>
        <w:t>做好农村低收入群体等重点对象住房安全保障工作的通知</w:t>
      </w:r>
      <w:r>
        <w:rPr>
          <w:rFonts w:hint="eastAsia" w:ascii="方正小标宋_GBK" w:hAnsi="方正小标宋_GBK" w:eastAsia="方正小标宋_GBK" w:cs="方正小标宋_GBK"/>
          <w:color w:val="000000"/>
          <w:sz w:val="43"/>
          <w:szCs w:val="43"/>
          <w:shd w:val="clear" w:fill="FFFFFF"/>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ascii="方正仿宋_GBK" w:hAnsi="方正仿宋_GBK" w:eastAsia="方正仿宋_GBK" w:cs="方正仿宋_GBK"/>
          <w:color w:val="000000"/>
          <w:sz w:val="31"/>
          <w:szCs w:val="31"/>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方正仿宋_GBK" w:hAnsi="方正仿宋_GBK" w:eastAsia="方正仿宋_GBK" w:cs="方正仿宋_GBK"/>
          <w:color w:val="000000"/>
          <w:sz w:val="31"/>
          <w:szCs w:val="31"/>
          <w:shd w:val="clear" w:fill="FFFFFF"/>
        </w:rPr>
        <w:t>各村（居）民委员会：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方正小标宋_GBK" w:hAnsi="方正小标宋_GBK" w:eastAsia="方正小标宋_GBK" w:cs="方正小标宋_GBK"/>
          <w:color w:val="000000"/>
          <w:sz w:val="43"/>
          <w:szCs w:val="43"/>
          <w:shd w:val="clear" w:fill="FFFFFF"/>
        </w:rPr>
        <w:t>   </w:t>
      </w:r>
      <w:r>
        <w:rPr>
          <w:rFonts w:hint="eastAsia" w:ascii="方正仿宋_GBK" w:hAnsi="方正仿宋_GBK" w:eastAsia="方正仿宋_GBK" w:cs="方正仿宋_GBK"/>
          <w:sz w:val="31"/>
          <w:szCs w:val="31"/>
        </w:rPr>
        <w:t>为进一步做好农村低收入群体等重点对象住房安全保障工作，现将区住建委、区财政局、区民政局、区乡村振兴局《关于做好农村低收入群体等重点对象住房安全保障工作的通知》转发给你们，请认真贯彻落实。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pPr>
      <w:r>
        <w:rPr>
          <w:rFonts w:hint="eastAsia" w:ascii="方正仿宋_GBK" w:hAnsi="方正仿宋_GBK" w:eastAsia="方正仿宋_GBK" w:cs="方正仿宋_GBK"/>
          <w:sz w:val="31"/>
          <w:szCs w:val="31"/>
        </w:rPr>
        <w:t>附件：关于做好农村低收入群体等重点对象住房安全保障工作的通知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pPr>
      <w:r>
        <w:rPr>
          <w:rFonts w:hint="default" w:ascii="Times New Roman" w:hAnsi="Times New Roman" w:cs="Times New Roman"/>
          <w:sz w:val="31"/>
          <w:szCs w:val="31"/>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pPr>
      <w:r>
        <w:rPr>
          <w:rFonts w:hint="default" w:ascii="Times New Roman" w:hAnsi="Times New Roman" w:cs="Times New Roman"/>
          <w:sz w:val="31"/>
          <w:szCs w:val="31"/>
        </w:rPr>
        <w:t> </w:t>
      </w:r>
      <w:r>
        <w:rPr>
          <w:rFonts w:hint="eastAsia" w:ascii="Times New Roman" w:hAnsi="Times New Roman" w:cs="Times New Roman"/>
          <w:sz w:val="31"/>
          <w:szCs w:val="31"/>
          <w:lang w:val="en-US" w:eastAsia="zh-CN"/>
        </w:rPr>
        <w:t xml:space="preserve">                  </w:t>
      </w:r>
      <w:r>
        <w:rPr>
          <w:rFonts w:hint="eastAsia" w:ascii="方正仿宋_GBK" w:hAnsi="方正仿宋_GBK" w:eastAsia="方正仿宋_GBK" w:cs="方正仿宋_GBK"/>
          <w:sz w:val="31"/>
          <w:szCs w:val="31"/>
        </w:rPr>
        <w:t>重庆市万州区梨树乡人民政府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方正仿宋_GBK" w:hAnsi="方正仿宋_GBK" w:eastAsia="方正仿宋_GBK" w:cs="方正仿宋_GBK"/>
          <w:sz w:val="31"/>
          <w:szCs w:val="31"/>
        </w:rPr>
        <w:t>                     2021年9月10日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6"/>
        <w:jc w:val="both"/>
        <w:textAlignment w:val="auto"/>
        <w:rPr>
          <w:sz w:val="19"/>
          <w:szCs w:val="19"/>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sz w:val="19"/>
          <w:szCs w:val="19"/>
        </w:rPr>
      </w:pPr>
      <w:r>
        <w:rPr>
          <w:rFonts w:hint="eastAsia" w:ascii="方正小标宋_GBK" w:hAnsi="方正小标宋_GBK" w:eastAsia="方正小标宋_GBK" w:cs="方正小标宋_GBK"/>
          <w:sz w:val="44"/>
          <w:szCs w:val="44"/>
        </w:rPr>
        <w:t>关于做好农村低收入群体等重点对象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sz w:val="19"/>
          <w:szCs w:val="19"/>
        </w:rPr>
      </w:pPr>
      <w:r>
        <w:rPr>
          <w:rFonts w:hint="eastAsia" w:ascii="方正小标宋_GBK" w:hAnsi="方正小标宋_GBK" w:eastAsia="方正小标宋_GBK" w:cs="方正小标宋_GBK"/>
          <w:sz w:val="44"/>
          <w:szCs w:val="44"/>
        </w:rPr>
        <w:t>住房安全保障工作的通知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sz w:val="19"/>
          <w:szCs w:val="19"/>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sz w:val="19"/>
          <w:szCs w:val="19"/>
        </w:rPr>
      </w:pPr>
      <w:r>
        <w:rPr>
          <w:rFonts w:hint="eastAsia" w:ascii="方正仿宋_GBK" w:hAnsi="方正仿宋_GBK" w:eastAsia="方正仿宋_GBK" w:cs="方正仿宋_GBK"/>
          <w:sz w:val="32"/>
          <w:szCs w:val="32"/>
        </w:rPr>
        <w:t>各镇乡（民族乡）人民政府、涉农街道办事处：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按照市住建委、市财政局、市民政局、市乡村振兴局《关于做好农村低收入群体等重点对象住房安全保障工作的通知》（渝建〔</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号）要求，为进一步做好农村低收入群体等重点对象住房安全保障工作，现将有关事项通知如下：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ascii="方正黑体_GBK" w:hAnsi="方正黑体_GBK" w:eastAsia="方正黑体_GBK" w:cs="方正黑体_GBK"/>
          <w:sz w:val="32"/>
          <w:szCs w:val="32"/>
        </w:rPr>
        <w:t>一、高度重视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各镇乡街道要以习近平新时代中国特色社会主义思想为指导，全面贯彻落实习近平总书记在中央农村工作会议上的重要讲话精神，按照党中央国务院和市委市政府关于建立健全巩固拓展脱贫攻坚成果长效机制的决策部署，逐步完善农村低收入群体住房安全保障长效机制。要坚持安全为本、因地制宜、农户主体、提升质量的原则，以农村危房改造为主要抓手，确保农村低收入群体等重点对象住房安全保障工作落实落地落细，实现巩固拓展脱贫攻坚成果同乡村振兴有效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黑体_GBK" w:hAnsi="方正黑体_GBK" w:eastAsia="方正黑体_GBK" w:cs="方正黑体_GBK"/>
          <w:sz w:val="32"/>
          <w:szCs w:val="32"/>
        </w:rPr>
        <w:t>二、补助对象及认证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ascii="方正楷体_GBK" w:hAnsi="方正楷体_GBK" w:eastAsia="方正楷体_GBK" w:cs="方正楷体_GBK"/>
          <w:sz w:val="32"/>
          <w:szCs w:val="32"/>
        </w:rPr>
        <w:t>（一）农村危房改造补助对象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农村危房改造补助对象主要为经鉴定唯一住房安全等级属于</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级或</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或认定确属无房户的以下农村低收入群体：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以下农户不得纳入农村危房改造补助范围：有一套及以上安全住房的农户；属于城镇户口的农户（包括就地农转城的农户）；拆除重建的</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级危房户；</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级危房拆除重建、无房户新建住房建筑面积超标的农户；已纳入易地扶贫搬迁、因灾倒损农房恢复重建的农户；其他不符合农村危房改造政策的农户。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（二）农村危房改造补助对象认定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区乡村振兴局负责认定农村易返贫致贫户、因病因灾因意外事故等刚性支出较大或收入大幅缩减导致基本生活出现严重困难家庭、符合条件的其他脱贫户。区民政局负责认定农村低保户、农村分散供养特困人员、农村低保边缘家庭（农村低保边缘家庭待认定政策制定出台后执行，见附件</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）。区住建委负责组织开展农村低收入群体住房安全等级鉴定（见附件</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黑体_GBK" w:hAnsi="方正黑体_GBK" w:eastAsia="方正黑体_GBK" w:cs="方正黑体_GBK"/>
          <w:sz w:val="32"/>
          <w:szCs w:val="32"/>
        </w:rPr>
        <w:t>三、改造方式及建设标准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（一）改造方式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级危房改造必须修缮加固，农村</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级危房改造原则上拆除重建，少数经鉴定为</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（二）面积标准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住房建筑面积原则上</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至</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人户控制在</w:t>
      </w:r>
      <w:r>
        <w:rPr>
          <w:rFonts w:hint="default" w:ascii="Times New Roman" w:hAnsi="Times New Roman" w:cs="Times New Roman"/>
          <w:sz w:val="32"/>
          <w:szCs w:val="32"/>
        </w:rPr>
        <w:t>50</w:t>
      </w:r>
      <w:r>
        <w:rPr>
          <w:rFonts w:hint="eastAsia" w:ascii="方正仿宋_GBK" w:hAnsi="方正仿宋_GBK" w:eastAsia="方正仿宋_GBK" w:cs="方正仿宋_GBK"/>
          <w:sz w:val="32"/>
          <w:szCs w:val="32"/>
        </w:rPr>
        <w:t>平方米以内，且</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人户不低于</w:t>
      </w:r>
      <w:r>
        <w:rPr>
          <w:rFonts w:hint="default" w:ascii="Times New Roman" w:hAnsi="Times New Roman" w:cs="Times New Roman"/>
          <w:sz w:val="32"/>
          <w:szCs w:val="32"/>
        </w:rPr>
        <w:t>20</w:t>
      </w:r>
      <w:r>
        <w:rPr>
          <w:rFonts w:hint="eastAsia" w:ascii="方正仿宋_GBK" w:hAnsi="方正仿宋_GBK" w:eastAsia="方正仿宋_GBK" w:cs="方正仿宋_GBK"/>
          <w:sz w:val="32"/>
          <w:szCs w:val="32"/>
        </w:rPr>
        <w:t>平方米、</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人户不低于</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平方米；</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人户控制在</w:t>
      </w:r>
      <w:r>
        <w:rPr>
          <w:rFonts w:hint="default" w:ascii="Times New Roman" w:hAnsi="Times New Roman" w:cs="Times New Roman"/>
          <w:sz w:val="32"/>
          <w:szCs w:val="32"/>
        </w:rPr>
        <w:t>75</w:t>
      </w:r>
      <w:r>
        <w:rPr>
          <w:rFonts w:hint="eastAsia" w:ascii="方正仿宋_GBK" w:hAnsi="方正仿宋_GBK" w:eastAsia="方正仿宋_GBK" w:cs="方正仿宋_GBK"/>
          <w:sz w:val="32"/>
          <w:szCs w:val="32"/>
        </w:rPr>
        <w:t>平方米以内且不低于</w:t>
      </w:r>
      <w:r>
        <w:rPr>
          <w:rFonts w:hint="default" w:ascii="Times New Roman" w:hAnsi="Times New Roman" w:cs="Times New Roman"/>
          <w:sz w:val="32"/>
          <w:szCs w:val="32"/>
        </w:rPr>
        <w:t>40</w:t>
      </w:r>
      <w:r>
        <w:rPr>
          <w:rFonts w:hint="eastAsia" w:ascii="方正仿宋_GBK" w:hAnsi="方正仿宋_GBK" w:eastAsia="方正仿宋_GBK" w:cs="方正仿宋_GBK"/>
          <w:sz w:val="32"/>
          <w:szCs w:val="32"/>
        </w:rPr>
        <w:t>平方米；</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人户控制在</w:t>
      </w:r>
      <w:r>
        <w:rPr>
          <w:rFonts w:hint="default" w:ascii="Times New Roman" w:hAnsi="Times New Roman" w:cs="Times New Roman"/>
          <w:sz w:val="32"/>
          <w:szCs w:val="32"/>
        </w:rPr>
        <w:t>100</w:t>
      </w:r>
      <w:r>
        <w:rPr>
          <w:rFonts w:hint="eastAsia" w:ascii="方正仿宋_GBK" w:hAnsi="方正仿宋_GBK" w:eastAsia="方正仿宋_GBK" w:cs="方正仿宋_GBK"/>
          <w:sz w:val="32"/>
          <w:szCs w:val="32"/>
        </w:rPr>
        <w:t>平方米以内且不低于</w:t>
      </w:r>
      <w:r>
        <w:rPr>
          <w:rFonts w:hint="default" w:ascii="Times New Roman" w:hAnsi="Times New Roman" w:cs="Times New Roman"/>
          <w:sz w:val="32"/>
          <w:szCs w:val="32"/>
        </w:rPr>
        <w:t>60</w:t>
      </w:r>
      <w:r>
        <w:rPr>
          <w:rFonts w:hint="eastAsia" w:ascii="方正仿宋_GBK" w:hAnsi="方正仿宋_GBK" w:eastAsia="方正仿宋_GBK" w:cs="方正仿宋_GBK"/>
          <w:sz w:val="32"/>
          <w:szCs w:val="32"/>
        </w:rPr>
        <w:t>平方米；</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人户及以上控制在</w:t>
      </w:r>
      <w:r>
        <w:rPr>
          <w:rFonts w:hint="default" w:ascii="Times New Roman" w:hAnsi="Times New Roman" w:cs="Times New Roman"/>
          <w:sz w:val="32"/>
          <w:szCs w:val="32"/>
        </w:rPr>
        <w:t>125</w:t>
      </w:r>
      <w:r>
        <w:rPr>
          <w:rFonts w:hint="eastAsia" w:ascii="方正仿宋_GBK" w:hAnsi="方正仿宋_GBK" w:eastAsia="方正仿宋_GBK" w:cs="方正仿宋_GBK"/>
          <w:sz w:val="32"/>
          <w:szCs w:val="32"/>
        </w:rPr>
        <w:t>平方米以内且不低于</w:t>
      </w:r>
      <w:r>
        <w:rPr>
          <w:rFonts w:hint="default" w:ascii="Times New Roman" w:hAnsi="Times New Roman" w:cs="Times New Roman"/>
          <w:sz w:val="32"/>
          <w:szCs w:val="32"/>
        </w:rPr>
        <w:t>75</w:t>
      </w:r>
      <w:r>
        <w:rPr>
          <w:rFonts w:hint="eastAsia" w:ascii="方正仿宋_GBK" w:hAnsi="方正仿宋_GBK" w:eastAsia="方正仿宋_GBK" w:cs="方正仿宋_GBK"/>
          <w:sz w:val="32"/>
          <w:szCs w:val="32"/>
        </w:rPr>
        <w:t>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（三）竣工验收标准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积极推广绿色建材应用和新型建造方式，推进水冲式卫生厕所入户改造和建设，改善农村住房条件和居住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黑体_GBK" w:hAnsi="方正黑体_GBK" w:eastAsia="方正黑体_GBK" w:cs="方正黑体_GBK"/>
          <w:sz w:val="32"/>
          <w:szCs w:val="32"/>
        </w:rPr>
        <w:t>四、安全等级鉴定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区住建委将与区乡村振兴局、区民政局等部门加强协调联动和数据互通共享，健全完善农村低收入群体等重点对象住房安全动态监测机制。各镇乡街道要组织村居干部、农村建筑工匠等人员，每个季度对辖区内农村住房开展安全排查工作，对于发现的疑似住房安全问题，要及时报送区住建委。区住建委将组织专业技术人员或聘请有资质的专业鉴定机构，按照市住房城乡建委《关于印发〈重庆市住房安全性鉴定技术导则〉的通知》（渝建村镇〔</w:t>
      </w:r>
      <w:r>
        <w:rPr>
          <w:rFonts w:hint="default" w:ascii="Times New Roman" w:hAnsi="Times New Roman"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号）要求对住房安全等级进行鉴定，并填写《农村住房安全等级鉴定报告表》（见附件</w:t>
      </w:r>
      <w:r>
        <w:rPr>
          <w:rFonts w:hint="default" w:ascii="Times New Roman" w:hAnsi="Times New Roman" w:cs="Times New Roman"/>
          <w:sz w:val="32"/>
          <w:szCs w:val="32"/>
        </w:rPr>
        <w:t>2-1</w:t>
      </w:r>
      <w:r>
        <w:rPr>
          <w:rFonts w:hint="eastAsia" w:ascii="方正仿宋_GBK" w:hAnsi="方正仿宋_GBK" w:eastAsia="方正仿宋_GBK" w:cs="方正仿宋_GBK"/>
          <w:sz w:val="32"/>
          <w:szCs w:val="32"/>
        </w:rPr>
        <w:t>）或出具鉴定报告。对住房安全等级鉴定为</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级或</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级且符合危房改造政策的农村低收入群体，区住建委将及时纳入农村危房改造补助范围。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黑体_GBK" w:hAnsi="方正黑体_GBK" w:eastAsia="方正黑体_GBK" w:cs="方正黑体_GBK"/>
          <w:sz w:val="32"/>
          <w:szCs w:val="32"/>
        </w:rPr>
        <w:t>五、审核审批程序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农村危房改造补助严格实行户申请、村居评议、镇乡街道审核、区级审批程序：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（一）户申请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符合农村危房改造补助条件的农户以户为单位，由户主向户籍所在地的村（社区）提出书面申请，填写《农村危房改造补助申请书》（见附件</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农户申请时应书面承诺，并提交下列申请资料：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农村危房改造农户申请书（申请人、户主应签字</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按手印）；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户口簿、户主身份证原件（留存复印件）；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农村低收入群体相关证明材料（留存复印件）。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（二）村居评议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信息调查核实。村（社区）应组成调查组（至少由</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名村干部和</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名以上本村群众参加），通过入户调查、邻里走访等形式，对申请人家庭现状、住房条件、经济收入、是否接受过其他渠道的建房补助等情况进行调查核实。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成立村级评议小组。村（社区）组织建立村级民主评议小组，评议小组由村（社区）“两委”成员、村民小组长及村民代表等共同组成，村级评议小组组长由村（社区）“两委”书记、主任担任。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召开村级评议会议。村（社区）接到农户申请且信息调查核实无误，应及时召开村级评议会议，同时填写《村（社区）农村危房改造评议记录表》（见附件</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）。镇乡街道应安排人员到场监督。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村级公示。在村级评议结束后，村（社区）应将评议结果在村务公开栏进行公示（见附件</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），公示时间不得少于</w:t>
      </w: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日。公示内容应包括但不限于通过村评议的农户基本情况、低收入群体类型、住房情况等。公示期满无异议后，所在村（社区）应及时将农户申请材料、民主评议记录、公示单、村民反馈意见等材料整理上报镇乡街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（三）镇乡街道审核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镇乡街道接到村（社区）的申报材料后，应组织工作人员进行实地复核，做到户户见面，同时提出审核意见，报经镇乡街道党委（党工委）集体研究通过后，将拟补助对象基本情况、低收入群体类型、住房情况等审核结果，在镇乡街道政务公开栏进行公示（见附件</w:t>
      </w: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），公示时间不得少于</w:t>
      </w: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日。公示期满无异议后，镇乡街道应将审核结果上报区住建委。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镇乡街道审核的主要内容包括：村级上报资料是否齐全；村级上报的年度农村危房改造对象是否符合条件；村级评定的程序和结果是否合法合规。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（四）区级审批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区住建委收到镇乡街道上报的审核材料后，将会同区乡村振兴局、区民政局等部门进行实地抽查核实，抽查比例不得低于</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，并提出审批意见（见附件</w:t>
      </w: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），审核结果及危房改造相关政策由镇乡街道书面函告农户（见附件</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黑体_GBK" w:hAnsi="方正黑体_GBK" w:eastAsia="方正黑体_GBK" w:cs="方正黑体_GBK"/>
          <w:sz w:val="32"/>
          <w:szCs w:val="32"/>
        </w:rPr>
        <w:t>六、加强农村危房改造全过程管理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（一）加强质量安全管理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按照《住房城乡建设部关于加强农村危房改造质量安全管理工作的通知》（建村〔</w:t>
      </w:r>
      <w:r>
        <w:rPr>
          <w:rFonts w:hint="default" w:ascii="Times New Roman" w:hAnsi="Times New Roman"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47</w:t>
      </w:r>
      <w:r>
        <w:rPr>
          <w:rFonts w:hint="eastAsia" w:ascii="方正仿宋_GBK" w:hAnsi="方正仿宋_GBK" w:eastAsia="方正仿宋_GBK" w:cs="方正仿宋_GBK"/>
          <w:sz w:val="32"/>
          <w:szCs w:val="32"/>
        </w:rPr>
        <w:t>号）等文件要求，各镇乡街道要建立健全质量安全管理制度，切实提高农村危房改造质量安全管理水平。大力推广农房图集，免费提供农户参考，引导农户选择低成本的改造方式。各镇乡街道要加强农村建筑工匠培训，提高农村建筑工匠的技术水平，指导农户与承建的农村建筑工匠签订施工协议，明确双方责任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（二）加大日常巡查力度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各镇乡街道在农村危房改造施工期间，应逐户逐项开展现场质量安全巡查，同时填写《农村危房改造质量安全巡查记录表》（见附件</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巡查项目主要包括地基基础、承重结构、抗震构造措施、围护结构、建筑材料等，重要施工环节必须实行现场检查，存在问题的要当场提出措施进行整改。区住建服务中心将建立现场质量安全巡查制度，每年对有农村危房改造任务的镇乡街道开展全覆盖巡查工作，抽取至少</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的农村危房改造对象进行现场巡查，并填写《农村危房改造质量安全巡查记录表》。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（三）切实做好竣工验收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农村危房改造竣工后，各镇乡街道要及时将验收申请报送区住建委，区住建委将组织有关人员现场逐户验收，并填写《农村危房改造竣工验收表》（见附件</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），对于检查项目全部合格的视为验收合格，对于不合格的项目各镇乡街道要立即进行整改，整改合格后才能全额拨付补助资金。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（四）严格补助资金管理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eastAsia" w:ascii="方正仿宋_GBK" w:hAnsi="方正仿宋_GBK" w:eastAsia="方正仿宋_GBK" w:cs="方正仿宋_GBK"/>
          <w:sz w:val="32"/>
          <w:szCs w:val="32"/>
        </w:rPr>
        <w:t>各镇乡街道要按照《财政部 住房城乡建设部关于印发〈中央财政农村危房改造补助资金管理办法〉的通知》（财社〔</w:t>
      </w:r>
      <w:r>
        <w:rPr>
          <w:rFonts w:hint="default" w:ascii="Times New Roman" w:hAnsi="Times New Roman" w:cs="Times New Roman"/>
          <w:sz w:val="32"/>
          <w:szCs w:val="32"/>
        </w:rPr>
        <w:t>2016</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216</w:t>
      </w:r>
      <w:r>
        <w:rPr>
          <w:rFonts w:hint="eastAsia" w:ascii="方正仿宋_GBK" w:hAnsi="方正仿宋_GBK" w:eastAsia="方正仿宋_GBK" w:cs="方正仿宋_GBK"/>
          <w:sz w:val="32"/>
          <w:szCs w:val="32"/>
        </w:rPr>
        <w:t>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仿宋_GBK" w:hAnsi="方正仿宋_GBK" w:eastAsia="方正仿宋_GBK" w:cs="方正仿宋_GBK"/>
          <w:sz w:val="32"/>
          <w:szCs w:val="32"/>
        </w:rPr>
        <w:t>补助资金拨付将采取“先建后补”方式兑现，各镇乡街道经征求意见、公示等程序，确定纳入</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年农村危房改造对象并报区住建委（联系人：云玉兰，联系电话：</w:t>
      </w:r>
      <w:r>
        <w:rPr>
          <w:rFonts w:hint="default" w:ascii="Times New Roman" w:hAnsi="Times New Roman" w:cs="Times New Roman"/>
          <w:sz w:val="32"/>
          <w:szCs w:val="32"/>
        </w:rPr>
        <w:t>58520386</w:t>
      </w:r>
      <w:r>
        <w:rPr>
          <w:rFonts w:hint="eastAsia" w:ascii="方正仿宋_GBK" w:hAnsi="方正仿宋_GBK" w:eastAsia="方正仿宋_GBK" w:cs="方正仿宋_GBK"/>
          <w:sz w:val="32"/>
          <w:szCs w:val="32"/>
        </w:rPr>
        <w:t>）备案后，区住建委将及时向区财政局提出拨付补助资金的申请，区财政局收到申请后，及时拨付</w:t>
      </w:r>
      <w:r>
        <w:rPr>
          <w:rFonts w:hint="default" w:ascii="Times New Roman" w:hAnsi="Times New Roman" w:cs="Times New Roman"/>
          <w:sz w:val="32"/>
          <w:szCs w:val="32"/>
        </w:rPr>
        <w:t>50%</w:t>
      </w:r>
      <w:r>
        <w:rPr>
          <w:rFonts w:hint="eastAsia" w:ascii="方正仿宋_GBK" w:hAnsi="方正仿宋_GBK" w:eastAsia="方正仿宋_GBK" w:cs="方正仿宋_GBK"/>
          <w:sz w:val="32"/>
          <w:szCs w:val="32"/>
        </w:rPr>
        <w:t>补助资金，改造完成并经区级验收合格，区里将补助资金余款统一拨付到镇乡街道，镇乡街道通过银行储蓄网点将上级补助资金直接发放到建房户或代建方（经建房户书面同意将政府补助资金直接拨付到代建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（五）健全档案管理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eastAsia" w:ascii="方正仿宋_GBK" w:hAnsi="方正仿宋_GBK" w:eastAsia="方正仿宋_GBK" w:cs="方正仿宋_GBK"/>
          <w:sz w:val="32"/>
          <w:szCs w:val="32"/>
        </w:rPr>
        <w:t>各镇乡街道要同步建立农村危房改造农户纸质档案管理制度，实行一户一档，确保批准一户、建档一户。“一户一档”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sz w:val="19"/>
          <w:szCs w:val="19"/>
        </w:rPr>
      </w:pPr>
      <w:r>
        <w:rPr>
          <w:rFonts w:hint="eastAsia" w:ascii="方正楷体_GBK" w:hAnsi="方正楷体_GBK" w:eastAsia="方正楷体_GBK" w:cs="方正楷体_GBK"/>
          <w:sz w:val="32"/>
          <w:szCs w:val="32"/>
        </w:rPr>
        <w:t>（六）加强政策宣传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eastAsia" w:ascii="方正仿宋_GBK" w:hAnsi="方正仿宋_GBK" w:eastAsia="方正仿宋_GBK" w:cs="方正仿宋_GBK"/>
          <w:sz w:val="32"/>
          <w:szCs w:val="32"/>
        </w:rPr>
        <w:t>各镇乡街道要制作并全面推广农村危房改造“政策明白卡”（包括申请条件、评定公示程序、改造方式、建设标准、补助标准、举报电话等），并免费发放到每个危改户，确保所有危改户都知晓政策。要继续执行农村危房改造获批对象函告制度，区级审批公示结束后，各乡镇乡街道应书面通知拟补助对象。要畅通问题反映渠道，设立农村危房改造举报电话，在各村（社区）村务公开栏、镇乡街道政务公开栏显著位置公示，主动接受群众和社会各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eastAsia" w:ascii="方正仿宋_GBK" w:hAnsi="方正仿宋_GBK" w:eastAsia="方正仿宋_GBK" w:cs="方正仿宋_GBK"/>
          <w:sz w:val="32"/>
          <w:szCs w:val="32"/>
        </w:rPr>
        <w:t>根据《关于做好农村低收入群体等重点重点对象住房安全保障工作的通知》（渝建〔</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号）要求，本通知印发之日起实施，原《关于进一步规范农村危房改造工作的通知》（渝建〔</w:t>
      </w:r>
      <w:r>
        <w:rPr>
          <w:rFonts w:hint="default" w:ascii="Times New Roman" w:hAnsi="Times New Roman"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509</w:t>
      </w:r>
      <w:r>
        <w:rPr>
          <w:rFonts w:hint="eastAsia" w:ascii="方正仿宋_GBK" w:hAnsi="方正仿宋_GBK" w:eastAsia="方正仿宋_GBK" w:cs="方正仿宋_GBK"/>
          <w:sz w:val="32"/>
          <w:szCs w:val="32"/>
        </w:rPr>
        <w:t>号）废止。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eastAsia" w:ascii="方正仿宋_GBK" w:hAnsi="方正仿宋_GBK" w:eastAsia="方正仿宋_GBK" w:cs="方正仿宋_GBK"/>
          <w:sz w:val="32"/>
          <w:szCs w:val="32"/>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万州区</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年农村危房改造对象身份认定表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2-1.</w:t>
      </w:r>
      <w:r>
        <w:rPr>
          <w:rFonts w:hint="eastAsia" w:ascii="方正仿宋_GBK" w:hAnsi="方正仿宋_GBK" w:eastAsia="方正仿宋_GBK" w:cs="方正仿宋_GBK"/>
          <w:sz w:val="32"/>
          <w:szCs w:val="32"/>
        </w:rPr>
        <w:t>农村住房安全性鉴定调查表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2-2.</w:t>
      </w:r>
      <w:r>
        <w:rPr>
          <w:rFonts w:hint="eastAsia" w:ascii="方正仿宋_GBK" w:hAnsi="方正仿宋_GBK" w:eastAsia="方正仿宋_GBK" w:cs="方正仿宋_GBK"/>
          <w:sz w:val="32"/>
          <w:szCs w:val="32"/>
        </w:rPr>
        <w:t>农村住房安全等级鉴定报告表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农村危房改造申请表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农村危房改造补助申请书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村</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社区</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农村危房改造评议记录表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6-1.</w:t>
      </w:r>
      <w:r>
        <w:rPr>
          <w:rFonts w:hint="eastAsia" w:ascii="方正仿宋_GBK" w:hAnsi="方正仿宋_GBK" w:eastAsia="方正仿宋_GBK" w:cs="方正仿宋_GBK"/>
          <w:sz w:val="32"/>
          <w:szCs w:val="32"/>
        </w:rPr>
        <w:t>村</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社区</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农村危房改造评议结果公示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6-2.</w:t>
      </w:r>
      <w:r>
        <w:rPr>
          <w:rFonts w:hint="eastAsia" w:ascii="方正仿宋_GBK" w:hAnsi="方正仿宋_GBK" w:eastAsia="方正仿宋_GBK" w:cs="方正仿宋_GBK"/>
          <w:sz w:val="32"/>
          <w:szCs w:val="32"/>
        </w:rPr>
        <w:t>村</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社区</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农村危房改造评议结果公示表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7-1.</w:t>
      </w:r>
      <w:r>
        <w:rPr>
          <w:rFonts w:hint="eastAsia" w:ascii="方正仿宋_GBK" w:hAnsi="方正仿宋_GBK" w:eastAsia="方正仿宋_GBK" w:cs="方正仿宋_GBK"/>
          <w:sz w:val="32"/>
          <w:szCs w:val="32"/>
        </w:rPr>
        <w:t>镇乡街道农村危房改造审核结果公示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7-2.</w:t>
      </w:r>
      <w:r>
        <w:rPr>
          <w:rFonts w:hint="eastAsia" w:ascii="方正仿宋_GBK" w:hAnsi="方正仿宋_GBK" w:eastAsia="方正仿宋_GBK" w:cs="方正仿宋_GBK"/>
          <w:sz w:val="32"/>
          <w:szCs w:val="32"/>
        </w:rPr>
        <w:t>镇乡街道农村危房改造评议结果公示表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农村危房改造审批表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农村危房改造告知函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农村危房改造质量安全巡查记录表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11-1.</w:t>
      </w: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级危房</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无房户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改造竣工验收表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11-2.</w:t>
      </w: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级危房改造竣工验收表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级危房改造工程结算表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13.</w:t>
      </w:r>
      <w:r>
        <w:rPr>
          <w:rFonts w:hint="eastAsia" w:ascii="方正仿宋_GBK" w:hAnsi="方正仿宋_GBK" w:eastAsia="方正仿宋_GBK" w:cs="方正仿宋_GBK"/>
          <w:sz w:val="32"/>
          <w:szCs w:val="32"/>
        </w:rPr>
        <w:t>危房改造一户一档目录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14-1.</w:t>
      </w: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级危房</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无房户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改造基本情况统计表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14-2.</w:t>
      </w: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级危房改造基本情况统计表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15.</w:t>
      </w:r>
      <w:r>
        <w:rPr>
          <w:rFonts w:hint="eastAsia" w:ascii="方正仿宋_GBK" w:hAnsi="方正仿宋_GBK" w:eastAsia="方正仿宋_GBK" w:cs="方正仿宋_GBK"/>
          <w:sz w:val="32"/>
          <w:szCs w:val="32"/>
        </w:rPr>
        <w:t>农村危房改造资金收支台帐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16.</w:t>
      </w: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级危房</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无房户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改造竣工牌示意图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17.</w:t>
      </w: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级危房</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无房户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改造协议书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18.</w:t>
      </w:r>
      <w:r>
        <w:rPr>
          <w:rFonts w:hint="eastAsia" w:ascii="方正仿宋_GBK" w:hAnsi="方正仿宋_GBK" w:eastAsia="方正仿宋_GBK" w:cs="方正仿宋_GBK"/>
          <w:sz w:val="32"/>
          <w:szCs w:val="32"/>
        </w:rPr>
        <w:t>农村</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级危房改造协议书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2"/>
        <w:textAlignment w:val="auto"/>
        <w:rPr>
          <w:sz w:val="19"/>
          <w:szCs w:val="19"/>
        </w:rPr>
      </w:pPr>
      <w:r>
        <w:rPr>
          <w:rFonts w:hint="default" w:ascii="Times New Roman" w:hAnsi="Times New Roman" w:cs="Times New Roman"/>
          <w:sz w:val="32"/>
          <w:szCs w:val="32"/>
        </w:rPr>
        <w:t>19.</w:t>
      </w:r>
      <w:r>
        <w:rPr>
          <w:rFonts w:hint="eastAsia" w:ascii="方正仿宋_GBK" w:hAnsi="方正仿宋_GBK" w:eastAsia="方正仿宋_GBK" w:cs="方正仿宋_GBK"/>
          <w:sz w:val="32"/>
          <w:szCs w:val="32"/>
        </w:rPr>
        <w:t>重庆市住房和城乡建设委员会 重庆市财政部 重庆市民政部 重庆乡村振兴局关于做好农村低收入群体等重点对象住房安全保障工作的通知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sz w:val="19"/>
          <w:szCs w:val="19"/>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sz w:val="19"/>
          <w:szCs w:val="19"/>
        </w:rPr>
      </w:pPr>
      <w:r>
        <w:rPr>
          <w:rFonts w:hint="eastAsia" w:ascii="方正仿宋_GBK" w:hAnsi="方正仿宋_GBK" w:eastAsia="方正仿宋_GBK" w:cs="方正仿宋_GBK"/>
          <w:sz w:val="32"/>
          <w:szCs w:val="32"/>
        </w:rPr>
        <w:t>重庆市万州区住房和城乡建设委员会 重庆市万州区财政局重庆市万州区民政局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  重庆市万州区乡村振兴局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ascii="方正仿宋_GBK" w:hAnsi="方正仿宋_GBK" w:eastAsia="方正仿宋_GBK" w:cs="方正仿宋_GBK"/>
          <w:sz w:val="32"/>
          <w:szCs w:val="32"/>
        </w:rPr>
      </w:pPr>
      <w:r>
        <w:rPr>
          <w:rFonts w:hint="default" w:ascii="Times New Roman" w:hAnsi="Times New Roman" w:eastAsia="serif" w:cs="Times New Roman"/>
          <w:color w:val="000000"/>
          <w:sz w:val="32"/>
          <w:szCs w:val="32"/>
        </w:rPr>
        <w:t>                                  2021</w:t>
      </w:r>
      <w:r>
        <w:rPr>
          <w:rFonts w:hint="eastAsia" w:ascii="方正仿宋_GBK" w:hAnsi="方正仿宋_GBK" w:eastAsia="方正仿宋_GBK" w:cs="方正仿宋_GBK"/>
          <w:color w:val="000000"/>
          <w:sz w:val="32"/>
          <w:szCs w:val="32"/>
        </w:rPr>
        <w:t>年</w:t>
      </w:r>
      <w:r>
        <w:rPr>
          <w:rFonts w:hint="default" w:ascii="Times New Roman" w:hAnsi="Times New Roman" w:eastAsia="serif" w:cs="Times New Roman"/>
          <w:color w:val="000000"/>
          <w:sz w:val="32"/>
          <w:szCs w:val="32"/>
        </w:rPr>
        <w:t>8</w:t>
      </w:r>
      <w:r>
        <w:rPr>
          <w:rFonts w:hint="eastAsia" w:ascii="方正仿宋_GBK" w:hAnsi="方正仿宋_GBK" w:eastAsia="方正仿宋_GBK" w:cs="方正仿宋_GBK"/>
          <w:color w:val="000000"/>
          <w:sz w:val="32"/>
          <w:szCs w:val="32"/>
        </w:rPr>
        <w:t>月</w:t>
      </w:r>
      <w:r>
        <w:rPr>
          <w:rFonts w:hint="default" w:ascii="Times New Roman" w:hAnsi="Times New Roman" w:eastAsia="serif" w:cs="Times New Roman"/>
          <w:color w:val="000000"/>
          <w:sz w:val="32"/>
          <w:szCs w:val="32"/>
        </w:rPr>
        <w:t>9</w:t>
      </w:r>
      <w:r>
        <w:rPr>
          <w:rFonts w:hint="eastAsia" w:ascii="方正仿宋_GBK" w:hAnsi="方正仿宋_GBK" w:eastAsia="方正仿宋_GBK" w:cs="方正仿宋_GBK"/>
          <w:color w:val="00000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Arial Unicode MS"/>
    <w:panose1 w:val="00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E3"/>
    <w:rsid w:val="001945D4"/>
    <w:rsid w:val="001B4C8D"/>
    <w:rsid w:val="00296CAB"/>
    <w:rsid w:val="005442D4"/>
    <w:rsid w:val="00702897"/>
    <w:rsid w:val="007A146F"/>
    <w:rsid w:val="00E123E3"/>
    <w:rsid w:val="00E631A6"/>
    <w:rsid w:val="00EA404E"/>
    <w:rsid w:val="14C9344B"/>
    <w:rsid w:val="33F40E4B"/>
    <w:rsid w:val="36ED4C48"/>
    <w:rsid w:val="391035DB"/>
    <w:rsid w:val="4BB36385"/>
    <w:rsid w:val="5353113B"/>
    <w:rsid w:val="58080CAA"/>
    <w:rsid w:val="59FC63BE"/>
    <w:rsid w:val="6A4C6B6F"/>
    <w:rsid w:val="76A7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hint="eastAsia" w:ascii="Times New Roman" w:hAnsi="Times New Roman" w:eastAsia="方正仿宋简体" w:cs="Times New Roman"/>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588</Words>
  <Characters>3357</Characters>
  <Lines>27</Lines>
  <Paragraphs>7</Paragraphs>
  <TotalTime>30</TotalTime>
  <ScaleCrop>false</ScaleCrop>
  <LinksUpToDate>false</LinksUpToDate>
  <CharactersWithSpaces>3938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2021-02-23T01:04:00Z</dcterms:created>
  <dc:creator>MM</dc:creator>
  <cp:lastModifiedBy>Administrator</cp:lastModifiedBy>
  <dcterms:modified xsi:type="dcterms:W3CDTF">2022-06-16T07:02:40Z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