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23" w:rightChars="11"/>
        <w:rPr>
          <w:rFonts w:hint="eastAsia" w:eastAsia="方正黑体_GBK" w:cs="方正黑体_GBK"/>
          <w:sz w:val="32"/>
        </w:rPr>
      </w:pPr>
      <w:r>
        <w:rPr>
          <w:rFonts w:hint="eastAsia" w:eastAsia="方正黑体_GBK" w:cs="方正黑体_GBK"/>
          <w:sz w:val="32"/>
        </w:rPr>
        <w:t>附件15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万州区</w:t>
      </w:r>
      <w:r>
        <w:rPr>
          <w:rFonts w:eastAsia="方正小标宋_GBK"/>
          <w:sz w:val="44"/>
          <w:szCs w:val="44"/>
          <w:u w:val="single"/>
        </w:rPr>
        <w:t xml:space="preserve">   </w:t>
      </w:r>
      <w:r>
        <w:rPr>
          <w:rFonts w:eastAsia="方正小标宋_GBK"/>
          <w:sz w:val="44"/>
          <w:szCs w:val="44"/>
        </w:rPr>
        <w:t>镇乡（街道）</w:t>
      </w:r>
      <w:r>
        <w:rPr>
          <w:rFonts w:hint="eastAsia"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21</w:t>
      </w:r>
      <w:r>
        <w:rPr>
          <w:rFonts w:eastAsia="方正小标宋_GBK"/>
          <w:sz w:val="44"/>
          <w:szCs w:val="44"/>
        </w:rPr>
        <w:t>年农村</w:t>
      </w:r>
    </w:p>
    <w:p>
      <w:pPr>
        <w:spacing w:line="590" w:lineRule="exact"/>
        <w:jc w:val="center"/>
        <w:rPr>
          <w:rFonts w:eastAsia="方正黑体_GBK"/>
          <w:sz w:val="32"/>
        </w:rPr>
      </w:pPr>
      <w:r>
        <w:rPr>
          <w:rFonts w:eastAsia="方正小标宋_GBK"/>
          <w:sz w:val="44"/>
          <w:szCs w:val="44"/>
        </w:rPr>
        <w:t>危房改造资金收支台帐</w:t>
      </w:r>
    </w:p>
    <w:tbl>
      <w:tblPr>
        <w:tblStyle w:val="3"/>
        <w:tblW w:w="87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961"/>
        <w:gridCol w:w="960"/>
        <w:gridCol w:w="960"/>
        <w:gridCol w:w="963"/>
        <w:gridCol w:w="960"/>
        <w:gridCol w:w="960"/>
        <w:gridCol w:w="960"/>
        <w:gridCol w:w="960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80" w:hRule="atLeast"/>
          <w:jc w:val="center"/>
        </w:trPr>
        <w:tc>
          <w:tcPr>
            <w:tcW w:w="2933" w:type="dxa"/>
            <w:gridSpan w:val="3"/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镇乡街道（盖章）：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主要领导：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分管领导：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填表人：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收入(万元)</w:t>
            </w:r>
          </w:p>
        </w:tc>
        <w:tc>
          <w:tcPr>
            <w:tcW w:w="3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支出（万元）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24" w:hRule="atLeast"/>
          <w:jc w:val="center"/>
        </w:trPr>
        <w:tc>
          <w:tcPr>
            <w:tcW w:w="101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批次</w:t>
            </w:r>
          </w:p>
        </w:tc>
        <w:tc>
          <w:tcPr>
            <w:tcW w:w="9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来源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金额</w:t>
            </w:r>
          </w:p>
        </w:tc>
        <w:tc>
          <w:tcPr>
            <w:tcW w:w="96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时间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批次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金额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0" w:hRule="atLeas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90" w:lineRule="exact"/>
              <w:jc w:val="left"/>
              <w:textAlignment w:val="center"/>
              <w:rPr>
                <w:sz w:val="20"/>
              </w:rPr>
            </w:pPr>
          </w:p>
        </w:tc>
      </w:tr>
    </w:tbl>
    <w:p>
      <w:pPr>
        <w:autoSpaceDN w:val="0"/>
        <w:jc w:val="left"/>
        <w:textAlignment w:val="center"/>
        <w:rPr>
          <w:rFonts w:hint="eastAsia" w:eastAsia="方正黑体_GBK" w:cs="方正黑体_GBK"/>
          <w:sz w:val="32"/>
        </w:rPr>
      </w:pPr>
    </w:p>
    <w:p>
      <w:pPr>
        <w:pStyle w:val="2"/>
        <w:rPr>
          <w:rFonts w:hint="eastAsia"/>
        </w:rPr>
      </w:pPr>
    </w:p>
    <w:p>
      <w:pPr>
        <w:rPr>
          <w:rFonts w:eastAsia="方正黑体_GBK" w:cs="方正黑体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养威蓄睿</cp:lastModifiedBy>
  <dcterms:modified xsi:type="dcterms:W3CDTF">2021-06-03T02:13:24Z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