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重庆市万州区后山镇人民政府</w:t>
      </w: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部门决算</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情况说明</w:t>
      </w:r>
    </w:p>
    <w:p>
      <w:pPr>
        <w:bidi w:val="0"/>
        <w:rPr>
          <w:rFonts w:hint="default"/>
          <w:lang w:eastAsia="zh-CN"/>
        </w:rPr>
      </w:pP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楷体_GBK" w:hAnsi="方正楷体_GBK" w:eastAsia="方正楷体_GBK" w:cs="方正楷体_GBK"/>
          <w:sz w:val="32"/>
        </w:rPr>
      </w:pPr>
      <w:r>
        <w:rPr>
          <w:rFonts w:hint="eastAsia" w:cs="Times New Roman"/>
          <w:kern w:val="0"/>
          <w:sz w:val="32"/>
          <w:szCs w:val="32"/>
          <w:lang w:val="en-US" w:eastAsia="zh-CN"/>
        </w:rPr>
        <w:t xml:space="preserve"> </w:t>
      </w:r>
      <w:r>
        <w:rPr>
          <w:rFonts w:hint="eastAsia" w:ascii="方正楷体_GBK" w:hAnsi="方正楷体_GBK" w:eastAsia="方正楷体_GBK" w:cs="方正楷体_GBK"/>
          <w:sz w:val="32"/>
        </w:rPr>
        <w:t>（一）职能职责</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贯彻执行党的路线方针政策和国家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承担区级部门下放的服务管理职权、承担依法授权或委托的行政执法权。构建职能科学、运转有序、保障有力、服务高效、人民满意的镇政府服务管理体制机制。</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590" w:lineRule="exact"/>
        <w:ind w:left="640" w:firstLine="0" w:firstLineChars="0"/>
        <w:jc w:val="both"/>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contextualSpacing/>
        <w:textAlignment w:val="auto"/>
        <w:rPr>
          <w:rFonts w:hint="eastAsia" w:ascii="方正仿宋_GBK" w:hAnsi="仿宋_GB2312" w:eastAsia="方正仿宋_GBK" w:cs="仿宋_GB2312"/>
          <w:sz w:val="32"/>
          <w:szCs w:val="22"/>
          <w:lang w:val="en-US" w:eastAsia="zh-CN"/>
        </w:rPr>
      </w:pPr>
      <w:r>
        <w:rPr>
          <w:rFonts w:hint="eastAsia" w:ascii="方正仿宋_GBK" w:hAnsi="仿宋_GB2312" w:eastAsia="方正仿宋_GBK" w:cs="仿宋_GB2312"/>
          <w:sz w:val="32"/>
          <w:lang w:val="en-US" w:eastAsia="zh-CN"/>
        </w:rPr>
        <w:t>重庆市万州区余家镇人民政府内设</w:t>
      </w:r>
      <w:r>
        <w:rPr>
          <w:rFonts w:hint="eastAsia" w:ascii="方正仿宋_GBK" w:hAnsi="仿宋_GB2312" w:cs="仿宋_GB2312"/>
          <w:sz w:val="32"/>
          <w:lang w:val="en-US" w:eastAsia="zh-CN"/>
        </w:rPr>
        <w:t>8</w:t>
      </w:r>
      <w:r>
        <w:rPr>
          <w:rFonts w:hint="eastAsia" w:ascii="方正仿宋_GBK" w:hAnsi="仿宋_GB2312" w:eastAsia="方正仿宋_GBK" w:cs="仿宋_GB2312"/>
          <w:sz w:val="32"/>
          <w:lang w:val="en-US" w:eastAsia="zh-CN"/>
        </w:rPr>
        <w:t>个机构</w:t>
      </w:r>
      <w:r>
        <w:rPr>
          <w:rFonts w:hint="eastAsia" w:ascii="方正仿宋_GBK" w:hAnsi="仿宋_GB2312" w:cs="仿宋_GB2312"/>
          <w:sz w:val="32"/>
          <w:lang w:val="en-US" w:eastAsia="zh-CN"/>
        </w:rPr>
        <w:t>科</w:t>
      </w:r>
      <w:r>
        <w:rPr>
          <w:rFonts w:hint="eastAsia" w:ascii="方正仿宋_GBK" w:hAnsi="仿宋_GB2312" w:eastAsia="方正仿宋_GBK" w:cs="仿宋_GB2312"/>
          <w:sz w:val="32"/>
          <w:lang w:val="en-US" w:eastAsia="zh-CN"/>
        </w:rPr>
        <w:t>室，6个事业站所，分别是党政办公室、党群工作办公室、经济发展办公室、民政和社会事务办公室、平安建设办公室、</w:t>
      </w:r>
      <w:r>
        <w:rPr>
          <w:rFonts w:hint="eastAsia" w:ascii="方正仿宋_GBK" w:hAnsi="仿宋_GB2312" w:eastAsia="方正仿宋_GBK" w:cs="仿宋_GB2312"/>
          <w:sz w:val="32"/>
          <w:szCs w:val="22"/>
          <w:lang w:val="en-US" w:eastAsia="zh-CN"/>
        </w:rPr>
        <w:t>财政办公室、应急管理办公室、</w:t>
      </w:r>
      <w:r>
        <w:rPr>
          <w:rFonts w:hint="eastAsia" w:ascii="方正仿宋_GBK" w:hAnsi="仿宋_GB2312" w:eastAsia="方正仿宋_GBK" w:cs="仿宋_GB2312"/>
          <w:sz w:val="32"/>
          <w:szCs w:val="22"/>
          <w:highlight w:val="none"/>
          <w:lang w:val="en-US" w:eastAsia="zh-CN"/>
        </w:rPr>
        <w:t>综合行政执法办公室、</w:t>
      </w:r>
      <w:r>
        <w:rPr>
          <w:rFonts w:hint="eastAsia" w:ascii="方正仿宋_GBK" w:hAnsi="仿宋_GB2312" w:eastAsia="方正仿宋_GBK" w:cs="仿宋_GB2312"/>
          <w:sz w:val="32"/>
          <w:szCs w:val="22"/>
          <w:lang w:val="en-US" w:eastAsia="zh-CN"/>
        </w:rPr>
        <w:t>农业服务中心、文化服务中心、劳动就业和社会保障服务所、村镇建设环保服务中心、退役军人服务站、综合行政执法大队。</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Chars="200"/>
        <w:textAlignment w:val="auto"/>
        <w:outlineLvl w:val="0"/>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sz w:val="32"/>
          <w:szCs w:val="22"/>
          <w:lang w:val="en-US" w:eastAsia="zh-CN"/>
        </w:rPr>
        <w:t>收入支出决算总体情况说明</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firstLine="640" w:firstLineChars="200"/>
        <w:textAlignment w:val="auto"/>
        <w:outlineLvl w:val="0"/>
        <w:rPr>
          <w:rFonts w:hint="default" w:ascii="Times New Roman" w:hAnsi="Times New Roman" w:eastAsia="方正仿宋_GBK" w:cs="Times New Roman"/>
          <w:color w:val="auto"/>
          <w:kern w:val="2"/>
          <w:sz w:val="32"/>
          <w:szCs w:val="22"/>
          <w:lang w:val="en-US" w:eastAsia="zh-CN" w:bidi="ar-SA"/>
        </w:rPr>
      </w:pPr>
      <w:r>
        <w:rPr>
          <w:rFonts w:hint="eastAsia" w:ascii="Times New Roman" w:hAnsi="Times New Roman"/>
          <w:lang w:val="en-US" w:eastAsia="zh-CN"/>
        </w:rPr>
        <w:t>总体情况。2020年度收入总计为</w:t>
      </w:r>
      <w:r>
        <w:rPr>
          <w:rFonts w:hint="eastAsia"/>
          <w:lang w:val="en-US" w:eastAsia="zh-CN"/>
        </w:rPr>
        <w:t>4511.07</w:t>
      </w:r>
      <w:r>
        <w:rPr>
          <w:rFonts w:hint="eastAsia" w:ascii="Times New Roman" w:hAnsi="Times New Roman"/>
          <w:lang w:val="en-US" w:eastAsia="zh-CN"/>
        </w:rPr>
        <w:t>万元，支出总计</w:t>
      </w:r>
      <w:r>
        <w:rPr>
          <w:rFonts w:hint="eastAsia"/>
          <w:lang w:val="en-US" w:eastAsia="zh-CN"/>
        </w:rPr>
        <w:t>4511.07</w:t>
      </w:r>
      <w:r>
        <w:rPr>
          <w:rFonts w:hint="eastAsia" w:ascii="Times New Roman" w:hAnsi="Times New Roman"/>
          <w:lang w:val="en-US" w:eastAsia="zh-CN"/>
        </w:rPr>
        <w:t>万元。收支较上年决算数减少</w:t>
      </w:r>
      <w:r>
        <w:rPr>
          <w:rFonts w:hint="eastAsia"/>
          <w:lang w:val="en-US" w:eastAsia="zh-CN"/>
        </w:rPr>
        <w:t>1071.43</w:t>
      </w:r>
      <w:r>
        <w:rPr>
          <w:rFonts w:hint="eastAsia" w:ascii="Times New Roman" w:hAnsi="Times New Roman"/>
          <w:lang w:val="en-US" w:eastAsia="zh-CN"/>
        </w:rPr>
        <w:t>万元，下降</w:t>
      </w:r>
      <w:r>
        <w:rPr>
          <w:rFonts w:hint="eastAsia"/>
          <w:lang w:val="en-US" w:eastAsia="zh-CN"/>
        </w:rPr>
        <w:t>19.2</w:t>
      </w:r>
      <w:r>
        <w:rPr>
          <w:rFonts w:hint="eastAsia" w:ascii="Times New Roman" w:hAnsi="Times New Roman"/>
          <w:lang w:val="en-US" w:eastAsia="zh-CN"/>
        </w:rPr>
        <w:t>%，主要原因是2020年度下达的项目较2019年度减少，导致项目收支减少，比重降低。</w:t>
      </w:r>
    </w:p>
    <w:p>
      <w:pPr>
        <w:pStyle w:val="3"/>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right="320" w:rightChars="100" w:firstLine="640" w:firstLineChars="200"/>
        <w:textAlignment w:val="auto"/>
        <w:rPr>
          <w:rFonts w:hint="eastAsia" w:ascii="Times New Roman" w:hAnsi="Times New Roman" w:cs="仿宋_GB2312"/>
          <w:sz w:val="32"/>
          <w:szCs w:val="22"/>
          <w:lang w:val="en-US" w:eastAsia="zh-CN"/>
        </w:rPr>
      </w:pPr>
      <w:r>
        <w:rPr>
          <w:rFonts w:hint="eastAsia" w:ascii="Times New Roman" w:hAnsi="Times New Roman" w:eastAsia="方正仿宋_GBK" w:cs="Times New Roman"/>
          <w:color w:val="auto"/>
          <w:kern w:val="2"/>
          <w:sz w:val="32"/>
          <w:szCs w:val="22"/>
          <w:lang w:val="en-US" w:eastAsia="zh-CN" w:bidi="ar-SA"/>
        </w:rPr>
        <w:t>收入情况。2020年收入合计</w:t>
      </w:r>
      <w:r>
        <w:rPr>
          <w:rFonts w:hint="eastAsia"/>
          <w:lang w:val="en-US" w:eastAsia="zh-CN"/>
        </w:rPr>
        <w:t>4511.07</w:t>
      </w:r>
      <w:r>
        <w:rPr>
          <w:rFonts w:hint="eastAsia" w:ascii="Times New Roman" w:hAnsi="Times New Roman" w:eastAsia="方正仿宋_GBK" w:cs="Times New Roman"/>
          <w:color w:val="auto"/>
          <w:kern w:val="2"/>
          <w:sz w:val="32"/>
          <w:szCs w:val="22"/>
          <w:lang w:val="en-US" w:eastAsia="zh-CN" w:bidi="ar-SA"/>
        </w:rPr>
        <w:t>万元</w:t>
      </w:r>
      <w:r>
        <w:rPr>
          <w:rFonts w:hint="eastAsia" w:ascii="Times New Roman" w:hAnsi="Times New Roman" w:eastAsia="方正仿宋_GBK" w:cs="仿宋_GB2312"/>
          <w:sz w:val="32"/>
          <w:szCs w:val="22"/>
          <w:lang w:val="en-US" w:eastAsia="zh-CN"/>
        </w:rPr>
        <w:t>，</w:t>
      </w:r>
      <w:r>
        <w:rPr>
          <w:rFonts w:hint="eastAsia" w:ascii="Times New Roman" w:hAnsi="Times New Roman" w:cs="仿宋_GB2312"/>
          <w:sz w:val="32"/>
          <w:szCs w:val="22"/>
          <w:lang w:val="en-US" w:eastAsia="zh-CN"/>
        </w:rPr>
        <w:t>较上年决算数减少</w:t>
      </w:r>
      <w:r>
        <w:rPr>
          <w:rFonts w:hint="eastAsia"/>
          <w:lang w:val="en-US" w:eastAsia="zh-CN"/>
        </w:rPr>
        <w:t>1071.43</w:t>
      </w:r>
      <w:r>
        <w:rPr>
          <w:rFonts w:hint="eastAsia" w:ascii="Times New Roman" w:hAnsi="Times New Roman" w:cs="仿宋_GB2312"/>
          <w:sz w:val="32"/>
          <w:szCs w:val="22"/>
          <w:lang w:val="en-US" w:eastAsia="zh-CN"/>
        </w:rPr>
        <w:t>万元，下降</w:t>
      </w:r>
      <w:r>
        <w:rPr>
          <w:rFonts w:hint="eastAsia" w:cs="仿宋_GB2312"/>
          <w:sz w:val="32"/>
          <w:szCs w:val="22"/>
          <w:lang w:val="en-US" w:eastAsia="zh-CN"/>
        </w:rPr>
        <w:t>19.2</w:t>
      </w:r>
      <w:r>
        <w:rPr>
          <w:rFonts w:hint="eastAsia" w:ascii="Times New Roman" w:hAnsi="Times New Roman" w:cs="仿宋_GB2312"/>
          <w:sz w:val="32"/>
          <w:szCs w:val="22"/>
          <w:lang w:val="en-US" w:eastAsia="zh-CN"/>
        </w:rPr>
        <w:t>%，主要原因是</w:t>
      </w:r>
      <w:r>
        <w:rPr>
          <w:rFonts w:hint="eastAsia" w:ascii="Times New Roman" w:hAnsi="Times New Roman"/>
          <w:lang w:val="en-US" w:eastAsia="zh-CN"/>
        </w:rPr>
        <w:t>2020年度下达的项目较2019年度减少，导致项目收入减少。</w:t>
      </w:r>
    </w:p>
    <w:p>
      <w:pPr>
        <w:pStyle w:val="3"/>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right="320" w:rightChars="100" w:firstLine="640" w:firstLineChars="200"/>
        <w:textAlignment w:val="auto"/>
        <w:rPr>
          <w:rFonts w:hint="eastAsia" w:ascii="Times New Roman" w:hAnsi="Times New Roman" w:cs="仿宋_GB2312"/>
          <w:sz w:val="32"/>
          <w:szCs w:val="22"/>
          <w:lang w:val="en-US" w:eastAsia="zh-CN"/>
        </w:rPr>
      </w:pPr>
      <w:r>
        <w:rPr>
          <w:rFonts w:hint="eastAsia" w:ascii="Times New Roman" w:hAnsi="Times New Roman" w:cs="仿宋_GB2312"/>
          <w:sz w:val="32"/>
          <w:szCs w:val="22"/>
          <w:lang w:val="en-US" w:eastAsia="zh-CN"/>
        </w:rPr>
        <w:t>支出情况。2020年度支出合计</w:t>
      </w:r>
      <w:r>
        <w:rPr>
          <w:rFonts w:hint="eastAsia"/>
          <w:lang w:val="en-US" w:eastAsia="zh-CN"/>
        </w:rPr>
        <w:t>4511.07</w:t>
      </w:r>
      <w:r>
        <w:rPr>
          <w:rFonts w:hint="eastAsia" w:ascii="Times New Roman" w:hAnsi="Times New Roman" w:cs="仿宋_GB2312"/>
          <w:sz w:val="32"/>
          <w:szCs w:val="22"/>
          <w:lang w:val="en-US" w:eastAsia="zh-CN"/>
        </w:rPr>
        <w:t>万元，较上年决算数减少</w:t>
      </w:r>
      <w:r>
        <w:rPr>
          <w:rFonts w:hint="eastAsia"/>
          <w:lang w:val="en-US" w:eastAsia="zh-CN"/>
        </w:rPr>
        <w:t>1071.43</w:t>
      </w:r>
      <w:r>
        <w:rPr>
          <w:rFonts w:hint="eastAsia" w:ascii="Times New Roman" w:hAnsi="Times New Roman" w:cs="仿宋_GB2312"/>
          <w:sz w:val="32"/>
          <w:szCs w:val="22"/>
          <w:lang w:val="en-US" w:eastAsia="zh-CN"/>
        </w:rPr>
        <w:t>万元，下降</w:t>
      </w:r>
      <w:r>
        <w:rPr>
          <w:rFonts w:hint="eastAsia" w:cs="仿宋_GB2312"/>
          <w:sz w:val="32"/>
          <w:szCs w:val="22"/>
          <w:lang w:val="en-US" w:eastAsia="zh-CN"/>
        </w:rPr>
        <w:t>19.2</w:t>
      </w:r>
      <w:r>
        <w:rPr>
          <w:rFonts w:hint="eastAsia" w:ascii="Times New Roman" w:hAnsi="Times New Roman" w:cs="仿宋_GB2312"/>
          <w:sz w:val="32"/>
          <w:szCs w:val="22"/>
          <w:lang w:val="en-US" w:eastAsia="zh-CN"/>
        </w:rPr>
        <w:t>%，主要原因是</w:t>
      </w:r>
      <w:r>
        <w:rPr>
          <w:rFonts w:hint="eastAsia" w:ascii="Times New Roman" w:hAnsi="Times New Roman"/>
          <w:lang w:val="en-US" w:eastAsia="zh-CN"/>
        </w:rPr>
        <w:t>2020年度下达的项目较2019年度减少，导致项目支出减少。</w:t>
      </w:r>
    </w:p>
    <w:p>
      <w:pPr>
        <w:pStyle w:val="3"/>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right="320" w:rightChars="100" w:firstLine="640" w:firstLineChars="200"/>
        <w:textAlignment w:val="auto"/>
        <w:rPr>
          <w:rFonts w:hint="eastAsia" w:ascii="Times New Roman" w:hAnsi="Times New Roman" w:cs="仿宋_GB2312"/>
          <w:sz w:val="32"/>
          <w:szCs w:val="22"/>
          <w:lang w:val="en-US" w:eastAsia="zh-CN"/>
        </w:rPr>
      </w:pPr>
      <w:r>
        <w:rPr>
          <w:rFonts w:hint="eastAsia" w:ascii="Times New Roman" w:hAnsi="Times New Roman" w:cs="仿宋_GB2312"/>
          <w:sz w:val="32"/>
          <w:szCs w:val="22"/>
          <w:lang w:val="en-US" w:eastAsia="zh-CN"/>
        </w:rPr>
        <w:t>结转结余情况。2020年度本单位无结转结余。</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right="320" w:rightChars="100" w:firstLine="640" w:firstLineChars="200"/>
        <w:textAlignment w:val="auto"/>
        <w:rPr>
          <w:rFonts w:hint="eastAsia" w:ascii="Times New Roman" w:hAnsi="Times New Roman" w:eastAsia="方正楷体_GBK" w:cs="方正楷体_GBK"/>
          <w:lang w:val="en-US" w:eastAsia="zh-CN"/>
        </w:rPr>
      </w:pPr>
      <w:r>
        <w:rPr>
          <w:rFonts w:hint="eastAsia" w:ascii="Times New Roman" w:hAnsi="Times New Roman" w:eastAsia="方正楷体_GBK" w:cs="方正楷体_GBK"/>
          <w:lang w:val="en-US" w:eastAsia="zh-CN"/>
        </w:rPr>
        <w:t>（二）财政拨款收入支出决算总体情况说明</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right="320" w:rightChars="100" w:firstLine="640" w:firstLineChars="200"/>
        <w:textAlignment w:val="auto"/>
        <w:rPr>
          <w:rFonts w:hint="default" w:ascii="Times New Roman" w:hAnsi="Times New Roman" w:cs="仿宋_GB2312"/>
          <w:sz w:val="32"/>
          <w:szCs w:val="22"/>
          <w:lang w:val="en-US" w:eastAsia="zh-CN"/>
        </w:rPr>
      </w:pPr>
      <w:r>
        <w:rPr>
          <w:rFonts w:hint="eastAsia" w:ascii="Times New Roman" w:hAnsi="Times New Roman" w:cs="仿宋_GB2312"/>
          <w:sz w:val="32"/>
          <w:szCs w:val="22"/>
          <w:lang w:val="en-US" w:eastAsia="zh-CN"/>
        </w:rPr>
        <w:t>2020年度财政拨款收、支总计</w:t>
      </w:r>
      <w:r>
        <w:rPr>
          <w:rFonts w:hint="eastAsia"/>
          <w:lang w:val="en-US" w:eastAsia="zh-CN"/>
        </w:rPr>
        <w:t>4511.07</w:t>
      </w:r>
      <w:r>
        <w:rPr>
          <w:rFonts w:hint="eastAsia" w:ascii="Times New Roman" w:hAnsi="Times New Roman" w:cs="仿宋_GB2312"/>
          <w:sz w:val="32"/>
          <w:szCs w:val="22"/>
          <w:lang w:val="en-US" w:eastAsia="zh-CN"/>
        </w:rPr>
        <w:t>万元。与2019年相比，财政拨款收支总计各减少</w:t>
      </w:r>
      <w:r>
        <w:rPr>
          <w:rFonts w:hint="eastAsia"/>
          <w:lang w:val="en-US" w:eastAsia="zh-CN"/>
        </w:rPr>
        <w:t>1071.43</w:t>
      </w:r>
      <w:r>
        <w:rPr>
          <w:rFonts w:hint="eastAsia" w:ascii="Times New Roman" w:hAnsi="Times New Roman" w:cs="仿宋_GB2312"/>
          <w:sz w:val="32"/>
          <w:szCs w:val="22"/>
          <w:lang w:val="en-US" w:eastAsia="zh-CN"/>
        </w:rPr>
        <w:t>万元，下降</w:t>
      </w:r>
      <w:r>
        <w:rPr>
          <w:rFonts w:hint="eastAsia" w:cs="仿宋_GB2312"/>
          <w:sz w:val="32"/>
          <w:szCs w:val="22"/>
          <w:lang w:val="en-US" w:eastAsia="zh-CN"/>
        </w:rPr>
        <w:t>19.2</w:t>
      </w:r>
      <w:r>
        <w:rPr>
          <w:rFonts w:hint="eastAsia" w:ascii="Times New Roman" w:hAnsi="Times New Roman" w:cs="仿宋_GB2312"/>
          <w:sz w:val="32"/>
          <w:szCs w:val="22"/>
          <w:lang w:val="en-US" w:eastAsia="zh-CN"/>
        </w:rPr>
        <w:t>%，主要原因是2020年度下达的项目较2019年度减少，导致财政拨款项目收支减少，比重降低。</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right="320" w:rightChars="100" w:firstLine="640" w:firstLineChars="200"/>
        <w:textAlignment w:val="auto"/>
        <w:rPr>
          <w:rFonts w:hint="eastAsia" w:ascii="Times New Roman" w:hAnsi="Times New Roman" w:eastAsia="方正楷体_GBK" w:cs="方正楷体_GBK"/>
          <w:lang w:val="en-US" w:eastAsia="zh-CN"/>
        </w:rPr>
      </w:pPr>
      <w:r>
        <w:rPr>
          <w:rFonts w:hint="eastAsia" w:ascii="Times New Roman" w:hAnsi="Times New Roman" w:eastAsia="方正楷体_GBK" w:cs="方正楷体_GBK"/>
          <w:lang w:val="en-US" w:eastAsia="zh-CN"/>
        </w:rPr>
        <w:t>（三）一般公共预算财政拨款支出决算情况说明</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1. 收入情况。2020年度一般公共预算财政拨款收入为3567.68万元，较上年决算数减少905.26万元，下降20.2%，原因是2020年度上级部门下达的一般公共预算财政拨款项目较2019年度减少，导致一般公共预算财政拨款项目收入减少。</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2. 支出情况。2020年度一般公共预算财政拨款支出为3567.68万元，较上年决算数减少905.26万元，下降20.2%，原因是2020年度上级部门下达的一般公共预算财政拨款项目较2019年度减少，导致一般公共预算财政拨款项目支出减少。</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3. 结转结余情况。本单位2020年度一般公共预算财政拨款支出无结转结余。</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（四）一般公共预算财政拨款基本支出决算情况说明</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2020年度一般公共预算财政拨款基本支出为1583.51万元，较上年决算数增加36.13万元，增长3.2%，主要原因是在编人员正常调资。</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sz w:val="32"/>
          <w:szCs w:val="22"/>
          <w:lang w:val="en-US" w:eastAsia="zh-CN"/>
        </w:rPr>
      </w:pPr>
      <w:r>
        <w:rPr>
          <w:rFonts w:hint="eastAsia" w:ascii="Times New Roman" w:hAnsi="Times New Roman" w:eastAsia="方正楷体_GBK" w:cs="方正楷体_GBK"/>
          <w:sz w:val="32"/>
          <w:szCs w:val="22"/>
          <w:lang w:val="en-US" w:eastAsia="zh-CN"/>
        </w:rPr>
        <w:t>（五）政府性基金预算收支决算情况说明</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000000" w:themeColor="text1"/>
          <w:kern w:val="2"/>
          <w:sz w:val="32"/>
          <w:szCs w:val="22"/>
          <w:lang w:val="en-US" w:eastAsia="zh-CN" w:bidi="ar-SA"/>
          <w14:textFill>
            <w14:solidFill>
              <w14:schemeClr w14:val="tx1"/>
            </w14:solidFill>
          </w14:textFill>
        </w:rPr>
      </w:pPr>
      <w:r>
        <w:rPr>
          <w:rFonts w:hint="eastAsia" w:ascii="Times New Roman" w:hAnsi="Times New Roman" w:eastAsia="方正仿宋_GBK" w:cs="仿宋_GB2312"/>
          <w:color w:val="auto"/>
          <w:kern w:val="2"/>
          <w:sz w:val="32"/>
          <w:szCs w:val="22"/>
          <w:lang w:val="en-US" w:eastAsia="zh-CN" w:bidi="ar-SA"/>
        </w:rPr>
        <w:t>2020年度政府性基金预算财政拨款收支均为943.39万元，较上年决算数减少166.17万元，增加15%，原因是2020年度上级部门下达的政府性基金项目减少；导致政府性基金预算财政拨款收支减少。</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方正楷体_GBK"/>
          <w:color w:val="000000" w:themeColor="text1"/>
          <w:kern w:val="2"/>
          <w:sz w:val="32"/>
          <w:szCs w:val="2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22"/>
          <w:lang w:val="en-US" w:eastAsia="zh-CN" w:bidi="ar-SA"/>
          <w14:textFill>
            <w14:solidFill>
              <w14:schemeClr w14:val="tx1"/>
            </w14:solidFill>
          </w14:textFill>
        </w:rPr>
        <w:t>（六）</w:t>
      </w:r>
      <w:r>
        <w:rPr>
          <w:rFonts w:hint="default" w:ascii="Times New Roman" w:hAnsi="Times New Roman" w:eastAsia="方正楷体_GBK" w:cs="方正楷体_GBK"/>
          <w:color w:val="000000" w:themeColor="text1"/>
          <w:kern w:val="2"/>
          <w:sz w:val="32"/>
          <w:szCs w:val="22"/>
          <w:lang w:val="en-US" w:eastAsia="zh-CN" w:bidi="ar-SA"/>
          <w14:textFill>
            <w14:solidFill>
              <w14:schemeClr w14:val="tx1"/>
            </w14:solidFill>
          </w14:textFill>
        </w:rPr>
        <w:t>国有资本经营预算财政拨款支出决算情况说明</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本单位2020年度无</w:t>
      </w:r>
      <w:r>
        <w:rPr>
          <w:rFonts w:hint="default" w:ascii="Times New Roman" w:hAnsi="Times New Roman" w:eastAsia="方正仿宋_GBK" w:cs="仿宋_GB2312"/>
          <w:color w:val="auto"/>
          <w:kern w:val="2"/>
          <w:sz w:val="32"/>
          <w:szCs w:val="22"/>
          <w:lang w:val="en-US" w:eastAsia="zh-CN" w:bidi="ar-SA"/>
        </w:rPr>
        <w:t>国有资本经营预算财政拨款支出</w:t>
      </w:r>
      <w:r>
        <w:rPr>
          <w:rFonts w:hint="eastAsia" w:ascii="Times New Roman" w:hAnsi="Times New Roman" w:eastAsia="方正仿宋_GBK" w:cs="仿宋_GB2312"/>
          <w:color w:val="000000" w:themeColor="text1"/>
          <w:kern w:val="2"/>
          <w:sz w:val="32"/>
          <w:szCs w:val="22"/>
          <w:lang w:val="en-US" w:eastAsia="zh-CN" w:bidi="ar-SA"/>
          <w14:textFill>
            <w14:solidFill>
              <w14:schemeClr w14:val="tx1"/>
            </w14:solidFill>
          </w14:textFill>
        </w:rPr>
        <w:t>。</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黑体_GBK" w:cs="方正黑体_GBK"/>
          <w:color w:val="auto"/>
          <w:kern w:val="2"/>
          <w:sz w:val="32"/>
          <w:szCs w:val="22"/>
          <w:lang w:val="en-US" w:eastAsia="zh-CN" w:bidi="ar-SA"/>
        </w:rPr>
      </w:pPr>
      <w:r>
        <w:rPr>
          <w:rFonts w:hint="eastAsia" w:ascii="Times New Roman" w:hAnsi="Times New Roman" w:eastAsia="方正黑体_GBK" w:cs="方正黑体_GBK"/>
          <w:color w:val="auto"/>
          <w:kern w:val="2"/>
          <w:sz w:val="32"/>
          <w:szCs w:val="22"/>
          <w:lang w:val="en-US" w:eastAsia="zh-CN" w:bidi="ar-SA"/>
        </w:rPr>
        <w:t xml:space="preserve">三、“三公”经费情况说明 </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（一）</w:t>
      </w:r>
      <w:r>
        <w:rPr>
          <w:rFonts w:hint="default" w:ascii="Times New Roman" w:hAnsi="Times New Roman" w:eastAsia="方正楷体_GBK" w:cs="方正楷体_GBK"/>
          <w:color w:val="auto"/>
          <w:kern w:val="2"/>
          <w:sz w:val="32"/>
          <w:szCs w:val="22"/>
          <w:lang w:val="en-US" w:eastAsia="zh-CN" w:bidi="ar-SA"/>
        </w:rPr>
        <w:t>“三公”经费支出情况</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总体情况：2020</w:t>
      </w:r>
      <w:bookmarkStart w:id="0" w:name="_GoBack"/>
      <w:bookmarkEnd w:id="0"/>
      <w:r>
        <w:rPr>
          <w:rFonts w:hint="eastAsia" w:ascii="Times New Roman" w:hAnsi="Times New Roman" w:eastAsia="方正仿宋_GBK" w:cs="仿宋_GB2312"/>
          <w:color w:val="auto"/>
          <w:kern w:val="2"/>
          <w:sz w:val="32"/>
          <w:szCs w:val="22"/>
          <w:lang w:val="en-US" w:eastAsia="zh-CN" w:bidi="ar-SA"/>
        </w:rPr>
        <w:t>年度“三公”经费支出决算数为16.3万元，公务车运行维护费7.40万元，较年初预算数减少0.6万元，下降7.5%；公务接待费8.9万元，较年初预算数减少0.1万元，下降1.1%。原因是本单位按照相关规定，严格控制“三公”经费支出。</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（二）“三公”经费实物量情况</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2020年度本单位因公出国（境）共计0个团组；公务车保有量为</w:t>
      </w:r>
      <w:r>
        <w:rPr>
          <w:rFonts w:hint="eastAsia" w:ascii="Times New Roman" w:hAnsi="Times New Roman" w:eastAsia="方正仿宋_GBK" w:cs="仿宋_GB2312"/>
          <w:color w:val="auto"/>
          <w:kern w:val="2"/>
          <w:sz w:val="32"/>
          <w:szCs w:val="22"/>
          <w:highlight w:val="none"/>
          <w:lang w:val="en-US" w:eastAsia="zh-CN" w:bidi="ar-SA"/>
        </w:rPr>
        <w:t>2辆</w:t>
      </w:r>
      <w:r>
        <w:rPr>
          <w:rFonts w:hint="eastAsia" w:ascii="Times New Roman" w:hAnsi="Times New Roman" w:eastAsia="方正仿宋_GBK" w:cs="仿宋_GB2312"/>
          <w:color w:val="auto"/>
          <w:kern w:val="2"/>
          <w:sz w:val="32"/>
          <w:szCs w:val="22"/>
          <w:lang w:val="en-US" w:eastAsia="zh-CN" w:bidi="ar-SA"/>
        </w:rPr>
        <w:t>；国内公务接待批次235批次669人。其中：国内外事接待0批次。</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黑体_GBK" w:cs="方正黑体_GBK"/>
          <w:color w:val="auto"/>
          <w:kern w:val="2"/>
          <w:sz w:val="32"/>
          <w:szCs w:val="22"/>
          <w:lang w:val="en-US" w:eastAsia="zh-CN" w:bidi="ar-SA"/>
        </w:rPr>
      </w:pPr>
      <w:r>
        <w:rPr>
          <w:rFonts w:hint="eastAsia" w:ascii="Times New Roman" w:hAnsi="Times New Roman" w:eastAsia="方正黑体_GBK" w:cs="方正黑体_GBK"/>
          <w:color w:val="auto"/>
          <w:kern w:val="2"/>
          <w:sz w:val="32"/>
          <w:szCs w:val="22"/>
          <w:lang w:val="en-US" w:eastAsia="zh-CN" w:bidi="ar-SA"/>
        </w:rPr>
        <w:t>四、政府采购决算情况</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方正黑体_GBK"/>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2020年度本单位无采购情况发生，故2020年无数据。</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黑体_GBK" w:cs="方正黑体_GBK"/>
          <w:color w:val="auto"/>
          <w:kern w:val="2"/>
          <w:sz w:val="32"/>
          <w:szCs w:val="22"/>
          <w:lang w:val="en-US" w:eastAsia="zh-CN" w:bidi="ar-SA"/>
        </w:rPr>
      </w:pPr>
      <w:r>
        <w:rPr>
          <w:rFonts w:hint="eastAsia" w:ascii="Times New Roman" w:hAnsi="Times New Roman" w:eastAsia="方正黑体_GBK" w:cs="方正黑体_GBK"/>
          <w:color w:val="auto"/>
          <w:kern w:val="2"/>
          <w:sz w:val="32"/>
          <w:szCs w:val="22"/>
          <w:lang w:val="en-US" w:eastAsia="zh-CN" w:bidi="ar-SA"/>
        </w:rPr>
        <w:t>五、其他需要说明的事项</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（一）机关运行经费情况说明</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仿宋_GB2312"/>
          <w:color w:val="auto"/>
          <w:kern w:val="2"/>
          <w:sz w:val="32"/>
          <w:szCs w:val="22"/>
          <w:lang w:val="en-US" w:eastAsia="zh-CN" w:bidi="ar-SA"/>
        </w:rPr>
      </w:pPr>
      <w:r>
        <w:rPr>
          <w:rFonts w:hint="default" w:ascii="Times New Roman" w:hAnsi="Times New Roman" w:eastAsia="方正仿宋_GBK" w:cs="仿宋_GB2312"/>
          <w:color w:val="000000" w:themeColor="text1"/>
          <w:kern w:val="2"/>
          <w:sz w:val="32"/>
          <w:szCs w:val="22"/>
          <w:lang w:val="en-US" w:eastAsia="zh-CN" w:bidi="ar-SA"/>
          <w14:textFill>
            <w14:solidFill>
              <w14:schemeClr w14:val="tx1"/>
            </w14:solidFill>
          </w14:textFill>
        </w:rPr>
        <w:t>2020年度本单位机关运行经费支出</w:t>
      </w:r>
      <w:r>
        <w:rPr>
          <w:rFonts w:hint="eastAsia" w:ascii="Times New Roman" w:hAnsi="Times New Roman" w:eastAsia="方正仿宋_GBK" w:cs="仿宋_GB2312"/>
          <w:color w:val="000000" w:themeColor="text1"/>
          <w:kern w:val="2"/>
          <w:sz w:val="32"/>
          <w:szCs w:val="22"/>
          <w:lang w:val="en-US" w:eastAsia="zh-CN" w:bidi="ar-SA"/>
          <w14:textFill>
            <w14:solidFill>
              <w14:schemeClr w14:val="tx1"/>
            </w14:solidFill>
          </w14:textFill>
        </w:rPr>
        <w:t>253.34</w:t>
      </w:r>
      <w:r>
        <w:rPr>
          <w:rFonts w:hint="default" w:ascii="Times New Roman" w:hAnsi="Times New Roman" w:eastAsia="方正仿宋_GBK" w:cs="仿宋_GB2312"/>
          <w:color w:val="000000" w:themeColor="text1"/>
          <w:kern w:val="2"/>
          <w:sz w:val="32"/>
          <w:szCs w:val="22"/>
          <w:lang w:val="en-US" w:eastAsia="zh-CN" w:bidi="ar-SA"/>
          <w14:textFill>
            <w14:solidFill>
              <w14:schemeClr w14:val="tx1"/>
            </w14:solidFill>
          </w14:textFill>
        </w:rPr>
        <w:t>万元，比2019年度减少</w:t>
      </w:r>
      <w:r>
        <w:rPr>
          <w:rFonts w:hint="eastAsia" w:ascii="Times New Roman" w:hAnsi="Times New Roman" w:eastAsia="方正仿宋_GBK" w:cs="仿宋_GB2312"/>
          <w:color w:val="000000" w:themeColor="text1"/>
          <w:kern w:val="2"/>
          <w:sz w:val="32"/>
          <w:szCs w:val="22"/>
          <w:lang w:val="en-US" w:eastAsia="zh-CN" w:bidi="ar-SA"/>
          <w14:textFill>
            <w14:solidFill>
              <w14:schemeClr w14:val="tx1"/>
            </w14:solidFill>
          </w14:textFill>
        </w:rPr>
        <w:t>50.95</w:t>
      </w:r>
      <w:r>
        <w:rPr>
          <w:rFonts w:hint="default" w:ascii="Times New Roman" w:hAnsi="Times New Roman" w:eastAsia="方正仿宋_GBK" w:cs="仿宋_GB2312"/>
          <w:color w:val="000000" w:themeColor="text1"/>
          <w:kern w:val="2"/>
          <w:sz w:val="32"/>
          <w:szCs w:val="22"/>
          <w:lang w:val="en-US" w:eastAsia="zh-CN" w:bidi="ar-SA"/>
          <w14:textFill>
            <w14:solidFill>
              <w14:schemeClr w14:val="tx1"/>
            </w14:solidFill>
          </w14:textFill>
        </w:rPr>
        <w:t>万元，下降</w:t>
      </w:r>
      <w:r>
        <w:rPr>
          <w:rFonts w:hint="eastAsia" w:ascii="Times New Roman" w:hAnsi="Times New Roman" w:eastAsia="方正仿宋_GBK" w:cs="仿宋_GB2312"/>
          <w:color w:val="000000" w:themeColor="text1"/>
          <w:kern w:val="2"/>
          <w:sz w:val="32"/>
          <w:szCs w:val="22"/>
          <w:lang w:val="en-US" w:eastAsia="zh-CN" w:bidi="ar-SA"/>
          <w14:textFill>
            <w14:solidFill>
              <w14:schemeClr w14:val="tx1"/>
            </w14:solidFill>
          </w14:textFill>
        </w:rPr>
        <w:t>16.7</w:t>
      </w:r>
      <w:r>
        <w:rPr>
          <w:rFonts w:hint="default" w:ascii="Times New Roman" w:hAnsi="Times New Roman" w:eastAsia="方正仿宋_GBK" w:cs="仿宋_GB2312"/>
          <w:color w:val="000000" w:themeColor="text1"/>
          <w:kern w:val="2"/>
          <w:sz w:val="32"/>
          <w:szCs w:val="22"/>
          <w:lang w:val="en-US" w:eastAsia="zh-CN" w:bidi="ar-SA"/>
          <w14:textFill>
            <w14:solidFill>
              <w14:schemeClr w14:val="tx1"/>
            </w14:solidFill>
          </w14:textFill>
        </w:rPr>
        <w:t>%，主要原因是</w:t>
      </w:r>
      <w:r>
        <w:rPr>
          <w:rFonts w:hint="eastAsia" w:ascii="Times New Roman" w:hAnsi="Times New Roman" w:eastAsia="方正仿宋_GBK" w:cs="仿宋_GB2312"/>
          <w:color w:val="000000" w:themeColor="text1"/>
          <w:kern w:val="2"/>
          <w:sz w:val="32"/>
          <w:szCs w:val="22"/>
          <w:lang w:val="en-US" w:eastAsia="zh-CN" w:bidi="ar-SA"/>
          <w14:textFill>
            <w14:solidFill>
              <w14:schemeClr w14:val="tx1"/>
            </w14:solidFill>
          </w14:textFill>
        </w:rPr>
        <w:t>政策调减。</w:t>
      </w:r>
    </w:p>
    <w:p>
      <w:pPr>
        <w:pStyle w:val="4"/>
        <w:keepNext w:val="0"/>
        <w:keepLines w:val="0"/>
        <w:pageBreakBefore w:val="0"/>
        <w:numPr>
          <w:ilvl w:val="0"/>
          <w:numId w:val="1"/>
        </w:numPr>
        <w:kinsoku/>
        <w:wordWrap/>
        <w:overflowPunct/>
        <w:topLinePunct w:val="0"/>
        <w:autoSpaceDE/>
        <w:autoSpaceDN/>
        <w:bidi w:val="0"/>
        <w:adjustRightInd/>
        <w:snapToGrid w:val="0"/>
        <w:spacing w:line="600" w:lineRule="exact"/>
        <w:ind w:left="640" w:leftChars="200" w:firstLine="0" w:firstLineChars="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国有资产占用情况说明</w:t>
      </w:r>
    </w:p>
    <w:p>
      <w:pPr>
        <w:pStyle w:val="4"/>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仿宋_GB2312"/>
          <w:color w:val="auto"/>
          <w:kern w:val="2"/>
          <w:sz w:val="32"/>
          <w:szCs w:val="22"/>
          <w:lang w:val="en-US" w:eastAsia="zh-CN" w:bidi="ar-SA"/>
        </w:rPr>
        <w:t>截至2020年12月31日，本部门共有车辆</w:t>
      </w:r>
      <w:r>
        <w:rPr>
          <w:rFonts w:hint="eastAsia" w:ascii="Times New Roman" w:hAnsi="Times New Roman" w:eastAsia="方正仿宋_GBK" w:cs="仿宋_GB2312"/>
          <w:color w:val="auto"/>
          <w:kern w:val="2"/>
          <w:sz w:val="32"/>
          <w:szCs w:val="22"/>
          <w:lang w:val="en-US" w:eastAsia="zh-CN" w:bidi="ar-SA"/>
        </w:rPr>
        <w:t>2</w:t>
      </w:r>
      <w:r>
        <w:rPr>
          <w:rFonts w:hint="default" w:ascii="Times New Roman" w:hAnsi="Times New Roman" w:eastAsia="方正仿宋_GBK" w:cs="仿宋_GB2312"/>
          <w:color w:val="auto"/>
          <w:kern w:val="2"/>
          <w:sz w:val="32"/>
          <w:szCs w:val="22"/>
          <w:lang w:val="en-US" w:eastAsia="zh-CN" w:bidi="ar-SA"/>
        </w:rPr>
        <w:t>辆。其中：副部（省）级及以上领导用车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辆，主要领导干部用车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辆，机要通信用车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辆，应急保障用车</w:t>
      </w:r>
      <w:r>
        <w:rPr>
          <w:rFonts w:hint="eastAsia" w:ascii="Times New Roman" w:hAnsi="Times New Roman" w:eastAsia="方正仿宋_GBK" w:cs="仿宋_GB2312"/>
          <w:color w:val="auto"/>
          <w:kern w:val="2"/>
          <w:sz w:val="32"/>
          <w:szCs w:val="22"/>
          <w:lang w:val="en-US" w:eastAsia="zh-CN" w:bidi="ar-SA"/>
        </w:rPr>
        <w:t>2</w:t>
      </w:r>
      <w:r>
        <w:rPr>
          <w:rFonts w:hint="default" w:ascii="Times New Roman" w:hAnsi="Times New Roman" w:eastAsia="方正仿宋_GBK" w:cs="仿宋_GB2312"/>
          <w:color w:val="auto"/>
          <w:kern w:val="2"/>
          <w:sz w:val="32"/>
          <w:szCs w:val="22"/>
          <w:lang w:val="en-US" w:eastAsia="zh-CN" w:bidi="ar-SA"/>
        </w:rPr>
        <w:t>辆，执法执勤用车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辆，特种专业技术用车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辆，离退休干部用车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辆，其他用车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w:t>
      </w:r>
      <w:r>
        <w:rPr>
          <w:rFonts w:hint="eastAsia" w:ascii="Times New Roman" w:hAnsi="Times New Roman" w:eastAsia="方正仿宋_GBK" w:cs="仿宋_GB2312"/>
          <w:color w:val="auto"/>
          <w:kern w:val="2"/>
          <w:sz w:val="32"/>
          <w:szCs w:val="22"/>
          <w:lang w:val="en-US" w:eastAsia="zh-CN" w:bidi="ar-SA"/>
        </w:rPr>
        <w:t>无</w:t>
      </w:r>
      <w:r>
        <w:rPr>
          <w:rFonts w:hint="default" w:ascii="Times New Roman" w:hAnsi="Times New Roman" w:eastAsia="方正仿宋_GBK" w:cs="仿宋_GB2312"/>
          <w:color w:val="auto"/>
          <w:kern w:val="2"/>
          <w:sz w:val="32"/>
          <w:szCs w:val="22"/>
          <w:lang w:val="en-US" w:eastAsia="zh-CN" w:bidi="ar-SA"/>
        </w:rPr>
        <w:t>单价50万元（含）以上通用设备，</w:t>
      </w:r>
      <w:r>
        <w:rPr>
          <w:rFonts w:hint="eastAsia" w:ascii="Times New Roman" w:hAnsi="Times New Roman" w:eastAsia="方正仿宋_GBK" w:cs="仿宋_GB2312"/>
          <w:color w:val="auto"/>
          <w:kern w:val="2"/>
          <w:sz w:val="32"/>
          <w:szCs w:val="22"/>
          <w:lang w:val="en-US" w:eastAsia="zh-CN" w:bidi="ar-SA"/>
        </w:rPr>
        <w:t>无</w:t>
      </w:r>
      <w:r>
        <w:rPr>
          <w:rFonts w:hint="default" w:ascii="Times New Roman" w:hAnsi="Times New Roman" w:eastAsia="方正仿宋_GBK" w:cs="仿宋_GB2312"/>
          <w:color w:val="auto"/>
          <w:kern w:val="2"/>
          <w:sz w:val="32"/>
          <w:szCs w:val="22"/>
          <w:lang w:val="en-US" w:eastAsia="zh-CN" w:bidi="ar-SA"/>
        </w:rPr>
        <w:t>单价100万元（含）以上专用设备。</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textAlignment w:val="auto"/>
        <w:outlineLvl w:val="0"/>
        <w:rPr>
          <w:rFonts w:hint="default" w:ascii="Times New Roman" w:hAnsi="Times New Roman" w:eastAsia="方正黑体_GBK" w:cs="Times New Roman"/>
          <w:sz w:val="32"/>
          <w:szCs w:val="32"/>
        </w:rPr>
      </w:pPr>
      <w:r>
        <w:rPr>
          <w:rFonts w:hint="eastAsia" w:eastAsia="方正黑体_GBK" w:cs="Times New Roman"/>
          <w:sz w:val="32"/>
          <w:szCs w:val="32"/>
          <w:lang w:eastAsia="zh-CN"/>
        </w:rPr>
        <w:t>六</w:t>
      </w:r>
      <w:r>
        <w:rPr>
          <w:rFonts w:hint="default" w:ascii="Times New Roman" w:hAnsi="Times New Roman" w:eastAsia="方正黑体_GBK" w:cs="Times New Roman"/>
          <w:sz w:val="32"/>
          <w:szCs w:val="32"/>
        </w:rPr>
        <w:t>、专业名词解释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楷体_GBK" w:cs="方正楷体_GBK"/>
          <w:color w:val="auto"/>
          <w:kern w:val="0"/>
          <w:sz w:val="32"/>
          <w:szCs w:val="32"/>
          <w:lang w:val="en-US" w:eastAsia="zh-CN" w:bidi="ar-SA"/>
        </w:rPr>
        <w:t>（一）财政拨款收入：</w:t>
      </w:r>
      <w:r>
        <w:rPr>
          <w:rFonts w:hint="default" w:ascii="Times New Roman" w:hAnsi="Times New Roman" w:eastAsia="方正仿宋_GBK" w:cs="Times New Roman"/>
          <w:color w:val="auto"/>
          <w:kern w:val="0"/>
          <w:sz w:val="32"/>
          <w:szCs w:val="32"/>
          <w:lang w:val="en-US" w:eastAsia="zh-CN" w:bidi="ar-SA"/>
        </w:rPr>
        <w:t>指本年度从本级财政部门取得的财政拨款，包括一般公共预算财政拨款和政府性基金预算财政拨款。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（二）事业收入：</w:t>
      </w:r>
      <w:r>
        <w:rPr>
          <w:rFonts w:hint="default" w:ascii="Times New Roman" w:hAnsi="Times New Roman" w:eastAsia="方正仿宋_GBK" w:cs="Times New Roman"/>
          <w:color w:val="auto"/>
          <w:kern w:val="0"/>
          <w:sz w:val="32"/>
          <w:szCs w:val="32"/>
          <w:lang w:val="en-US" w:eastAsia="zh-CN" w:bidi="ar-SA"/>
        </w:rPr>
        <w:t>指事业单位开展专业业务活动及其辅助活动取得的现金流入；事业单位收到的财政专户实际核拨的教育收费等资金在此反映。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（三）经营收入：</w:t>
      </w:r>
      <w:r>
        <w:rPr>
          <w:rFonts w:hint="default" w:ascii="Times New Roman" w:hAnsi="Times New Roman" w:eastAsia="方正仿宋_GBK" w:cs="Times New Roman"/>
          <w:color w:val="auto"/>
          <w:kern w:val="0"/>
          <w:sz w:val="32"/>
          <w:szCs w:val="32"/>
          <w:lang w:val="en-US" w:eastAsia="zh-CN" w:bidi="ar-SA"/>
        </w:rPr>
        <w:t>指事业单位在专业业务活动及其辅助活动之外开展非独立核算经营活动取得的现金流入。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（四）其他收入：</w:t>
      </w:r>
      <w:r>
        <w:rPr>
          <w:rFonts w:hint="default" w:ascii="Times New Roman" w:hAnsi="Times New Roman" w:eastAsia="方正仿宋_GBK" w:cs="Times New Roman"/>
          <w:color w:val="auto"/>
          <w:kern w:val="0"/>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（五）使用非财政拨款结余：</w:t>
      </w:r>
      <w:r>
        <w:rPr>
          <w:rFonts w:hint="default" w:ascii="Times New Roman" w:hAnsi="Times New Roman" w:eastAsia="方正仿宋_GBK" w:cs="Times New Roman"/>
          <w:color w:val="auto"/>
          <w:kern w:val="0"/>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（六）年初结转和结余：</w:t>
      </w:r>
      <w:r>
        <w:rPr>
          <w:rFonts w:hint="default" w:ascii="Times New Roman" w:hAnsi="Times New Roman" w:eastAsia="方正仿宋_GBK" w:cs="Times New Roman"/>
          <w:color w:val="auto"/>
          <w:kern w:val="0"/>
          <w:sz w:val="32"/>
          <w:szCs w:val="32"/>
          <w:lang w:val="en-US" w:eastAsia="zh-CN" w:bidi="ar-SA"/>
        </w:rPr>
        <w:t>指单位上年结转本年使用的基本支出结转、项目支出结转和结余、经营结余。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（七）结余分配：</w:t>
      </w:r>
      <w:r>
        <w:rPr>
          <w:rFonts w:hint="default" w:ascii="Times New Roman" w:hAnsi="Times New Roman" w:eastAsia="方正仿宋_GBK" w:cs="Times New Roman"/>
          <w:color w:val="auto"/>
          <w:kern w:val="0"/>
          <w:sz w:val="32"/>
          <w:szCs w:val="32"/>
          <w:lang w:val="en-US" w:eastAsia="zh-CN" w:bidi="ar-SA"/>
        </w:rPr>
        <w:t>指单位按照国家有关规定，缴纳所得税、提取专用基金、转入非财政拨款结余等当年结余的分配情况。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（八）年末结转和结余：</w:t>
      </w:r>
      <w:r>
        <w:rPr>
          <w:rFonts w:hint="default" w:ascii="Times New Roman" w:hAnsi="Times New Roman" w:eastAsia="方正仿宋_GBK" w:cs="Times New Roman"/>
          <w:color w:val="auto"/>
          <w:kern w:val="0"/>
          <w:sz w:val="32"/>
          <w:szCs w:val="32"/>
          <w:lang w:val="en-US" w:eastAsia="zh-CN" w:bidi="ar-SA"/>
        </w:rPr>
        <w:t>指单位结转下年的基本支出结转、项目支出结转和结余、经营结余。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（九）基本支出：</w:t>
      </w:r>
      <w:r>
        <w:rPr>
          <w:rFonts w:hint="default" w:ascii="Times New Roman" w:hAnsi="Times New Roman" w:eastAsia="方正仿宋_GBK" w:cs="Times New Roman"/>
          <w:color w:val="auto"/>
          <w:kern w:val="0"/>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（十）项目支出：</w:t>
      </w:r>
      <w:r>
        <w:rPr>
          <w:rFonts w:hint="default" w:ascii="Times New Roman" w:hAnsi="Times New Roman" w:eastAsia="方正仿宋_GBK" w:cs="Times New Roman"/>
          <w:color w:val="auto"/>
          <w:kern w:val="0"/>
          <w:sz w:val="32"/>
          <w:szCs w:val="32"/>
          <w:lang w:val="en-US" w:eastAsia="zh-CN" w:bidi="ar-SA"/>
        </w:rPr>
        <w:t>指在基本支出之外为完成特定行政任务和事业发展目标所发生的支出。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（十一）经营支出</w:t>
      </w:r>
      <w:r>
        <w:rPr>
          <w:rFonts w:hint="default" w:ascii="Times New Roman" w:hAnsi="Times New Roman" w:eastAsia="方正仿宋_GBK" w:cs="Times New Roman"/>
          <w:color w:val="auto"/>
          <w:kern w:val="0"/>
          <w:sz w:val="32"/>
          <w:szCs w:val="32"/>
          <w:lang w:val="en-US" w:eastAsia="zh-CN" w:bidi="ar-SA"/>
        </w:rPr>
        <w:t>：指事业单位在专业业务活动及其辅助活动之外开展非独立核算经营活动发生的支出。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（十二）“三公”经费：</w:t>
      </w:r>
      <w:r>
        <w:rPr>
          <w:rFonts w:hint="default" w:ascii="Times New Roman" w:hAnsi="Times New Roman" w:eastAsia="方正仿宋_GBK" w:cs="Times New Roman"/>
          <w:color w:val="auto"/>
          <w:kern w:val="0"/>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（十三）机关运行经费：</w:t>
      </w:r>
      <w:r>
        <w:rPr>
          <w:rFonts w:hint="default" w:ascii="Times New Roman" w:hAnsi="Times New Roman" w:eastAsia="方正仿宋_GBK" w:cs="Times New Roman"/>
          <w:color w:val="auto"/>
          <w:kern w:val="0"/>
          <w:sz w:val="32"/>
          <w:szCs w:val="32"/>
          <w:lang w:val="en-US" w:eastAsia="zh-CN" w:bidi="ar-SA"/>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（十四）工资福利支出（支出经济分类科目类级）：</w:t>
      </w:r>
      <w:r>
        <w:rPr>
          <w:rFonts w:hint="default" w:ascii="Times New Roman" w:hAnsi="Times New Roman" w:eastAsia="方正仿宋_GBK" w:cs="Times New Roman"/>
          <w:color w:val="auto"/>
          <w:kern w:val="0"/>
          <w:sz w:val="32"/>
          <w:szCs w:val="32"/>
          <w:lang w:val="en-US" w:eastAsia="zh-CN" w:bidi="ar-SA"/>
        </w:rPr>
        <w:t>反映单位开支的在职职工和编制外长期聘用人员的各类劳动报酬，以及为上述人员缴纳的各项社会保险费等。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（十五）商品和服务支出（支出经济分类科目类级）</w:t>
      </w:r>
      <w:r>
        <w:rPr>
          <w:rFonts w:hint="eastAsia" w:ascii="Times New Roman" w:hAnsi="Times New Roman" w:eastAsia="方正仿宋_GBK" w:cs="方正仿宋_GBK"/>
          <w:color w:val="auto"/>
          <w:kern w:val="0"/>
          <w:sz w:val="32"/>
          <w:szCs w:val="32"/>
          <w:lang w:val="en-US" w:eastAsia="zh-CN" w:bidi="ar-SA"/>
        </w:rPr>
        <w:t>：反映单位购买商品和服务的支出（不包括用于购置固定资产的支出、</w:t>
      </w:r>
      <w:r>
        <w:rPr>
          <w:rFonts w:hint="default" w:ascii="Times New Roman" w:hAnsi="Times New Roman" w:eastAsia="方正仿宋_GBK" w:cs="Times New Roman"/>
          <w:color w:val="auto"/>
          <w:kern w:val="0"/>
          <w:sz w:val="32"/>
          <w:szCs w:val="32"/>
          <w:lang w:val="en-US" w:eastAsia="zh-CN" w:bidi="ar-SA"/>
        </w:rPr>
        <w:t>战略性和应急储备支出）。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楷体_GBK" w:cs="方正楷体_GBK"/>
          <w:color w:val="auto"/>
          <w:kern w:val="0"/>
          <w:sz w:val="32"/>
          <w:szCs w:val="32"/>
          <w:lang w:val="en-US" w:eastAsia="zh-CN" w:bidi="ar-SA"/>
        </w:rPr>
        <w:t>（十六）对个人和家庭的补助（支出经济分类科目类级）：</w:t>
      </w:r>
      <w:r>
        <w:rPr>
          <w:rFonts w:hint="default" w:ascii="Times New Roman" w:hAnsi="Times New Roman" w:eastAsia="方正仿宋_GBK" w:cs="Times New Roman"/>
          <w:color w:val="auto"/>
          <w:kern w:val="0"/>
          <w:sz w:val="32"/>
          <w:szCs w:val="32"/>
          <w:lang w:val="en-US" w:eastAsia="zh-CN" w:bidi="ar-SA"/>
        </w:rPr>
        <w:t>反映用于对个人和家庭的补助支出。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楷体_GBK" w:cs="方正楷体_GBK"/>
          <w:color w:val="auto"/>
          <w:kern w:val="0"/>
          <w:sz w:val="32"/>
          <w:szCs w:val="32"/>
          <w:lang w:val="en-US" w:eastAsia="zh-CN" w:bidi="ar-SA"/>
        </w:rPr>
        <w:t>（十七）其他资本性支出（支出经济分类科目类级）：</w:t>
      </w:r>
      <w:r>
        <w:rPr>
          <w:rFonts w:hint="default" w:ascii="Times New Roman" w:hAnsi="Times New Roman" w:eastAsia="方正仿宋_GBK" w:cs="Times New Roman"/>
          <w:color w:val="auto"/>
          <w:kern w:val="0"/>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tabs>
          <w:tab w:val="center" w:pos="4153"/>
          <w:tab w:val="left" w:pos="7275"/>
        </w:tabs>
        <w:kinsoku/>
        <w:wordWrap/>
        <w:overflowPunct/>
        <w:topLinePunct w:val="0"/>
        <w:autoSpaceDE/>
        <w:autoSpaceDN/>
        <w:bidi w:val="0"/>
        <w:adjustRightInd/>
        <w:snapToGrid w:val="0"/>
        <w:spacing w:line="600" w:lineRule="exact"/>
        <w:ind w:firstLine="640"/>
        <w:textAlignment w:val="auto"/>
        <w:outlineLvl w:val="0"/>
        <w:rPr>
          <w:rFonts w:hint="eastAsia" w:ascii="Times New Roman" w:hAnsi="Times New Roman" w:eastAsia="方正黑体_GBK" w:cs="方正黑体_GBK"/>
          <w:color w:val="auto"/>
          <w:kern w:val="0"/>
          <w:sz w:val="32"/>
          <w:szCs w:val="32"/>
          <w:lang w:val="en-US" w:eastAsia="zh-CN" w:bidi="ar-SA"/>
        </w:rPr>
      </w:pPr>
      <w:r>
        <w:rPr>
          <w:rFonts w:hint="eastAsia" w:ascii="Times New Roman" w:hAnsi="Times New Roman" w:eastAsia="方正黑体_GBK" w:cs="方正黑体_GBK"/>
          <w:color w:val="auto"/>
          <w:kern w:val="0"/>
          <w:sz w:val="32"/>
          <w:szCs w:val="32"/>
          <w:lang w:val="en-US" w:eastAsia="zh-CN" w:bidi="ar-SA"/>
        </w:rPr>
        <w:t>七、决算公开联系方式</w:t>
      </w:r>
    </w:p>
    <w:p>
      <w:pPr>
        <w:pStyle w:val="11"/>
        <w:keepNext w:val="0"/>
        <w:keepLines w:val="0"/>
        <w:pageBreakBefore w:val="0"/>
        <w:widowControl/>
        <w:tabs>
          <w:tab w:val="center" w:pos="4153"/>
          <w:tab w:val="left" w:pos="7275"/>
        </w:tabs>
        <w:kinsoku/>
        <w:wordWrap/>
        <w:overflowPunct/>
        <w:topLinePunct w:val="0"/>
        <w:autoSpaceDE/>
        <w:autoSpaceDN/>
        <w:bidi w:val="0"/>
        <w:adjustRightInd/>
        <w:snapToGrid w:val="0"/>
        <w:spacing w:line="600" w:lineRule="exact"/>
        <w:ind w:firstLine="640"/>
        <w:textAlignment w:val="auto"/>
        <w:rPr>
          <w:rFonts w:hint="default"/>
          <w:lang w:val="en-US"/>
        </w:rPr>
        <w:sectPr>
          <w:footerReference r:id="rId5" w:type="even"/>
          <w:pgSz w:w="11906" w:h="16838"/>
          <w:pgMar w:top="2098" w:right="1531" w:bottom="1985" w:left="1531" w:header="851" w:footer="1474" w:gutter="0"/>
          <w:cols w:space="720" w:num="1"/>
          <w:docGrid w:type="lines" w:linePitch="312" w:charSpace="0"/>
        </w:sectPr>
      </w:pPr>
      <w:r>
        <w:rPr>
          <w:rFonts w:hint="eastAsia" w:ascii="Times New Roman" w:hAnsi="Times New Roman" w:eastAsia="方正仿宋_GBK" w:cs="Times New Roman"/>
          <w:color w:val="auto"/>
          <w:kern w:val="0"/>
          <w:sz w:val="32"/>
          <w:szCs w:val="32"/>
          <w:lang w:val="en-US" w:eastAsia="zh-CN" w:bidi="ar-SA"/>
        </w:rPr>
        <w:t>本单位决算公开信息反馈和联系方式：</w:t>
      </w:r>
      <w:r>
        <w:rPr>
          <w:rFonts w:hint="eastAsia" w:cs="Times New Roman"/>
          <w:color w:val="auto"/>
          <w:kern w:val="0"/>
          <w:sz w:val="32"/>
          <w:szCs w:val="32"/>
          <w:lang w:val="en-US" w:eastAsia="zh-CN" w:bidi="ar-SA"/>
        </w:rPr>
        <w:t>023-58442101</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leftChars="0" w:firstLine="0" w:firstLineChars="0"/>
        <w:textAlignment w:val="auto"/>
        <w:outlineLvl w:val="0"/>
        <w:rPr>
          <w:rFonts w:hint="default" w:ascii="Times New Roman" w:hAnsi="Times New Roman" w:eastAsia="方正黑体_GBK" w:cs="Times New Roman"/>
          <w:sz w:val="32"/>
          <w:szCs w:val="32"/>
        </w:rPr>
      </w:pP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sectPr>
      <w:footerReference r:id="rId6" w:type="default"/>
      <w:pgSz w:w="11906" w:h="16838"/>
      <w:pgMar w:top="2098" w:right="1531" w:bottom="1985" w:left="1531"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A84FE"/>
    <w:multiLevelType w:val="singleLevel"/>
    <w:tmpl w:val="ABBA84FE"/>
    <w:lvl w:ilvl="0" w:tentative="0">
      <w:start w:val="1"/>
      <w:numFmt w:val="decimal"/>
      <w:suff w:val="space"/>
      <w:lvlText w:val="%1."/>
      <w:lvlJc w:val="left"/>
    </w:lvl>
  </w:abstractNum>
  <w:abstractNum w:abstractNumId="1">
    <w:nsid w:val="BA0381D0"/>
    <w:multiLevelType w:val="singleLevel"/>
    <w:tmpl w:val="BA0381D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122C582A"/>
    <w:rsid w:val="000A3F78"/>
    <w:rsid w:val="01806D81"/>
    <w:rsid w:val="01A655EC"/>
    <w:rsid w:val="02356CFC"/>
    <w:rsid w:val="026D3363"/>
    <w:rsid w:val="03483378"/>
    <w:rsid w:val="05826A24"/>
    <w:rsid w:val="06EB5AFF"/>
    <w:rsid w:val="07F91CD6"/>
    <w:rsid w:val="095D70C8"/>
    <w:rsid w:val="09A447EA"/>
    <w:rsid w:val="0A387B45"/>
    <w:rsid w:val="0A90650D"/>
    <w:rsid w:val="0B881444"/>
    <w:rsid w:val="0C3E06B9"/>
    <w:rsid w:val="0CE10BDD"/>
    <w:rsid w:val="0D7A2D6A"/>
    <w:rsid w:val="0D874F2A"/>
    <w:rsid w:val="0E462F36"/>
    <w:rsid w:val="0E7E6AD3"/>
    <w:rsid w:val="0E7F1753"/>
    <w:rsid w:val="108801DA"/>
    <w:rsid w:val="122C582A"/>
    <w:rsid w:val="126E157F"/>
    <w:rsid w:val="13A63113"/>
    <w:rsid w:val="14CD62FA"/>
    <w:rsid w:val="153D3761"/>
    <w:rsid w:val="163F66AE"/>
    <w:rsid w:val="16756CD4"/>
    <w:rsid w:val="168926D3"/>
    <w:rsid w:val="17014E5E"/>
    <w:rsid w:val="17AD54CE"/>
    <w:rsid w:val="190B0C80"/>
    <w:rsid w:val="1CBF17AC"/>
    <w:rsid w:val="1F2E4612"/>
    <w:rsid w:val="1F511E69"/>
    <w:rsid w:val="205F5682"/>
    <w:rsid w:val="21977233"/>
    <w:rsid w:val="238149E5"/>
    <w:rsid w:val="242A4036"/>
    <w:rsid w:val="24925351"/>
    <w:rsid w:val="24B40F4D"/>
    <w:rsid w:val="263063A6"/>
    <w:rsid w:val="26551CA9"/>
    <w:rsid w:val="278A035A"/>
    <w:rsid w:val="27C71639"/>
    <w:rsid w:val="28041890"/>
    <w:rsid w:val="281833E1"/>
    <w:rsid w:val="28DF1690"/>
    <w:rsid w:val="2BBF06FD"/>
    <w:rsid w:val="2BC937CF"/>
    <w:rsid w:val="2C270A39"/>
    <w:rsid w:val="2C7129FC"/>
    <w:rsid w:val="2CB94EB2"/>
    <w:rsid w:val="2D1E0DA1"/>
    <w:rsid w:val="2D2E2D7E"/>
    <w:rsid w:val="2E57005B"/>
    <w:rsid w:val="31C57554"/>
    <w:rsid w:val="33391C8E"/>
    <w:rsid w:val="345A76DF"/>
    <w:rsid w:val="352F4AAB"/>
    <w:rsid w:val="356D2148"/>
    <w:rsid w:val="364E327C"/>
    <w:rsid w:val="36776800"/>
    <w:rsid w:val="378F009A"/>
    <w:rsid w:val="3985333E"/>
    <w:rsid w:val="39D6258F"/>
    <w:rsid w:val="3A691188"/>
    <w:rsid w:val="3A7E4AE2"/>
    <w:rsid w:val="3AAE5809"/>
    <w:rsid w:val="3ADC7039"/>
    <w:rsid w:val="3B1A6EB9"/>
    <w:rsid w:val="3B670912"/>
    <w:rsid w:val="3BE56E26"/>
    <w:rsid w:val="3C66310B"/>
    <w:rsid w:val="3C783E72"/>
    <w:rsid w:val="3D1D7069"/>
    <w:rsid w:val="3D87699E"/>
    <w:rsid w:val="3EA326DE"/>
    <w:rsid w:val="3EF6139C"/>
    <w:rsid w:val="411314FB"/>
    <w:rsid w:val="41C856DD"/>
    <w:rsid w:val="430054D8"/>
    <w:rsid w:val="43892913"/>
    <w:rsid w:val="44BA1F1D"/>
    <w:rsid w:val="455326A3"/>
    <w:rsid w:val="46596C11"/>
    <w:rsid w:val="46D6525F"/>
    <w:rsid w:val="476B3399"/>
    <w:rsid w:val="47C06BB9"/>
    <w:rsid w:val="47CE5B03"/>
    <w:rsid w:val="47FE35BA"/>
    <w:rsid w:val="48406B08"/>
    <w:rsid w:val="48861842"/>
    <w:rsid w:val="496E3698"/>
    <w:rsid w:val="496F10DE"/>
    <w:rsid w:val="4AC8460B"/>
    <w:rsid w:val="4CD07BC6"/>
    <w:rsid w:val="4D4F49FC"/>
    <w:rsid w:val="4E195C47"/>
    <w:rsid w:val="506F3616"/>
    <w:rsid w:val="52421C31"/>
    <w:rsid w:val="52A427B6"/>
    <w:rsid w:val="52F25B90"/>
    <w:rsid w:val="53670BC4"/>
    <w:rsid w:val="53D447AB"/>
    <w:rsid w:val="540D7BCE"/>
    <w:rsid w:val="56172954"/>
    <w:rsid w:val="56D9076F"/>
    <w:rsid w:val="57131783"/>
    <w:rsid w:val="58450EAE"/>
    <w:rsid w:val="58563A03"/>
    <w:rsid w:val="58981CB2"/>
    <w:rsid w:val="595128EA"/>
    <w:rsid w:val="59D94699"/>
    <w:rsid w:val="5A5E128E"/>
    <w:rsid w:val="5AF159BC"/>
    <w:rsid w:val="5B992DA7"/>
    <w:rsid w:val="5C2C50A0"/>
    <w:rsid w:val="5CBD02B1"/>
    <w:rsid w:val="5D8E0E1D"/>
    <w:rsid w:val="5D9C59A0"/>
    <w:rsid w:val="60333493"/>
    <w:rsid w:val="604D2A30"/>
    <w:rsid w:val="60DC245A"/>
    <w:rsid w:val="610F2FF6"/>
    <w:rsid w:val="61935AF5"/>
    <w:rsid w:val="628D5173"/>
    <w:rsid w:val="62F74F9E"/>
    <w:rsid w:val="634203B0"/>
    <w:rsid w:val="634C6ABE"/>
    <w:rsid w:val="636F5754"/>
    <w:rsid w:val="63744B02"/>
    <w:rsid w:val="64492EB3"/>
    <w:rsid w:val="64794AE6"/>
    <w:rsid w:val="64C2339D"/>
    <w:rsid w:val="657633A5"/>
    <w:rsid w:val="66DA3C2B"/>
    <w:rsid w:val="67163CB8"/>
    <w:rsid w:val="688A6957"/>
    <w:rsid w:val="68A206D6"/>
    <w:rsid w:val="68EE6070"/>
    <w:rsid w:val="691A1FA9"/>
    <w:rsid w:val="69247AB6"/>
    <w:rsid w:val="69DA3F19"/>
    <w:rsid w:val="6B3A39D4"/>
    <w:rsid w:val="6B865E2E"/>
    <w:rsid w:val="6BAD4CEC"/>
    <w:rsid w:val="6BF7786D"/>
    <w:rsid w:val="6DDA6878"/>
    <w:rsid w:val="6E6B0B15"/>
    <w:rsid w:val="6EC259AA"/>
    <w:rsid w:val="70085DA4"/>
    <w:rsid w:val="70760E92"/>
    <w:rsid w:val="71004A80"/>
    <w:rsid w:val="72065C93"/>
    <w:rsid w:val="755E52AA"/>
    <w:rsid w:val="75772B29"/>
    <w:rsid w:val="75BC7B77"/>
    <w:rsid w:val="771D5F27"/>
    <w:rsid w:val="776611C7"/>
    <w:rsid w:val="776A0DAA"/>
    <w:rsid w:val="778C0EA9"/>
    <w:rsid w:val="791A0FC5"/>
    <w:rsid w:val="79CE244C"/>
    <w:rsid w:val="79DF2FD0"/>
    <w:rsid w:val="7B341E31"/>
    <w:rsid w:val="7B4E5914"/>
    <w:rsid w:val="7B83471E"/>
    <w:rsid w:val="7C967920"/>
    <w:rsid w:val="7D8064B5"/>
    <w:rsid w:val="7E894654"/>
    <w:rsid w:val="7FC85298"/>
    <w:rsid w:val="7FDF2473"/>
    <w:rsid w:val="CAFB09E8"/>
    <w:rsid w:val="F5FA4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ind w:left="100" w:leftChars="100" w:right="100" w:rightChars="100"/>
    </w:pPr>
    <w:rPr>
      <w:rFonts w:ascii="Times New Roman" w:hAnsi="Times New Roman" w:cs="Times New Roma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22"/>
    <w:rPr>
      <w:b/>
      <w:bCs/>
    </w:rPr>
  </w:style>
  <w:style w:type="paragraph" w:styleId="11">
    <w:name w:val="List Paragraph"/>
    <w:basedOn w:val="1"/>
    <w:qFormat/>
    <w:uiPriority w:val="34"/>
    <w:pPr>
      <w:ind w:firstLine="420" w:firstLineChars="200"/>
    </w:pPr>
  </w:style>
  <w:style w:type="character" w:customStyle="1" w:styleId="12">
    <w:name w:val="font41"/>
    <w:basedOn w:val="9"/>
    <w:qFormat/>
    <w:uiPriority w:val="0"/>
    <w:rPr>
      <w:rFonts w:hint="eastAsia" w:ascii="宋体" w:hAnsi="宋体" w:eastAsia="宋体" w:cs="宋体"/>
      <w:color w:val="000000"/>
      <w:sz w:val="20"/>
      <w:szCs w:val="20"/>
      <w:u w:val="none"/>
    </w:rPr>
  </w:style>
  <w:style w:type="character" w:customStyle="1" w:styleId="13">
    <w:name w:val="font01"/>
    <w:basedOn w:val="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2021-08-27T07:53:00Z</dcterms:created>
  <dc:creator>acer</dc:creator>
  <cp:lastModifiedBy>user</cp:lastModifiedBy>
  <cp:lastPrinted>2021-09-10T02:04:00Z</cp:lastPrinted>
  <dcterms:modified xsi:type="dcterms:W3CDTF">2022-09-02T16:24:48Z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5B4C2F0D875647C7B4271435F1AC2F7C</vt:lpwstr>
  </property>
</Properties>
</file>